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秦皇岛北戴河新区管理委员会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关于20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年区级预算调整方案（草案）的</w:t>
      </w:r>
    </w:p>
    <w:p>
      <w:pPr>
        <w:tabs>
          <w:tab w:val="center" w:pos="4422"/>
          <w:tab w:val="left" w:pos="8025"/>
        </w:tabs>
        <w:spacing w:line="540" w:lineRule="exact"/>
        <w:jc w:val="left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ab/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 xml:space="preserve">  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明</w:t>
      </w:r>
      <w:bookmarkEnd w:id="1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ab/>
      </w: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根据《中华人民共和国预算法》（以下简称《预算法》）和《秦皇岛市人大常委会预算审查监督办法》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/>
          <w:sz w:val="32"/>
          <w:szCs w:val="32"/>
        </w:rPr>
        <w:t>相关规定，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北戴河新区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预算调整情况说明如下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40" w:lineRule="exact"/>
        <w:ind w:left="64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一、预算调整的规定及原因</w:t>
      </w:r>
    </w:p>
    <w:p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一）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有关法律规定</w:t>
      </w:r>
    </w:p>
    <w:p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《预算法》第六十七条明确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经地方各级人民代表大会批准的地方各级预算，在执行中出现下列情形之一的，应当进行预算调整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1.需要增加或者减少预算总支出的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2.需要调入预算稳定调节基金的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3.需要调减预算安排的重点支出数额的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4.需要增加举借债务数额的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”。</w:t>
      </w:r>
    </w:p>
    <w:p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二）</w:t>
      </w:r>
      <w:r>
        <w:rPr>
          <w:rFonts w:ascii="Times New Roman" w:hAnsi="Times New Roman" w:eastAsia="楷体_GB2312"/>
          <w:sz w:val="32"/>
          <w:szCs w:val="32"/>
        </w:rPr>
        <w:t>预算调整原因</w:t>
      </w:r>
    </w:p>
    <w:p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年，我区一般公共预算税收收入、政府性基金收入均不及预期，一般公共预算、政府性基金预算和社会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保险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基金预算收支总额均发生了变化，三本预算支出需要进行相应调整。</w:t>
      </w:r>
    </w:p>
    <w:p>
      <w:pPr>
        <w:spacing w:beforeLines="0" w:afterLines="0" w:line="540" w:lineRule="exact"/>
        <w:ind w:left="64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二、一般公共预算调整事项</w:t>
      </w:r>
    </w:p>
    <w:p>
      <w:pPr>
        <w:widowControl/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市十五届人大常委会第37次会议审议批准的2025年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区级</w:t>
      </w:r>
      <w:r>
        <w:rPr>
          <w:rFonts w:hint="eastAsia" w:ascii="Times New Roman" w:hAnsi="Times New Roman" w:eastAsia="仿宋_GB2312"/>
          <w:sz w:val="32"/>
          <w:szCs w:val="32"/>
        </w:rPr>
        <w:t>一般公共预算总支出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/>
          <w:sz w:val="32"/>
          <w:szCs w:val="32"/>
        </w:rPr>
        <w:t>277413万元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拟</w:t>
      </w:r>
      <w:r>
        <w:rPr>
          <w:rFonts w:hint="eastAsia" w:ascii="Times New Roman" w:hAnsi="Times New Roman" w:eastAsia="仿宋_GB2312"/>
          <w:sz w:val="32"/>
          <w:szCs w:val="32"/>
        </w:rPr>
        <w:t>调整为179226万元，调减98187万元。具体为：</w:t>
      </w:r>
    </w:p>
    <w:p>
      <w:pPr>
        <w:widowControl/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本级支出拟由260263万元调整为159907万元，调减100356万元。</w:t>
      </w:r>
    </w:p>
    <w:p>
      <w:pPr>
        <w:widowControl/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（二）转移性支出拟由14050万元调整为14219万元，调增169万元。主要是上解支出调增169万元。</w:t>
      </w:r>
    </w:p>
    <w:p>
      <w:pPr>
        <w:widowControl/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eastAsia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（三）债务还本支出拟由3100万元调整为5100万元，调增2000万元。主要是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一般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债券资金安排支出增加。</w:t>
      </w:r>
    </w:p>
    <w:p>
      <w:pPr>
        <w:spacing w:beforeLines="0" w:afterLines="0" w:line="540" w:lineRule="exact"/>
        <w:ind w:left="640"/>
        <w:rPr>
          <w:rFonts w:hint="eastAsia" w:ascii="Times New Roman" w:hAnsi="Times New Roman" w:eastAsia="Times New Roman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三、政府性基金预算调整</w:t>
      </w:r>
    </w:p>
    <w:p>
      <w:pPr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eastAsia="Times New Roman"/>
          <w:sz w:val="32"/>
          <w:szCs w:val="32"/>
        </w:rPr>
      </w:pPr>
      <w:bookmarkStart w:id="0" w:name="OLE_LINK1"/>
      <w:r>
        <w:rPr>
          <w:rFonts w:hint="eastAsia" w:ascii="Times New Roman" w:hAnsi="Times New Roman" w:eastAsia="仿宋_GB2312"/>
          <w:sz w:val="32"/>
          <w:szCs w:val="32"/>
        </w:rPr>
        <w:t>市十五届人大常委会第37次会议审议批准的2025年区级</w:t>
      </w:r>
      <w:bookmarkEnd w:id="0"/>
      <w:r>
        <w:rPr>
          <w:rFonts w:hint="eastAsia" w:ascii="Times New Roman" w:hAnsi="Times New Roman" w:eastAsia="仿宋_GB2312"/>
          <w:sz w:val="32"/>
          <w:szCs w:val="32"/>
        </w:rPr>
        <w:t>政府性基金预算总支出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/>
          <w:sz w:val="32"/>
          <w:szCs w:val="32"/>
        </w:rPr>
        <w:t>273586万元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拟</w:t>
      </w:r>
      <w:r>
        <w:rPr>
          <w:rFonts w:hint="eastAsia" w:ascii="Times New Roman" w:hAnsi="Times New Roman" w:eastAsia="仿宋_GB2312"/>
          <w:sz w:val="32"/>
          <w:szCs w:val="32"/>
        </w:rPr>
        <w:t>调整为232574万元，调减41012万元，具体为：</w:t>
      </w:r>
    </w:p>
    <w:p>
      <w:pPr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eastAsia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（一）本级支出拟由146499万元调整为187869万元，调增41370万元，主要是：因收入短收相应调减支出69200万元；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专项</w:t>
      </w:r>
      <w:r>
        <w:rPr>
          <w:rFonts w:hint="eastAsia" w:ascii="Times New Roman" w:hAnsi="Times New Roman" w:eastAsia="仿宋_GB2312"/>
          <w:sz w:val="32"/>
          <w:szCs w:val="32"/>
        </w:rPr>
        <w:t>债券资金安排支出调增110570万元。</w:t>
      </w:r>
    </w:p>
    <w:p>
      <w:pPr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eastAsia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（二）转移性支出拟由103127万元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全部</w:t>
      </w:r>
      <w:r>
        <w:rPr>
          <w:rFonts w:hint="eastAsia" w:ascii="Times New Roman" w:hAnsi="Times New Roman" w:eastAsia="仿宋_GB2312"/>
          <w:sz w:val="32"/>
          <w:szCs w:val="32"/>
        </w:rPr>
        <w:t>调减。主要是土地出让收入短收，原预计调出的资金不再调出。</w:t>
      </w:r>
    </w:p>
    <w:p>
      <w:pPr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eastAsia="Times New Roman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（三）债务还本支出拟由23960万元调整为44705万元，调增20745万元，主要是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专项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债券资金安排支出增加。</w:t>
      </w:r>
    </w:p>
    <w:p>
      <w:pPr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四、社会保险基金预算调整事项</w:t>
      </w:r>
    </w:p>
    <w:p>
      <w:pPr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按照社保基金统筹管理级次，2025年区级统筹的社保基金预算年初预算总支出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11376万元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拟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调整为11605万元，调增229万元，主要是人口老龄化进程加速，领取城乡居民养老保险待遇的人数增长，导致城乡居民基本养老保险基金待遇支出增加。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247" w:gutter="0"/>
          <w:cols w:space="0" w:num="1"/>
          <w:rtlGutter w:val="0"/>
          <w:docGrid w:type="lines" w:linePitch="312" w:charSpace="0"/>
        </w:sectPr>
      </w:pPr>
    </w:p>
    <w:tbl>
      <w:tblPr>
        <w:tblStyle w:val="3"/>
        <w:tblpPr w:leftFromText="180" w:rightFromText="180" w:vertAnchor="page" w:horzAnchor="page" w:tblpX="633" w:tblpY="1888"/>
        <w:tblW w:w="152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1153"/>
        <w:gridCol w:w="1254"/>
        <w:gridCol w:w="1112"/>
        <w:gridCol w:w="1135"/>
        <w:gridCol w:w="3036"/>
        <w:gridCol w:w="1260"/>
        <w:gridCol w:w="1089"/>
        <w:gridCol w:w="1112"/>
        <w:gridCol w:w="12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2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</w:rPr>
              <w:t>20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</w:rPr>
              <w:t>年北戴河新区一般公共预算调整方案（草案）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2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收     入</w:t>
            </w:r>
          </w:p>
        </w:tc>
        <w:tc>
          <w:tcPr>
            <w:tcW w:w="7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支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项   目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年初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预算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年中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变化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本次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增减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＋－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本次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变化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年初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预算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年中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调整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本次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增减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＋－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本次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调整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一、本级收入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108660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108660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-23060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85600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一、本级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255263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260263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-100356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159907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二、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转移性收入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163753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168753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-75127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93626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二、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转移性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支出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14050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14050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14219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（一）上解支出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14050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14050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14219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left="840" w:leftChars="0" w:hanging="840" w:hangingChars="35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三、债务还本支出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3100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3100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firstLine="139" w:firstLineChars="58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272413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277413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-98187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179226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272413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277413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-98187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179226</w:t>
            </w:r>
          </w:p>
        </w:tc>
      </w:tr>
    </w:tbl>
    <w:p>
      <w:pPr>
        <w:rPr>
          <w:rFonts w:hint="default"/>
          <w:lang w:val="en-US" w:eastAsia="zh-CN"/>
        </w:rPr>
        <w:sectPr>
          <w:footerReference r:id="rId4" w:type="default"/>
          <w:footerReference r:id="rId5" w:type="even"/>
          <w:pgSz w:w="16838" w:h="11906" w:orient="landscape"/>
          <w:pgMar w:top="1587" w:right="2098" w:bottom="1474" w:left="1984" w:header="851" w:footer="1247" w:gutter="0"/>
          <w:pgNumType w:fmt="decimal" w:start="5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3"/>
        <w:tblW w:w="133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1128"/>
        <w:gridCol w:w="1116"/>
        <w:gridCol w:w="1236"/>
        <w:gridCol w:w="1020"/>
        <w:gridCol w:w="2280"/>
        <w:gridCol w:w="1008"/>
        <w:gridCol w:w="1008"/>
        <w:gridCol w:w="1224"/>
        <w:gridCol w:w="1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3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5775325</wp:posOffset>
                      </wp:positionV>
                      <wp:extent cx="668655" cy="313690"/>
                      <wp:effectExtent l="4445" t="4445" r="12700" b="5715"/>
                      <wp:wrapNone/>
                      <wp:docPr id="14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655" cy="313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320.25pt;margin-top:454.75pt;height:24.7pt;width:52.65pt;z-index:251661312;mso-width-relative:page;mso-height-relative:page;" fillcolor="#FFFFFF" filled="t" stroked="t" coordsize="21600,21600" o:gfxdata="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foQOzY&#10;AAAACwEAAA8AAAAAAAAAAQAgAAAAIgAAAGRycy9kb3ducmV2LnhtbFBLAQIUABQAAAAIAIdO4kCh&#10;t10m5wEAAN4DAAAOAAAAAAAAAAEAIAAAACcBAABkcnMvZTJvRG9jLnhtbFBLBQYAAAAABgAGAFkB&#10;AACABQAAAAA=&#10;">
                      <v:fill on="t" focussize="0,0"/>
                      <v:stroke color="#FFFFFF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  <w:t>20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44"/>
                <w:szCs w:val="4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</w:rPr>
              <w:t>北戴河新区</w:t>
            </w:r>
            <w:r>
              <w:rPr>
                <w:rFonts w:hint="default"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  <w:t>政府性基金预算调整方案（草案）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单位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收入</w:t>
            </w:r>
          </w:p>
        </w:tc>
        <w:tc>
          <w:tcPr>
            <w:tcW w:w="65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年初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预算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年中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变化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本次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增减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＋－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本次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变化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年初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预算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年中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调整</w:t>
            </w: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本次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增减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＋－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本次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调整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一、本级收入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-172630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27370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一、本级支出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94869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146499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41370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187869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二、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转移性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收入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21956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73586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131618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205204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二、转移性支出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103127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103127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-103127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一）调出资金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103127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103127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-103127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三、债务还本支出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  <w:t>23960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  <w:t>23960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20745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lang w:val="en-US" w:eastAsia="zh-CN"/>
              </w:rPr>
              <w:t>44705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221956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273586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-41012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232574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221956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273586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-41012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232574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sectPr>
          <w:footerReference r:id="rId6" w:type="default"/>
          <w:pgSz w:w="16838" w:h="11906" w:orient="landscape"/>
          <w:pgMar w:top="1587" w:right="2098" w:bottom="1474" w:left="1984" w:header="851" w:footer="1247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916" w:tblpY="95"/>
        <w:tblOverlap w:val="never"/>
        <w:tblW w:w="84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6"/>
        <w:gridCol w:w="1277"/>
        <w:gridCol w:w="1235"/>
        <w:gridCol w:w="1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2025年北戴河新区社会保险基金调整方案（草案）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本次增减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（+ -）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一、收入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-622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（一）城乡居民基本养老保险基金收入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（二）机关事业单位基本养老保险基金收入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-777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二、支出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（一）城乡居民基本养老保险基金支出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4244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（二）机关事业单位基本养老保险基金支出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三、本年收支结余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-851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sectPr>
          <w:pgSz w:w="11906" w:h="16838"/>
          <w:pgMar w:top="2098" w:right="1474" w:bottom="1984" w:left="1587" w:header="851" w:footer="1247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3537"/>
        <w:gridCol w:w="2382"/>
        <w:gridCol w:w="2499"/>
        <w:gridCol w:w="1354"/>
        <w:gridCol w:w="1369"/>
        <w:gridCol w:w="459"/>
        <w:gridCol w:w="264"/>
        <w:gridCol w:w="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28" w:type="dxa"/>
          <w:trHeight w:val="806" w:hRule="atLeast"/>
        </w:trPr>
        <w:tc>
          <w:tcPr>
            <w:tcW w:w="11799" w:type="dxa"/>
            <w:gridSpan w:val="6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2025年北戴河新区地方政府新增债务项目情况表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4" w:type="dxa"/>
          <w:trHeight w:val="249" w:hRule="atLeast"/>
        </w:trPr>
        <w:tc>
          <w:tcPr>
            <w:tcW w:w="65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2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项目单位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债券类型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安排金额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2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133315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一般债务合计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秦皇岛北戴河新区发展改革局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北戴河新区存量政府投资项目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方正书宋_GBK" w:hAnsi="方正书宋_GBK" w:eastAsia="方正书宋_GBK" w:cs="方正书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专项债务合计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131315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秦皇岛北戴河新区住房和城乡建设局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北戴河生命健康产业创新示范区-产业港园区基础设施配套建设项目（二期）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秦皇岛北戴河新区住房和城乡建设局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北戴河生命健康产业创新示范区-文化旅游产业园基础设施配套建设项目（二期）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7600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秦皇岛北戴河新区健康产业创新促进局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国家级北戴河生命健康产业创新示范区药品器械应急仓储物流中心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秦皇岛北戴河新区城市发展局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秦皇岛北戴河新区团林污水处理厂提标升级工程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秦皇岛北戴河新区住房和城乡建设局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秦皇岛北戴河新区中心片区排涝沟渠工程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秦皇岛北戴河新区健康产业创新促进局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北京中医药大学东方医院秦皇岛医院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18800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秦皇岛北戴河新区住房和城乡建设局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北戴河新区南戴河片区排水防涝地下管网及设施建设和改造项目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秦皇岛北戴河新区城市发展局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北戴河新区生活垃圾分类收集处理设施建设项目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秦皇岛北戴河新区住房和城乡建设局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北戴河新区团林片区排水防涝地下管网及设施建设和改造项目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秦皇岛北戴河新区住房和城乡建设局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北戴河生命健康产业创新示范区-文化产业园区基础设施建设项目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秦皇岛北戴河新区住房和城乡建设局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北戴河生命健康产业创新示范区-医药产业园区基础设施建设项目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秦皇岛北戴河新区住房和城乡建设局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秦皇岛北戴河新区机场快速路（锦绣路-新区污水处理厂）排水管线工程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4700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秦皇岛北戴河新区健康产业创新促进局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天津市肿瘤医院秦皇岛医院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秦皇岛北戴河新区发展有限责任公司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前程五街二三类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113.5685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秦皇岛北戴河新区发展有限责任公司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焦庄-印庄棚户区配套道路（前程四街)二三类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70.24085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秦皇岛北戴河新区发展有限责任公司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文苑路二三类费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67.34965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秦皇岛北戴河新区发展有限责任公司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锦绣路二三类费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338.95114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秦皇岛北戴河新区发展有限责任公司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滨海新大道D2段（葡萄岛路-前程八街）改扩建工程二三类费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5.66307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秦皇岛北戴河新区发展有限责任公司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滨海新大道D1段二三类费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秦皇岛北戴河新区滨丽城镇建设开发有限公司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秦皇岛北戴河新区薛家营城镇化示范区棚改一期项目基金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129.3138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秦皇岛北戴河新区住房和城乡建设局</w:t>
            </w:r>
          </w:p>
        </w:tc>
        <w:tc>
          <w:tcPr>
            <w:tcW w:w="4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国家开发银行股份有限公司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2681.51299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735"/>
        </w:tabs>
        <w:bidi w:val="0"/>
        <w:jc w:val="left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/>
    <w:sectPr>
      <w:footerReference r:id="rId7" w:type="default"/>
      <w:pgSz w:w="16838" w:h="11906" w:orient="landscape"/>
      <w:pgMar w:top="1587" w:right="2098" w:bottom="1474" w:left="1984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651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S4lI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KEuJSGQIAACM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5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framePr w:wrap="around" w:vAnchor="text" w:hAnchor="margin" w:xAlign="center" w:y="1"/>
      <w:ind w:right="360" w:firstLine="360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framePr w:wrap="around" w:vAnchor="text" w:hAnchor="margin" w:xAlign="outside" w:y="1"/>
      <w:ind w:right="360" w:firstLine="360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framePr w:wrap="around" w:vAnchor="text" w:hAnchor="margin" w:xAlign="center" w:y="1"/>
      <w:ind w:right="360" w:firstLine="360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6510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6510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B489E"/>
    <w:rsid w:val="4F0B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2026-04-21T03:26:00Z</dcterms:created>
  <dc:creator>XQZW</dc:creator>
  <cp:lastModifiedBy>XQZW</cp:lastModifiedBy>
  <dcterms:modified xsi:type="dcterms:W3CDTF">2026-04-21T03:27:16Z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