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239.48</w:t>
            </w:r>
          </w:p>
        </w:tc>
        <w:tc>
          <w:tcPr>
            <w:tcW w:w="4535" w:type="dxa"/>
            <w:vAlign w:val="center"/>
          </w:tcPr>
          <w:p>
            <w:pPr>
              <w:pStyle w:val="13"/>
            </w:pPr>
            <w:r>
              <w:t>一、一般公共服务支出</w:t>
            </w:r>
          </w:p>
        </w:tc>
        <w:tc>
          <w:tcPr>
            <w:tcW w:w="2126" w:type="dxa"/>
            <w:vAlign w:val="center"/>
          </w:tcPr>
          <w:p>
            <w:pPr>
              <w:pStyle w:val="12"/>
            </w:pPr>
            <w:r>
              <w:t>188.04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1000.00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1239.48</w:t>
            </w:r>
          </w:p>
        </w:tc>
        <w:tc>
          <w:tcPr>
            <w:tcW w:w="4535" w:type="dxa"/>
            <w:vAlign w:val="center"/>
          </w:tcPr>
          <w:p>
            <w:pPr>
              <w:pStyle w:val="15"/>
            </w:pPr>
            <w:r>
              <w:t>本年支出合计</w:t>
            </w:r>
          </w:p>
        </w:tc>
        <w:tc>
          <w:tcPr>
            <w:tcW w:w="2126" w:type="dxa"/>
            <w:vAlign w:val="center"/>
          </w:tcPr>
          <w:p>
            <w:pPr>
              <w:pStyle w:val="16"/>
            </w:pPr>
            <w:r>
              <w:t>1239.48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1239.48</w:t>
            </w:r>
          </w:p>
        </w:tc>
        <w:tc>
          <w:tcPr>
            <w:tcW w:w="4535" w:type="dxa"/>
            <w:vAlign w:val="center"/>
          </w:tcPr>
          <w:p>
            <w:pPr>
              <w:pStyle w:val="15"/>
            </w:pPr>
            <w:r>
              <w:t>支出总计</w:t>
            </w:r>
          </w:p>
        </w:tc>
        <w:tc>
          <w:tcPr>
            <w:tcW w:w="2126" w:type="dxa"/>
            <w:vAlign w:val="center"/>
          </w:tcPr>
          <w:p>
            <w:pPr>
              <w:pStyle w:val="16"/>
            </w:pPr>
            <w:r>
              <w:t>1239.48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1239.48</w:t>
            </w:r>
          </w:p>
        </w:tc>
        <w:tc>
          <w:tcPr>
            <w:tcW w:w="1134" w:type="dxa"/>
            <w:vAlign w:val="center"/>
          </w:tcPr>
          <w:p>
            <w:pPr>
              <w:pStyle w:val="16"/>
            </w:pPr>
            <w:r>
              <w:t>1239.48</w:t>
            </w:r>
          </w:p>
        </w:tc>
        <w:tc>
          <w:tcPr>
            <w:tcW w:w="1134" w:type="dxa"/>
            <w:vAlign w:val="center"/>
          </w:tcPr>
          <w:p>
            <w:pPr>
              <w:pStyle w:val="16"/>
            </w:pPr>
            <w:r>
              <w:t>1239.48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r>
              <w:t>188.04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r>
              <w:t>19.44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r>
              <w:t>15.86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2120803</w:t>
            </w:r>
          </w:p>
        </w:tc>
        <w:tc>
          <w:tcPr>
            <w:tcW w:w="1559" w:type="dxa"/>
            <w:vAlign w:val="center"/>
          </w:tcPr>
          <w:p>
            <w:pPr>
              <w:pStyle w:val="13"/>
            </w:pPr>
            <w:r>
              <w:t>城市建设支出</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r>
              <w:t>1000.00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r>
              <w:t>16.14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1239.48</w:t>
            </w:r>
          </w:p>
        </w:tc>
        <w:tc>
          <w:tcPr>
            <w:tcW w:w="1361" w:type="dxa"/>
            <w:vAlign w:val="center"/>
          </w:tcPr>
          <w:p>
            <w:pPr>
              <w:pStyle w:val="16"/>
            </w:pPr>
            <w:r>
              <w:t>209.48</w:t>
            </w:r>
          </w:p>
        </w:tc>
        <w:tc>
          <w:tcPr>
            <w:tcW w:w="1361" w:type="dxa"/>
            <w:vAlign w:val="center"/>
          </w:tcPr>
          <w:p>
            <w:pPr>
              <w:pStyle w:val="16"/>
            </w:pPr>
            <w:r>
              <w:t>1030.00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188.04</w:t>
            </w:r>
          </w:p>
        </w:tc>
        <w:tc>
          <w:tcPr>
            <w:tcW w:w="1361" w:type="dxa"/>
            <w:vAlign w:val="center"/>
          </w:tcPr>
          <w:p>
            <w:pPr>
              <w:pStyle w:val="12"/>
            </w:pPr>
            <w:r>
              <w:t>158.04</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188.04</w:t>
            </w:r>
          </w:p>
        </w:tc>
        <w:tc>
          <w:tcPr>
            <w:tcW w:w="1361" w:type="dxa"/>
            <w:vAlign w:val="center"/>
          </w:tcPr>
          <w:p>
            <w:pPr>
              <w:pStyle w:val="12"/>
            </w:pPr>
            <w:r>
              <w:t>158.04</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188.04</w:t>
            </w:r>
          </w:p>
        </w:tc>
        <w:tc>
          <w:tcPr>
            <w:tcW w:w="1361" w:type="dxa"/>
            <w:vAlign w:val="center"/>
          </w:tcPr>
          <w:p>
            <w:pPr>
              <w:pStyle w:val="12"/>
            </w:pPr>
            <w:r>
              <w:t>158.04</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19.44</w:t>
            </w:r>
          </w:p>
        </w:tc>
        <w:tc>
          <w:tcPr>
            <w:tcW w:w="1361" w:type="dxa"/>
            <w:vAlign w:val="center"/>
          </w:tcPr>
          <w:p>
            <w:pPr>
              <w:pStyle w:val="12"/>
            </w:pPr>
            <w:r>
              <w:t>19.44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19.44</w:t>
            </w:r>
          </w:p>
        </w:tc>
        <w:tc>
          <w:tcPr>
            <w:tcW w:w="1361" w:type="dxa"/>
            <w:vAlign w:val="center"/>
          </w:tcPr>
          <w:p>
            <w:pPr>
              <w:pStyle w:val="12"/>
            </w:pPr>
            <w:r>
              <w:t>19.44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19.44</w:t>
            </w:r>
          </w:p>
        </w:tc>
        <w:tc>
          <w:tcPr>
            <w:tcW w:w="1361" w:type="dxa"/>
            <w:vAlign w:val="center"/>
          </w:tcPr>
          <w:p>
            <w:pPr>
              <w:pStyle w:val="12"/>
            </w:pPr>
            <w:r>
              <w:t>19.44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15.86</w:t>
            </w:r>
          </w:p>
        </w:tc>
        <w:tc>
          <w:tcPr>
            <w:tcW w:w="1361" w:type="dxa"/>
            <w:vAlign w:val="center"/>
          </w:tcPr>
          <w:p>
            <w:pPr>
              <w:pStyle w:val="12"/>
            </w:pPr>
            <w:r>
              <w:t>15.86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15.86</w:t>
            </w:r>
          </w:p>
        </w:tc>
        <w:tc>
          <w:tcPr>
            <w:tcW w:w="1361" w:type="dxa"/>
            <w:vAlign w:val="center"/>
          </w:tcPr>
          <w:p>
            <w:pPr>
              <w:pStyle w:val="12"/>
            </w:pPr>
            <w:r>
              <w:t>15.86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15.86</w:t>
            </w:r>
          </w:p>
        </w:tc>
        <w:tc>
          <w:tcPr>
            <w:tcW w:w="1361" w:type="dxa"/>
            <w:vAlign w:val="center"/>
          </w:tcPr>
          <w:p>
            <w:pPr>
              <w:pStyle w:val="12"/>
            </w:pPr>
            <w:r>
              <w:t>15.86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2120803</w:t>
            </w:r>
          </w:p>
        </w:tc>
        <w:tc>
          <w:tcPr>
            <w:tcW w:w="4535" w:type="dxa"/>
            <w:vAlign w:val="center"/>
          </w:tcPr>
          <w:p>
            <w:pPr>
              <w:pStyle w:val="13"/>
            </w:pPr>
            <w:r>
              <w:t>城市建设支出</w:t>
            </w: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r>
              <w:t>1000.00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16.14</w:t>
            </w:r>
          </w:p>
        </w:tc>
        <w:tc>
          <w:tcPr>
            <w:tcW w:w="1361" w:type="dxa"/>
            <w:vAlign w:val="center"/>
          </w:tcPr>
          <w:p>
            <w:pPr>
              <w:pStyle w:val="12"/>
            </w:pPr>
            <w:r>
              <w:t>16.14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16.14</w:t>
            </w:r>
          </w:p>
        </w:tc>
        <w:tc>
          <w:tcPr>
            <w:tcW w:w="1361" w:type="dxa"/>
            <w:vAlign w:val="center"/>
          </w:tcPr>
          <w:p>
            <w:pPr>
              <w:pStyle w:val="12"/>
            </w:pPr>
            <w:r>
              <w:t>16.14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16.14</w:t>
            </w:r>
          </w:p>
        </w:tc>
        <w:tc>
          <w:tcPr>
            <w:tcW w:w="1361" w:type="dxa"/>
            <w:vAlign w:val="center"/>
          </w:tcPr>
          <w:p>
            <w:pPr>
              <w:pStyle w:val="12"/>
            </w:pPr>
            <w:r>
              <w:t>16.14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239.48</w:t>
            </w:r>
          </w:p>
        </w:tc>
        <w:tc>
          <w:tcPr>
            <w:tcW w:w="3402" w:type="dxa"/>
            <w:vAlign w:val="center"/>
          </w:tcPr>
          <w:p>
            <w:pPr>
              <w:pStyle w:val="13"/>
            </w:pPr>
            <w:r>
              <w:t>一、一般公共服务支出</w:t>
            </w:r>
          </w:p>
        </w:tc>
        <w:tc>
          <w:tcPr>
            <w:tcW w:w="1474" w:type="dxa"/>
            <w:vAlign w:val="center"/>
          </w:tcPr>
          <w:p>
            <w:pPr>
              <w:pStyle w:val="12"/>
            </w:pPr>
            <w:r>
              <w:t>188.04</w:t>
            </w:r>
          </w:p>
        </w:tc>
        <w:tc>
          <w:tcPr>
            <w:tcW w:w="1474" w:type="dxa"/>
            <w:vAlign w:val="center"/>
          </w:tcPr>
          <w:p>
            <w:pPr>
              <w:pStyle w:val="12"/>
            </w:pPr>
            <w:r>
              <w:t>188.04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1000.00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19.44</w:t>
            </w:r>
          </w:p>
        </w:tc>
        <w:tc>
          <w:tcPr>
            <w:tcW w:w="1474" w:type="dxa"/>
            <w:vAlign w:val="center"/>
          </w:tcPr>
          <w:p>
            <w:pPr>
              <w:pStyle w:val="12"/>
            </w:pPr>
            <w:r>
              <w:t>19.44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15.86</w:t>
            </w:r>
          </w:p>
        </w:tc>
        <w:tc>
          <w:tcPr>
            <w:tcW w:w="1474" w:type="dxa"/>
            <w:vAlign w:val="center"/>
          </w:tcPr>
          <w:p>
            <w:pPr>
              <w:pStyle w:val="12"/>
            </w:pPr>
            <w:r>
              <w:t>15.86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1000.00</w:t>
            </w:r>
          </w:p>
        </w:tc>
        <w:tc>
          <w:tcPr>
            <w:tcW w:w="1474" w:type="dxa"/>
            <w:vAlign w:val="center"/>
          </w:tcPr>
          <w:p>
            <w:pPr>
              <w:pStyle w:val="12"/>
            </w:pPr>
          </w:p>
        </w:tc>
        <w:tc>
          <w:tcPr>
            <w:tcW w:w="1474" w:type="dxa"/>
            <w:vAlign w:val="center"/>
          </w:tcPr>
          <w:p>
            <w:pPr>
              <w:pStyle w:val="12"/>
            </w:pPr>
            <w:r>
              <w:t>1000.00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16.14</w:t>
            </w:r>
          </w:p>
        </w:tc>
        <w:tc>
          <w:tcPr>
            <w:tcW w:w="1474" w:type="dxa"/>
            <w:vAlign w:val="center"/>
          </w:tcPr>
          <w:p>
            <w:pPr>
              <w:pStyle w:val="12"/>
            </w:pPr>
            <w:r>
              <w:t>16.14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1239.48</w:t>
            </w:r>
          </w:p>
        </w:tc>
        <w:tc>
          <w:tcPr>
            <w:tcW w:w="3402" w:type="dxa"/>
            <w:vAlign w:val="center"/>
          </w:tcPr>
          <w:p>
            <w:pPr>
              <w:pStyle w:val="15"/>
            </w:pPr>
            <w:r>
              <w:t>本年支出合计</w:t>
            </w:r>
          </w:p>
        </w:tc>
        <w:tc>
          <w:tcPr>
            <w:tcW w:w="1474" w:type="dxa"/>
            <w:vAlign w:val="center"/>
          </w:tcPr>
          <w:p>
            <w:pPr>
              <w:pStyle w:val="16"/>
            </w:pPr>
            <w:r>
              <w:t>1239.48</w:t>
            </w:r>
          </w:p>
        </w:tc>
        <w:tc>
          <w:tcPr>
            <w:tcW w:w="1474" w:type="dxa"/>
            <w:vAlign w:val="center"/>
          </w:tcPr>
          <w:p>
            <w:pPr>
              <w:pStyle w:val="16"/>
            </w:pPr>
            <w:r>
              <w:t>239.48</w:t>
            </w:r>
          </w:p>
        </w:tc>
        <w:tc>
          <w:tcPr>
            <w:tcW w:w="1474" w:type="dxa"/>
            <w:vAlign w:val="center"/>
          </w:tcPr>
          <w:p>
            <w:pPr>
              <w:pStyle w:val="16"/>
            </w:pPr>
            <w:r>
              <w:t>1000.00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1239.48</w:t>
            </w:r>
          </w:p>
        </w:tc>
        <w:tc>
          <w:tcPr>
            <w:tcW w:w="3402" w:type="dxa"/>
            <w:vAlign w:val="center"/>
          </w:tcPr>
          <w:p>
            <w:pPr>
              <w:pStyle w:val="15"/>
            </w:pPr>
            <w:r>
              <w:t>支出总计</w:t>
            </w:r>
          </w:p>
        </w:tc>
        <w:tc>
          <w:tcPr>
            <w:tcW w:w="1474" w:type="dxa"/>
            <w:vAlign w:val="center"/>
          </w:tcPr>
          <w:p>
            <w:pPr>
              <w:pStyle w:val="16"/>
            </w:pPr>
            <w:r>
              <w:t>1239.48</w:t>
            </w:r>
          </w:p>
        </w:tc>
        <w:tc>
          <w:tcPr>
            <w:tcW w:w="1474" w:type="dxa"/>
            <w:vAlign w:val="center"/>
          </w:tcPr>
          <w:p>
            <w:pPr>
              <w:pStyle w:val="16"/>
            </w:pPr>
            <w:r>
              <w:t>239.48</w:t>
            </w:r>
          </w:p>
        </w:tc>
        <w:tc>
          <w:tcPr>
            <w:tcW w:w="1474" w:type="dxa"/>
            <w:vAlign w:val="center"/>
          </w:tcPr>
          <w:p>
            <w:pPr>
              <w:pStyle w:val="16"/>
            </w:pPr>
            <w:r>
              <w:t>1000.00</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239.48</w:t>
            </w:r>
          </w:p>
        </w:tc>
        <w:tc>
          <w:tcPr>
            <w:tcW w:w="2551" w:type="dxa"/>
            <w:vAlign w:val="center"/>
          </w:tcPr>
          <w:p>
            <w:pPr>
              <w:pStyle w:val="16"/>
            </w:pPr>
            <w:r>
              <w:t>209.48</w:t>
            </w:r>
          </w:p>
        </w:tc>
        <w:tc>
          <w:tcPr>
            <w:tcW w:w="2551"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188.04</w:t>
            </w:r>
          </w:p>
        </w:tc>
        <w:tc>
          <w:tcPr>
            <w:tcW w:w="2551" w:type="dxa"/>
            <w:vAlign w:val="center"/>
          </w:tcPr>
          <w:p>
            <w:pPr>
              <w:pStyle w:val="12"/>
            </w:pPr>
            <w:r>
              <w:t>158.04</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188.04</w:t>
            </w:r>
          </w:p>
        </w:tc>
        <w:tc>
          <w:tcPr>
            <w:tcW w:w="2551" w:type="dxa"/>
            <w:vAlign w:val="center"/>
          </w:tcPr>
          <w:p>
            <w:pPr>
              <w:pStyle w:val="12"/>
            </w:pPr>
            <w:r>
              <w:t>158.04</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188.04</w:t>
            </w:r>
          </w:p>
        </w:tc>
        <w:tc>
          <w:tcPr>
            <w:tcW w:w="2551" w:type="dxa"/>
            <w:vAlign w:val="center"/>
          </w:tcPr>
          <w:p>
            <w:pPr>
              <w:pStyle w:val="12"/>
            </w:pPr>
            <w:r>
              <w:t>158.04</w:t>
            </w: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19.44</w:t>
            </w:r>
          </w:p>
        </w:tc>
        <w:tc>
          <w:tcPr>
            <w:tcW w:w="2551" w:type="dxa"/>
            <w:vAlign w:val="center"/>
          </w:tcPr>
          <w:p>
            <w:pPr>
              <w:pStyle w:val="12"/>
            </w:pPr>
            <w:r>
              <w:t>19.44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19.44</w:t>
            </w:r>
          </w:p>
        </w:tc>
        <w:tc>
          <w:tcPr>
            <w:tcW w:w="2551" w:type="dxa"/>
            <w:vAlign w:val="center"/>
          </w:tcPr>
          <w:p>
            <w:pPr>
              <w:pStyle w:val="12"/>
            </w:pPr>
            <w:r>
              <w:t>19.44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19.44</w:t>
            </w:r>
          </w:p>
        </w:tc>
        <w:tc>
          <w:tcPr>
            <w:tcW w:w="2551" w:type="dxa"/>
            <w:vAlign w:val="center"/>
          </w:tcPr>
          <w:p>
            <w:pPr>
              <w:pStyle w:val="12"/>
            </w:pPr>
            <w:r>
              <w:t>19.44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15.86</w:t>
            </w:r>
          </w:p>
        </w:tc>
        <w:tc>
          <w:tcPr>
            <w:tcW w:w="2551" w:type="dxa"/>
            <w:vAlign w:val="center"/>
          </w:tcPr>
          <w:p>
            <w:pPr>
              <w:pStyle w:val="12"/>
            </w:pPr>
            <w:r>
              <w:t>15.86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15.86</w:t>
            </w:r>
          </w:p>
        </w:tc>
        <w:tc>
          <w:tcPr>
            <w:tcW w:w="2551" w:type="dxa"/>
            <w:vAlign w:val="center"/>
          </w:tcPr>
          <w:p>
            <w:pPr>
              <w:pStyle w:val="12"/>
            </w:pPr>
            <w:r>
              <w:t>15.86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15.86</w:t>
            </w:r>
          </w:p>
        </w:tc>
        <w:tc>
          <w:tcPr>
            <w:tcW w:w="2551" w:type="dxa"/>
            <w:vAlign w:val="center"/>
          </w:tcPr>
          <w:p>
            <w:pPr>
              <w:pStyle w:val="12"/>
            </w:pPr>
            <w:r>
              <w:t>15.86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16.14</w:t>
            </w:r>
          </w:p>
        </w:tc>
        <w:tc>
          <w:tcPr>
            <w:tcW w:w="2551" w:type="dxa"/>
            <w:vAlign w:val="center"/>
          </w:tcPr>
          <w:p>
            <w:pPr>
              <w:pStyle w:val="12"/>
            </w:pPr>
            <w:r>
              <w:t>16.14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16.14</w:t>
            </w:r>
          </w:p>
        </w:tc>
        <w:tc>
          <w:tcPr>
            <w:tcW w:w="2551" w:type="dxa"/>
            <w:vAlign w:val="center"/>
          </w:tcPr>
          <w:p>
            <w:pPr>
              <w:pStyle w:val="12"/>
            </w:pPr>
            <w:r>
              <w:t>16.14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16.14</w:t>
            </w:r>
          </w:p>
        </w:tc>
        <w:tc>
          <w:tcPr>
            <w:tcW w:w="2551" w:type="dxa"/>
            <w:vAlign w:val="center"/>
          </w:tcPr>
          <w:p>
            <w:pPr>
              <w:pStyle w:val="12"/>
            </w:pPr>
            <w:r>
              <w:t>16.14</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209.48</w:t>
            </w:r>
          </w:p>
        </w:tc>
        <w:tc>
          <w:tcPr>
            <w:tcW w:w="2551" w:type="dxa"/>
            <w:vAlign w:val="center"/>
          </w:tcPr>
          <w:p>
            <w:pPr>
              <w:pStyle w:val="16"/>
            </w:pPr>
            <w:r>
              <w:t>195.41</w:t>
            </w:r>
          </w:p>
        </w:tc>
        <w:tc>
          <w:tcPr>
            <w:tcW w:w="2551" w:type="dxa"/>
            <w:vAlign w:val="center"/>
          </w:tcPr>
          <w:p>
            <w:pPr>
              <w:pStyle w:val="16"/>
            </w:pPr>
            <w:r>
              <w:t>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195.41</w:t>
            </w:r>
          </w:p>
        </w:tc>
        <w:tc>
          <w:tcPr>
            <w:tcW w:w="2551" w:type="dxa"/>
            <w:vAlign w:val="center"/>
          </w:tcPr>
          <w:p>
            <w:pPr>
              <w:pStyle w:val="12"/>
            </w:pPr>
            <w:r>
              <w:t>195.41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75.27</w:t>
            </w:r>
          </w:p>
        </w:tc>
        <w:tc>
          <w:tcPr>
            <w:tcW w:w="2551" w:type="dxa"/>
            <w:vAlign w:val="center"/>
          </w:tcPr>
          <w:p>
            <w:pPr>
              <w:pStyle w:val="12"/>
            </w:pPr>
            <w:r>
              <w:t>75.27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8.25</w:t>
            </w:r>
          </w:p>
        </w:tc>
        <w:tc>
          <w:tcPr>
            <w:tcW w:w="2551" w:type="dxa"/>
            <w:vAlign w:val="center"/>
          </w:tcPr>
          <w:p>
            <w:pPr>
              <w:pStyle w:val="12"/>
            </w:pPr>
            <w:r>
              <w:t>8.25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59.25</w:t>
            </w:r>
          </w:p>
        </w:tc>
        <w:tc>
          <w:tcPr>
            <w:tcW w:w="2551" w:type="dxa"/>
            <w:vAlign w:val="center"/>
          </w:tcPr>
          <w:p>
            <w:pPr>
              <w:pStyle w:val="12"/>
            </w:pPr>
            <w:r>
              <w:t>59.25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19.44</w:t>
            </w:r>
          </w:p>
        </w:tc>
        <w:tc>
          <w:tcPr>
            <w:tcW w:w="2551" w:type="dxa"/>
            <w:vAlign w:val="center"/>
          </w:tcPr>
          <w:p>
            <w:pPr>
              <w:pStyle w:val="12"/>
            </w:pPr>
            <w:r>
              <w:t>19.44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8.06</w:t>
            </w:r>
          </w:p>
        </w:tc>
        <w:tc>
          <w:tcPr>
            <w:tcW w:w="2551" w:type="dxa"/>
            <w:vAlign w:val="center"/>
          </w:tcPr>
          <w:p>
            <w:pPr>
              <w:pStyle w:val="12"/>
            </w:pPr>
            <w:r>
              <w:t>8.06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7.80</w:t>
            </w:r>
          </w:p>
        </w:tc>
        <w:tc>
          <w:tcPr>
            <w:tcW w:w="2551" w:type="dxa"/>
            <w:vAlign w:val="center"/>
          </w:tcPr>
          <w:p>
            <w:pPr>
              <w:pStyle w:val="12"/>
            </w:pPr>
            <w:r>
              <w:t>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1.20</w:t>
            </w:r>
          </w:p>
        </w:tc>
        <w:tc>
          <w:tcPr>
            <w:tcW w:w="2551" w:type="dxa"/>
            <w:vAlign w:val="center"/>
          </w:tcPr>
          <w:p>
            <w:pPr>
              <w:pStyle w:val="12"/>
            </w:pPr>
            <w:r>
              <w:t>1.20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16.14</w:t>
            </w:r>
          </w:p>
        </w:tc>
        <w:tc>
          <w:tcPr>
            <w:tcW w:w="2551" w:type="dxa"/>
            <w:vAlign w:val="center"/>
          </w:tcPr>
          <w:p>
            <w:pPr>
              <w:pStyle w:val="12"/>
            </w:pPr>
            <w:r>
              <w:t>16.14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13.55</w:t>
            </w:r>
          </w:p>
        </w:tc>
        <w:tc>
          <w:tcPr>
            <w:tcW w:w="2551" w:type="dxa"/>
            <w:vAlign w:val="center"/>
          </w:tcPr>
          <w:p>
            <w:pPr>
              <w:pStyle w:val="12"/>
            </w:pPr>
          </w:p>
        </w:tc>
        <w:tc>
          <w:tcPr>
            <w:tcW w:w="2551" w:type="dxa"/>
            <w:vAlign w:val="center"/>
          </w:tcPr>
          <w:p>
            <w:pPr>
              <w:pStyle w:val="12"/>
            </w:pPr>
            <w:r>
              <w:t>13.55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3.64</w:t>
            </w:r>
          </w:p>
        </w:tc>
        <w:tc>
          <w:tcPr>
            <w:tcW w:w="2551" w:type="dxa"/>
            <w:vAlign w:val="center"/>
          </w:tcPr>
          <w:p>
            <w:pPr>
              <w:pStyle w:val="12"/>
            </w:pPr>
          </w:p>
        </w:tc>
        <w:tc>
          <w:tcPr>
            <w:tcW w:w="2551" w:type="dxa"/>
            <w:vAlign w:val="center"/>
          </w:tcPr>
          <w:p>
            <w:pPr>
              <w:pStyle w:val="12"/>
            </w:pPr>
            <w:r>
              <w:t>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0.52</w:t>
            </w:r>
          </w:p>
        </w:tc>
        <w:tc>
          <w:tcPr>
            <w:tcW w:w="2551" w:type="dxa"/>
            <w:vAlign w:val="center"/>
          </w:tcPr>
          <w:p>
            <w:pPr>
              <w:pStyle w:val="12"/>
            </w:pPr>
          </w:p>
        </w:tc>
        <w:tc>
          <w:tcPr>
            <w:tcW w:w="2551"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2.08</w:t>
            </w:r>
          </w:p>
        </w:tc>
        <w:tc>
          <w:tcPr>
            <w:tcW w:w="2551" w:type="dxa"/>
            <w:vAlign w:val="center"/>
          </w:tcPr>
          <w:p>
            <w:pPr>
              <w:pStyle w:val="12"/>
            </w:pPr>
          </w:p>
        </w:tc>
        <w:tc>
          <w:tcPr>
            <w:tcW w:w="2551" w:type="dxa"/>
            <w:vAlign w:val="center"/>
          </w:tcPr>
          <w:p>
            <w:pPr>
              <w:pStyle w:val="12"/>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0.97</w:t>
            </w:r>
          </w:p>
        </w:tc>
        <w:tc>
          <w:tcPr>
            <w:tcW w:w="2551" w:type="dxa"/>
            <w:vAlign w:val="center"/>
          </w:tcPr>
          <w:p>
            <w:pPr>
              <w:pStyle w:val="12"/>
            </w:pPr>
          </w:p>
        </w:tc>
        <w:tc>
          <w:tcPr>
            <w:tcW w:w="2551" w:type="dxa"/>
            <w:vAlign w:val="center"/>
          </w:tcPr>
          <w:p>
            <w:pPr>
              <w:pStyle w:val="12"/>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2.52</w:t>
            </w:r>
          </w:p>
        </w:tc>
        <w:tc>
          <w:tcPr>
            <w:tcW w:w="2551" w:type="dxa"/>
            <w:vAlign w:val="center"/>
          </w:tcPr>
          <w:p>
            <w:pPr>
              <w:pStyle w:val="12"/>
            </w:pPr>
          </w:p>
        </w:tc>
        <w:tc>
          <w:tcPr>
            <w:tcW w:w="2551" w:type="dxa"/>
            <w:vAlign w:val="center"/>
          </w:tcPr>
          <w:p>
            <w:pPr>
              <w:pStyle w:val="12"/>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1.36</w:t>
            </w:r>
          </w:p>
        </w:tc>
        <w:tc>
          <w:tcPr>
            <w:tcW w:w="2551" w:type="dxa"/>
            <w:vAlign w:val="center"/>
          </w:tcPr>
          <w:p>
            <w:pPr>
              <w:pStyle w:val="12"/>
            </w:pPr>
          </w:p>
        </w:tc>
        <w:tc>
          <w:tcPr>
            <w:tcW w:w="2551" w:type="dxa"/>
            <w:vAlign w:val="center"/>
          </w:tcPr>
          <w:p>
            <w:pPr>
              <w:pStyle w:val="12"/>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0.52</w:t>
            </w:r>
          </w:p>
        </w:tc>
        <w:tc>
          <w:tcPr>
            <w:tcW w:w="2551" w:type="dxa"/>
            <w:vAlign w:val="center"/>
          </w:tcPr>
          <w:p>
            <w:pPr>
              <w:pStyle w:val="12"/>
            </w:pPr>
          </w:p>
        </w:tc>
        <w:tc>
          <w:tcPr>
            <w:tcW w:w="2551" w:type="dxa"/>
            <w:vAlign w:val="center"/>
          </w:tcPr>
          <w:p>
            <w:pPr>
              <w:pStyle w:val="12"/>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0.52</w:t>
            </w:r>
          </w:p>
        </w:tc>
        <w:tc>
          <w:tcPr>
            <w:tcW w:w="2551" w:type="dxa"/>
            <w:vAlign w:val="center"/>
          </w:tcPr>
          <w:p>
            <w:pPr>
              <w:pStyle w:val="12"/>
            </w:pPr>
          </w:p>
        </w:tc>
        <w:tc>
          <w:tcPr>
            <w:tcW w:w="2551" w:type="dxa"/>
            <w:vAlign w:val="center"/>
          </w:tcPr>
          <w:p>
            <w:pPr>
              <w:pStyle w:val="12"/>
            </w:pPr>
            <w:r>
              <w:t>0.52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1000.00</w:t>
            </w:r>
          </w:p>
        </w:tc>
        <w:tc>
          <w:tcPr>
            <w:tcW w:w="2551" w:type="dxa"/>
            <w:vAlign w:val="center"/>
          </w:tcPr>
          <w:p>
            <w:pPr>
              <w:pStyle w:val="16"/>
            </w:pPr>
          </w:p>
        </w:tc>
        <w:tc>
          <w:tcPr>
            <w:tcW w:w="2551" w:type="dxa"/>
            <w:vAlign w:val="center"/>
          </w:tcPr>
          <w:p>
            <w:pPr>
              <w:pStyle w:val="16"/>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1000.00</w:t>
            </w:r>
          </w:p>
        </w:tc>
        <w:tc>
          <w:tcPr>
            <w:tcW w:w="2551" w:type="dxa"/>
            <w:vAlign w:val="center"/>
          </w:tcPr>
          <w:p>
            <w:pPr>
              <w:pStyle w:val="12"/>
            </w:pPr>
          </w:p>
        </w:tc>
        <w:tc>
          <w:tcPr>
            <w:tcW w:w="2551"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1000.00</w:t>
            </w:r>
          </w:p>
        </w:tc>
        <w:tc>
          <w:tcPr>
            <w:tcW w:w="2551" w:type="dxa"/>
            <w:vAlign w:val="center"/>
          </w:tcPr>
          <w:p>
            <w:pPr>
              <w:pStyle w:val="12"/>
            </w:pPr>
          </w:p>
        </w:tc>
        <w:tc>
          <w:tcPr>
            <w:tcW w:w="2551" w:type="dxa"/>
            <w:vAlign w:val="center"/>
          </w:tcPr>
          <w:p>
            <w:pPr>
              <w:pStyle w:val="12"/>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2120803</w:t>
            </w:r>
          </w:p>
        </w:tc>
        <w:tc>
          <w:tcPr>
            <w:tcW w:w="4535" w:type="dxa"/>
            <w:vAlign w:val="center"/>
          </w:tcPr>
          <w:p>
            <w:pPr>
              <w:pStyle w:val="13"/>
            </w:pPr>
            <w:r>
              <w:t>城市建设支出</w:t>
            </w:r>
          </w:p>
        </w:tc>
        <w:tc>
          <w:tcPr>
            <w:tcW w:w="2551" w:type="dxa"/>
            <w:vAlign w:val="center"/>
          </w:tcPr>
          <w:p>
            <w:pPr>
              <w:pStyle w:val="12"/>
            </w:pPr>
            <w:r>
              <w:t>1000.00</w:t>
            </w:r>
          </w:p>
        </w:tc>
        <w:tc>
          <w:tcPr>
            <w:tcW w:w="2551" w:type="dxa"/>
            <w:vAlign w:val="center"/>
          </w:tcPr>
          <w:p>
            <w:pPr>
              <w:pStyle w:val="12"/>
            </w:pPr>
          </w:p>
        </w:tc>
        <w:tc>
          <w:tcPr>
            <w:tcW w:w="2551" w:type="dxa"/>
            <w:vAlign w:val="center"/>
          </w:tcPr>
          <w:p>
            <w:pPr>
              <w:pStyle w:val="12"/>
            </w:pPr>
            <w:r>
              <w:t>1000.00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0.16</w:t>
            </w:r>
          </w:p>
        </w:tc>
        <w:tc>
          <w:tcPr>
            <w:tcW w:w="2381" w:type="dxa"/>
            <w:vAlign w:val="center"/>
          </w:tcPr>
          <w:p>
            <w:pPr>
              <w:pStyle w:val="16"/>
              <w:rPr>
                <w:rFonts w:hint="default" w:eastAsia="方正书宋_GBK"/>
                <w:lang w:val="en-US" w:eastAsia="zh-CN"/>
              </w:rPr>
            </w:pPr>
            <w:r>
              <w:rPr>
                <w:rFonts w:hint="eastAsia"/>
                <w:lang w:val="en-US" w:eastAsia="zh-CN"/>
              </w:rPr>
              <w:t>0.16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0.16</w:t>
            </w:r>
          </w:p>
        </w:tc>
        <w:tc>
          <w:tcPr>
            <w:tcW w:w="2381" w:type="dxa"/>
            <w:vAlign w:val="center"/>
          </w:tcPr>
          <w:p>
            <w:pPr>
              <w:pStyle w:val="12"/>
            </w:pPr>
            <w:r>
              <w:t>0.16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0.16</w:t>
            </w:r>
          </w:p>
        </w:tc>
        <w:tc>
          <w:tcPr>
            <w:tcW w:w="2381" w:type="dxa"/>
            <w:vAlign w:val="center"/>
          </w:tcPr>
          <w:p>
            <w:pPr>
              <w:pStyle w:val="12"/>
            </w:pPr>
            <w:r>
              <w:t>0.16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秦皇岛北戴河新区营商环境和企业服务局2026年部门预算信息公开情况说明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秦皇岛北戴河新区营商环境和企业服务局2026年部门预算信息公开情况说明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按照《中华人民共和国预算法》、《地方预决算公开操作规程》和《关于进一步推进预算公开工作的实施意见》规定，现将秦皇岛北戴河新区营商环境和企业服务局2026年部门预算公开如下：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pStyle w:val="18"/>
      </w:pPr>
      <w:r>
        <w:t>根据《秦皇岛北戴河新区营商环境和企业服务局职能配置、内设机构和人员编制规定》，秦皇岛北戴河新区营商环境和企业服务局的主要职责是：</w:t>
      </w:r>
    </w:p>
    <w:p>
      <w:pPr>
        <w:pStyle w:val="18"/>
      </w:pPr>
      <w:r>
        <w:t>秦皇岛北戴河新区营商环境和企业服务局（简称新区营商服务局）为新区党工委、管委会工作部门，新区营商服务局负责贯彻落实党中央和省市委、新区工委关于优化营商环境和企业服务工作的方针政策和决策部署，坚持和加强党对优化营商环境和企业服务工作的统一领导，主要职责如下：</w:t>
      </w:r>
    </w:p>
    <w:p>
      <w:pPr>
        <w:pStyle w:val="18"/>
      </w:pPr>
      <w:r>
        <w:t>（一）负责拟订和落实优化营商环境、强化企业服务的中长期规划、年度计划和政策措施。</w:t>
      </w:r>
    </w:p>
    <w:p>
      <w:pPr>
        <w:pStyle w:val="18"/>
      </w:pPr>
      <w:r>
        <w:t>（二）负责统筹推动、组织协调、监督指导优化营商环境日常工作。</w:t>
      </w:r>
    </w:p>
    <w:p>
      <w:pPr>
        <w:pStyle w:val="18"/>
      </w:pPr>
      <w:r>
        <w:t>（三）负责建立健全常态化政企沟通机制、经营主体诉求反馈机制并组织实施。</w:t>
      </w:r>
    </w:p>
    <w:p>
      <w:pPr>
        <w:pStyle w:val="18"/>
      </w:pPr>
      <w:r>
        <w:t>（四）负责建立健全营商环境考核体系并组织开展。</w:t>
      </w:r>
    </w:p>
    <w:p>
      <w:pPr>
        <w:pStyle w:val="18"/>
      </w:pPr>
      <w:r>
        <w:t>（五）负责受理、调查、转办、交办、督办损害营商环境行为的投诉举报等工作。</w:t>
      </w:r>
    </w:p>
    <w:p>
      <w:pPr>
        <w:pStyle w:val="18"/>
      </w:pPr>
      <w:r>
        <w:t>（六）负责建立健全重点产业项目服务机制，为项目审批、施工建设、竣工投产等阶段提供领办代办服务。</w:t>
      </w:r>
    </w:p>
    <w:p>
      <w:pPr>
        <w:pStyle w:val="18"/>
      </w:pPr>
      <w:r>
        <w:t>（七）负责协调解决重点产业项目建设过程中的问题和困难。</w:t>
      </w:r>
    </w:p>
    <w:p>
      <w:pPr>
        <w:pStyle w:val="18"/>
      </w:pPr>
      <w:r>
        <w:t>（八）负责重点产业项目信息平台和谋划储备项目库的搭建及运营管理工作。</w:t>
      </w:r>
    </w:p>
    <w:p>
      <w:pPr>
        <w:pStyle w:val="18"/>
      </w:pPr>
      <w:r>
        <w:t>（九）负责为企业提供政策咨询、知识产权、项目创建等服务。</w:t>
      </w:r>
    </w:p>
    <w:p>
      <w:pPr>
        <w:pStyle w:val="18"/>
      </w:pPr>
      <w:r>
        <w:t>（十）承办新区党工委、管委会交办的其他事项。</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秦皇岛北戴河新区营商环境和企业服务局本级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按照预算管理有关规定，目前部门预算的编制实行综合预算管理，即全部收入和支出都反映在预算中。秦皇岛北戴河新区营商环境和企业服务局机关及所属事业单位的收支包含在部门预算中。</w:t>
      </w:r>
    </w:p>
    <w:p>
      <w:pPr>
        <w:pStyle w:val="19"/>
      </w:pPr>
      <w:r>
        <w:t>1、收入说明</w:t>
      </w:r>
    </w:p>
    <w:p>
      <w:pPr>
        <w:pStyle w:val="19"/>
      </w:pPr>
      <w:r>
        <w:t>反映本部门当年全部收入。2026年预算收入1239.48万元，其中：一般公共预算收入239.48万元，基金预算收入1000.00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北戴河新区营商环境和企业服务局年度部门预算中支出预算的总体情况。2026年支出预算1239.48万元，其中基本支出209.48万元，包括人员经费195.41万元和日常公用经费14.07万元；项目支出1030.00万元，主要为产业新城开发建设运营资金1000万元和营商环境和企业服务工作经费30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1239.48万元，较2025年预算减少983.69万元，其中：基本支出增加21.31万元，主要为2026年新增事业编制人员1人，基本支出增加。项目支出减少1005.00万元，主要为产业新城开发建设运营资金和营商环境和企业服务工作经费年度预算减少，压缩预算，节约开支。。预计下年使用的单位资金结余增加0.00万元。</w:t>
      </w:r>
    </w:p>
    <w:p>
      <w:pPr>
        <w:pStyle w:val="26"/>
        <w:rPr>
          <w:rFonts w:ascii="黑体" w:hAnsi="黑体" w:eastAsia="黑体" w:cs="黑体"/>
          <w:color w:val="000000"/>
          <w:sz w:val="32"/>
        </w:rPr>
      </w:pPr>
      <w:bookmarkStart w:id="11" w:name="_Toc_3_3_0000000012"/>
      <w:r>
        <w:rPr>
          <w:rFonts w:hint="eastAsia" w:ascii="黑体" w:hAnsi="黑体" w:eastAsia="黑体" w:cs="黑体"/>
          <w:color w:val="000000"/>
          <w:sz w:val="32"/>
          <w:lang w:val="en-US" w:eastAsia="zh-CN"/>
        </w:rPr>
        <w:t>三、</w:t>
      </w:r>
      <w:r>
        <w:rPr>
          <w:rFonts w:ascii="黑体" w:hAnsi="黑体" w:eastAsia="黑体" w:cs="黑体"/>
          <w:color w:val="000000"/>
          <w:sz w:val="32"/>
        </w:rPr>
        <w:t>机关运行经费安排情况</w:t>
      </w:r>
      <w:bookmarkEnd w:id="11"/>
    </w:p>
    <w:p>
      <w:pPr>
        <w:pStyle w:val="26"/>
      </w:pPr>
      <w:r>
        <w:t>2026年，我</w:t>
      </w:r>
      <w:r>
        <w:rPr>
          <w:rFonts w:hint="eastAsia"/>
          <w:lang w:val="en-US" w:eastAsia="zh-CN"/>
        </w:rPr>
        <w:t>部门</w:t>
      </w:r>
      <w:bookmarkStart w:id="20" w:name="_GoBack"/>
      <w:bookmarkEnd w:id="20"/>
      <w:r>
        <w:t>机关运行经费共计安排14.07万元，主要用于日常维修、办公用房水电费、办公用房取暖费、办公用房物业管理费等日常运行支出。</w:t>
      </w:r>
    </w:p>
    <w:p>
      <w:pPr>
        <w:numPr>
          <w:numId w:val="0"/>
        </w:numPr>
        <w:spacing w:before="10" w:after="10" w:line="360" w:lineRule="auto"/>
        <w:ind w:left="480" w:leftChars="0"/>
        <w:jc w:val="left"/>
        <w:outlineLvl w:val="2"/>
        <w:rPr>
          <w:rFonts w:ascii="黑体" w:hAnsi="黑体" w:eastAsia="黑体" w:cs="黑体"/>
          <w:color w:val="000000"/>
          <w:sz w:val="32"/>
        </w:rPr>
      </w:pP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0.16万元，其中因公出国（境）费0.00万元；公务用车购置及运维费0.00万元（其中：公务用车购置费为0.00万元，公务用车运维费0.00万元)；公务接待费0.16万元。与2025年相比减少0.00万元，增减变化的主要原因是2026年度和2025年度预算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营商环境和企业服务局坚持以习近平新时代中国特色社会主义思想为指导，全面贯彻落实党的二十大和二十届三中、四中全会精神，在新区工管委的坚强领导下，积极开展招商引资、保障项目建设、优化营商环境等各项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（一）攻坚招商引资</w:t>
      </w:r>
    </w:p>
    <w:p>
      <w:pPr>
        <w:pStyle w:val="23"/>
      </w:pPr>
      <w:r>
        <w:t>一是系统梳理现有在谈项目资源，建立动态跟踪推进机制。重点突破华大健康生命养护中心、海洋高分子环保材料等具有技术引领性和产业带动力的项目，推动投资合作协议的签订，形成产业升级新支点。二是拓展多元化招商渠道，依托新区产业政策与载体资源，瞄准医疗器械、康养科技、生物医药等高成长领域，积极拓展国际合作，对接韩国医美技术、再生医学资源，推动国际先进成果在新区转化。三是深化企业协同以商招商，强化与乐杰、华大、爱晖等已落地企业的战略互动，支持其与北京细胞治疗转化研究院、上海复旦大学、上海医药等机构共建研发平台，推动产业链协同创新。</w:t>
      </w:r>
    </w:p>
    <w:p>
      <w:pPr>
        <w:pStyle w:val="23"/>
      </w:pPr>
      <w:r>
        <w:t>（二）保障项目建设</w:t>
      </w:r>
    </w:p>
    <w:p>
      <w:pPr>
        <w:pStyle w:val="23"/>
      </w:pPr>
      <w:r>
        <w:t>一是高效完善项目手续。针对秦海康海洋保健功能食品生产、瑞科新能源环保设备生产等已开工项目，强化全流程的领办代办服务力度，力争在最短时限内完成竣工验收，确保项目如期竣工尽早实现投产达效。二是助力竣工项目市场化运营，对华大?映日海康养中心、乐杰细胞库等已竣工项目，持续开展资源嫁接与市场对接，协助拓展商业合作、技术转化与应用场景，推动项目尽快实现经济效益与社会价值。三是落实产业及人才扶持政策，加强人才引进，推动投资协议履约执行工作，完成项目奖励兑现，切实提升服务企业质效。</w:t>
      </w:r>
    </w:p>
    <w:p>
      <w:pPr>
        <w:pStyle w:val="23"/>
      </w:pPr>
      <w:r>
        <w:t>（三)优化营商环境</w:t>
      </w:r>
    </w:p>
    <w:p>
      <w:pPr>
        <w:pStyle w:val="23"/>
      </w:pPr>
      <w:r>
        <w:t>一是牵头编制新区优化营商环境中长期规划，明确“三年目标、年度任务、责任清单”，持续指导新区营商环境建设工作。二是进一步健全和落实“问题收集—限时办结—企业评价”监督机制，确保问题真解决、企业真满意。三是做好政企常态化沟通保障措施工作，稳步推进政企关系向好发展。四是深入挖潜创新机制，按照打造市场化、法治化、国际化营商环境的相关要求，搭建多元化企业服务平台。</w:t>
      </w:r>
    </w:p>
    <w:p>
      <w:pPr>
        <w:pStyle w:val="23"/>
      </w:pPr>
      <w:r>
        <w:t>(四)锻造干部队伍</w:t>
      </w:r>
    </w:p>
    <w:p>
      <w:pPr>
        <w:pStyle w:val="23"/>
      </w:pPr>
      <w:r>
        <w:t>一是抓实政治理论学习。深入学习贯彻习近平新时代中国特色社会主义思想和党的二十大及二十届四中全会精神，扎实开展“第一议题”“三会一课”和理论中心组学习，加强意识形态分析研判，切实提升党组织的凝聚力和战斗力。二是抓实党建责任落实。压紧压实班子成员和党员干部的党建责任，理顺责任落实体系，不断提高党员干部服务企业、服务发展的工作能力。三是抓实干部队伍建设。着力打造高素质专业化干部队伍，组织开展招商引资、企业服务和项目建设等各类专业培训，不断提升干部职工整体业务水平，推动各项工作取得更好成绩。</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（一）加强组织领导，明确工作责任。</w:t>
      </w:r>
    </w:p>
    <w:p>
      <w:pPr>
        <w:pStyle w:val="24"/>
      </w:pPr>
      <w:r>
        <w:t>高度重视预算绩效各项工作，切实加强领导，增强责任意识，精心谋划，周密部署，明确责任分工，扎实推动，确保落实。</w:t>
      </w:r>
    </w:p>
    <w:p>
      <w:pPr>
        <w:pStyle w:val="24"/>
      </w:pPr>
      <w:r>
        <w:t>（二）完善制度建设</w:t>
      </w:r>
    </w:p>
    <w:p>
      <w:pPr>
        <w:pStyle w:val="24"/>
      </w:pPr>
      <w:r>
        <w:t>建立健全管理制度，认真梳理部门职责、工作内容，建立了规范的绩效预算管理结构，健全了绩效目标指标体系。</w:t>
      </w:r>
    </w:p>
    <w:p>
      <w:pPr>
        <w:pStyle w:val="24"/>
      </w:pPr>
      <w:r>
        <w:t>（三）加强支出管理</w:t>
      </w:r>
    </w:p>
    <w:p>
      <w:pPr>
        <w:pStyle w:val="24"/>
      </w:pPr>
      <w:r>
        <w:t>严格执行国家的财政、财务制度、开支范围和标准，建立健全必要的支出管理制度和手续，分清各种支出界限，按照批准的严格审批手续。</w:t>
      </w:r>
    </w:p>
    <w:p>
      <w:pPr>
        <w:pStyle w:val="24"/>
      </w:pPr>
      <w:r>
        <w:t>（四）加强绩效运行监控</w:t>
      </w:r>
    </w:p>
    <w:p>
      <w:pPr>
        <w:pStyle w:val="24"/>
        <w:sectPr>
          <w:pgSz w:w="16840" w:h="11900" w:orient="landscape"/>
          <w:pgMar w:top="1361" w:right="1020" w:bottom="1361" w:left="1020" w:header="720" w:footer="720" w:gutter="0"/>
        </w:sectPr>
      </w:pPr>
      <w:r>
        <w:t>加强对预算执行的监督检查，依据充分、制度健全、资金使用规范、监管责任落实到位，较好发挥财政资金使用效益。</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1、营商环境和企业服务工作经费绩效目标表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13031326P000003100338</w:t>
            </w:r>
          </w:p>
        </w:tc>
        <w:tc>
          <w:tcPr>
            <w:tcW w:w="2835" w:type="dxa"/>
            <w:vAlign w:val="center"/>
          </w:tcPr>
          <w:p>
            <w:pPr>
              <w:pStyle w:val="11"/>
            </w:pPr>
            <w:r>
              <w:t>项目名称</w:t>
            </w:r>
          </w:p>
        </w:tc>
        <w:tc>
          <w:tcPr>
            <w:tcW w:w="6095" w:type="dxa"/>
            <w:gridSpan w:val="3"/>
            <w:vAlign w:val="center"/>
          </w:tcPr>
          <w:p>
            <w:pPr>
              <w:pStyle w:val="13"/>
            </w:pPr>
            <w:r>
              <w:t>营商环境和企业服务工作经费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做好招商引资、保障项目建设、优化营商环境等目标任务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1.做好招商引资、保障项目建设、优化营商环境等目标任务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系统安全运行天数</w:t>
            </w:r>
          </w:p>
        </w:tc>
        <w:tc>
          <w:tcPr>
            <w:tcW w:w="5386" w:type="dxa"/>
            <w:vAlign w:val="center"/>
          </w:tcPr>
          <w:p>
            <w:pPr>
              <w:pStyle w:val="13"/>
            </w:pPr>
            <w:r>
              <w:t>办公等设备正常运行，无故障的天数</w:t>
            </w:r>
          </w:p>
        </w:tc>
        <w:tc>
          <w:tcPr>
            <w:tcW w:w="2268" w:type="dxa"/>
            <w:vAlign w:val="center"/>
          </w:tcPr>
          <w:p>
            <w:pPr>
              <w:pStyle w:val="13"/>
            </w:pPr>
            <w:r>
              <w:t>≤365天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系统故障率</w:t>
            </w:r>
          </w:p>
        </w:tc>
        <w:tc>
          <w:tcPr>
            <w:tcW w:w="5386" w:type="dxa"/>
            <w:vAlign w:val="center"/>
          </w:tcPr>
          <w:p>
            <w:pPr>
              <w:pStyle w:val="13"/>
            </w:pPr>
            <w:r>
              <w:t>因系统故障影响不能办理业务的天数比率</w:t>
            </w:r>
          </w:p>
        </w:tc>
        <w:tc>
          <w:tcPr>
            <w:tcW w:w="2268" w:type="dxa"/>
            <w:vAlign w:val="center"/>
          </w:tcPr>
          <w:p>
            <w:pPr>
              <w:pStyle w:val="13"/>
            </w:pPr>
            <w:r>
              <w:t>≤1%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公文收发情况</w:t>
            </w:r>
          </w:p>
        </w:tc>
        <w:tc>
          <w:tcPr>
            <w:tcW w:w="5386" w:type="dxa"/>
            <w:vAlign w:val="center"/>
          </w:tcPr>
          <w:p>
            <w:pPr>
              <w:pStyle w:val="13"/>
            </w:pPr>
            <w:r>
              <w:t>反映部门接收公文比率</w:t>
            </w:r>
          </w:p>
        </w:tc>
        <w:tc>
          <w:tcPr>
            <w:tcW w:w="2268" w:type="dxa"/>
            <w:vAlign w:val="center"/>
          </w:tcPr>
          <w:p>
            <w:pPr>
              <w:pStyle w:val="13"/>
            </w:pPr>
            <w:r>
              <w:t>≥96%</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成本控制预算数</w:t>
            </w:r>
          </w:p>
        </w:tc>
        <w:tc>
          <w:tcPr>
            <w:tcW w:w="5386" w:type="dxa"/>
            <w:vAlign w:val="center"/>
          </w:tcPr>
          <w:p>
            <w:pPr>
              <w:pStyle w:val="13"/>
            </w:pPr>
            <w:r>
              <w:t>实际支出金额小于预算控制数</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营商环境持续优化</w:t>
            </w:r>
          </w:p>
        </w:tc>
        <w:tc>
          <w:tcPr>
            <w:tcW w:w="5386" w:type="dxa"/>
            <w:vAlign w:val="center"/>
          </w:tcPr>
          <w:p>
            <w:pPr>
              <w:pStyle w:val="13"/>
            </w:pPr>
            <w:r>
              <w:t>营商环境逐年提升</w:t>
            </w:r>
          </w:p>
        </w:tc>
        <w:tc>
          <w:tcPr>
            <w:tcW w:w="2268" w:type="dxa"/>
            <w:vAlign w:val="center"/>
          </w:tcPr>
          <w:p>
            <w:pPr>
              <w:pStyle w:val="13"/>
            </w:pPr>
            <w:r>
              <w:t>显著提升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提升经济水平</w:t>
            </w:r>
          </w:p>
        </w:tc>
        <w:tc>
          <w:tcPr>
            <w:tcW w:w="5386" w:type="dxa"/>
            <w:vAlign w:val="center"/>
          </w:tcPr>
          <w:p>
            <w:pPr>
              <w:pStyle w:val="13"/>
            </w:pPr>
            <w:r>
              <w:t>通过招商引资，促进项目落地，带动经济水平</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提升人居环境</w:t>
            </w:r>
          </w:p>
        </w:tc>
        <w:tc>
          <w:tcPr>
            <w:tcW w:w="5386" w:type="dxa"/>
            <w:vAlign w:val="center"/>
          </w:tcPr>
          <w:p>
            <w:pPr>
              <w:pStyle w:val="13"/>
            </w:pPr>
            <w:r>
              <w:t>基础设施配套，人居环境得到提升</w:t>
            </w:r>
          </w:p>
        </w:tc>
        <w:tc>
          <w:tcPr>
            <w:tcW w:w="2268" w:type="dxa"/>
            <w:vAlign w:val="center"/>
          </w:tcPr>
          <w:p>
            <w:pPr>
              <w:pStyle w:val="13"/>
            </w:pPr>
            <w:r>
              <w:t>≥88%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提升工作效率和整体业务水平</w:t>
            </w:r>
          </w:p>
        </w:tc>
        <w:tc>
          <w:tcPr>
            <w:tcW w:w="5386" w:type="dxa"/>
            <w:vAlign w:val="center"/>
          </w:tcPr>
          <w:p>
            <w:pPr>
              <w:pStyle w:val="13"/>
            </w:pPr>
            <w:r>
              <w:t>不断提升干部职工整体业务水平，推动各项工作取得更好成绩</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被调查单位或群体对本单位工作的满意程度</w:t>
            </w:r>
          </w:p>
        </w:tc>
        <w:tc>
          <w:tcPr>
            <w:tcW w:w="2268" w:type="dxa"/>
            <w:vAlign w:val="center"/>
          </w:tcPr>
          <w:p>
            <w:pPr>
              <w:pStyle w:val="13"/>
            </w:pPr>
            <w:r>
              <w:t>≥90%</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2、产业新城开发建设运营资金绩效目标表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13031326P000013100220</w:t>
            </w:r>
          </w:p>
        </w:tc>
        <w:tc>
          <w:tcPr>
            <w:tcW w:w="2835" w:type="dxa"/>
            <w:vAlign w:val="center"/>
          </w:tcPr>
          <w:p>
            <w:pPr>
              <w:pStyle w:val="11"/>
            </w:pPr>
            <w:r>
              <w:t>项目名称</w:t>
            </w:r>
          </w:p>
        </w:tc>
        <w:tc>
          <w:tcPr>
            <w:tcW w:w="6095" w:type="dxa"/>
            <w:gridSpan w:val="3"/>
            <w:vAlign w:val="center"/>
          </w:tcPr>
          <w:p>
            <w:pPr>
              <w:pStyle w:val="13"/>
            </w:pPr>
            <w:r>
              <w:t>产业新城开发建设运营资金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由社会资本方负责开展基础设施建设、运营、维护，公共设施建设，土地整理投资，产业发展服务及其他咨询服务；</w:t>
            </w:r>
          </w:p>
          <w:p>
            <w:pPr>
              <w:pStyle w:val="13"/>
            </w:pPr>
            <w:r>
              <w:t>推进合作区域内规划编制调整、收储征用土地补偿、建设工程项目实施；</w:t>
            </w:r>
          </w:p>
          <w:p>
            <w:pPr>
              <w:pStyle w:val="13"/>
            </w:pPr>
            <w:r>
              <w:t>完善中心片区路网建设，水电暖等配套设施建设，环境改造提升，提升产业新城城市和产业形象。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1.改善生态环境，完善城市功能，提高人民幸福生活指数</w:t>
            </w:r>
          </w:p>
          <w:p>
            <w:pPr>
              <w:pStyle w:val="13"/>
            </w:pPr>
            <w:r>
              <w:t>2.完善城市公共基础设施配套，保障城市良好运转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固定投资额</w:t>
            </w:r>
          </w:p>
        </w:tc>
        <w:tc>
          <w:tcPr>
            <w:tcW w:w="5386" w:type="dxa"/>
            <w:vAlign w:val="center"/>
          </w:tcPr>
          <w:p>
            <w:pPr>
              <w:pStyle w:val="13"/>
            </w:pPr>
            <w:r>
              <w:t>基础设施项目投资额</w:t>
            </w:r>
          </w:p>
        </w:tc>
        <w:tc>
          <w:tcPr>
            <w:tcW w:w="2268" w:type="dxa"/>
            <w:vAlign w:val="center"/>
          </w:tcPr>
          <w:p>
            <w:pPr>
              <w:pStyle w:val="13"/>
            </w:pPr>
            <w:r>
              <w:t>≥1000万元</w:t>
            </w:r>
          </w:p>
        </w:tc>
        <w:tc>
          <w:tcPr>
            <w:tcW w:w="1276" w:type="dxa"/>
            <w:vAlign w:val="center"/>
          </w:tcPr>
          <w:p>
            <w:pPr>
              <w:pStyle w:val="13"/>
            </w:pPr>
            <w:r>
              <w:t>实际投资额</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道路、管网、绿化等基础设施与公建设施项目</w:t>
            </w:r>
          </w:p>
        </w:tc>
        <w:tc>
          <w:tcPr>
            <w:tcW w:w="2268" w:type="dxa"/>
            <w:vAlign w:val="center"/>
          </w:tcPr>
          <w:p>
            <w:pPr>
              <w:pStyle w:val="13"/>
            </w:pPr>
            <w:r>
              <w:t>≥2个</w:t>
            </w:r>
          </w:p>
        </w:tc>
        <w:tc>
          <w:tcPr>
            <w:tcW w:w="1276" w:type="dxa"/>
            <w:vAlign w:val="center"/>
          </w:tcPr>
          <w:p>
            <w:pPr>
              <w:pStyle w:val="13"/>
            </w:pPr>
          </w:p>
          <w:p>
            <w:pPr>
              <w:pStyle w:val="13"/>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公建设施服务人数</w:t>
            </w:r>
          </w:p>
        </w:tc>
        <w:tc>
          <w:tcPr>
            <w:tcW w:w="5386" w:type="dxa"/>
            <w:vAlign w:val="center"/>
          </w:tcPr>
          <w:p>
            <w:pPr>
              <w:pStyle w:val="13"/>
            </w:pPr>
            <w:r>
              <w:t>现有公共设施建筑服务群众人次</w:t>
            </w:r>
          </w:p>
        </w:tc>
        <w:tc>
          <w:tcPr>
            <w:tcW w:w="2268" w:type="dxa"/>
            <w:vAlign w:val="center"/>
          </w:tcPr>
          <w:p>
            <w:pPr>
              <w:pStyle w:val="13"/>
            </w:pPr>
            <w:r>
              <w:t>≥3000人次</w:t>
            </w:r>
          </w:p>
        </w:tc>
        <w:tc>
          <w:tcPr>
            <w:tcW w:w="1276" w:type="dxa"/>
            <w:vAlign w:val="center"/>
          </w:tcPr>
          <w:p>
            <w:pPr>
              <w:pStyle w:val="13"/>
            </w:pPr>
          </w:p>
          <w:p>
            <w:pPr>
              <w:pStyle w:val="13"/>
            </w:pPr>
            <w:r>
              <w:t>实际数量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项目建设完工率</w:t>
            </w:r>
          </w:p>
        </w:tc>
        <w:tc>
          <w:tcPr>
            <w:tcW w:w="5386" w:type="dxa"/>
            <w:vAlign w:val="center"/>
          </w:tcPr>
          <w:p>
            <w:pPr>
              <w:pStyle w:val="13"/>
            </w:pPr>
            <w:r>
              <w:t>开工项目完工比例</w:t>
            </w:r>
          </w:p>
        </w:tc>
        <w:tc>
          <w:tcPr>
            <w:tcW w:w="2268" w:type="dxa"/>
            <w:vAlign w:val="center"/>
          </w:tcPr>
          <w:p>
            <w:pPr>
              <w:pStyle w:val="13"/>
            </w:pPr>
            <w:r>
              <w:t>≥90百分比</w:t>
            </w:r>
          </w:p>
        </w:tc>
        <w:tc>
          <w:tcPr>
            <w:tcW w:w="1276" w:type="dxa"/>
            <w:vAlign w:val="center"/>
          </w:tcPr>
          <w:p>
            <w:pPr>
              <w:pStyle w:val="13"/>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项目建设合格率</w:t>
            </w:r>
          </w:p>
        </w:tc>
        <w:tc>
          <w:tcPr>
            <w:tcW w:w="5386" w:type="dxa"/>
            <w:vAlign w:val="center"/>
          </w:tcPr>
          <w:p>
            <w:pPr>
              <w:pStyle w:val="13"/>
            </w:pPr>
            <w:r>
              <w:t>项目建设质量合格比例</w:t>
            </w:r>
          </w:p>
        </w:tc>
        <w:tc>
          <w:tcPr>
            <w:tcW w:w="2268" w:type="dxa"/>
            <w:vAlign w:val="center"/>
          </w:tcPr>
          <w:p>
            <w:pPr>
              <w:pStyle w:val="13"/>
            </w:pPr>
            <w:r>
              <w:t>≥100百分比</w:t>
            </w:r>
          </w:p>
        </w:tc>
        <w:tc>
          <w:tcPr>
            <w:tcW w:w="1276" w:type="dxa"/>
            <w:vAlign w:val="center"/>
          </w:tcPr>
          <w:p>
            <w:pPr>
              <w:pStyle w:val="13"/>
            </w:pPr>
            <w:r>
              <w:t>实际比例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域内新增税收</w:t>
            </w:r>
          </w:p>
        </w:tc>
        <w:tc>
          <w:tcPr>
            <w:tcW w:w="5386" w:type="dxa"/>
            <w:vAlign w:val="center"/>
          </w:tcPr>
          <w:p>
            <w:pPr>
              <w:pStyle w:val="13"/>
            </w:pPr>
            <w:r>
              <w:t>企业缴纳的税款</w:t>
            </w:r>
          </w:p>
        </w:tc>
        <w:tc>
          <w:tcPr>
            <w:tcW w:w="2268" w:type="dxa"/>
            <w:vAlign w:val="center"/>
          </w:tcPr>
          <w:p>
            <w:pPr>
              <w:pStyle w:val="13"/>
            </w:pPr>
            <w:r>
              <w:t>≥1000万元</w:t>
            </w:r>
          </w:p>
        </w:tc>
        <w:tc>
          <w:tcPr>
            <w:tcW w:w="1276" w:type="dxa"/>
            <w:vAlign w:val="center"/>
          </w:tcPr>
          <w:p>
            <w:pPr>
              <w:pStyle w:val="13"/>
            </w:pPr>
            <w:r>
              <w:t>税收收入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城市环境</w:t>
            </w:r>
          </w:p>
        </w:tc>
        <w:tc>
          <w:tcPr>
            <w:tcW w:w="5386" w:type="dxa"/>
            <w:vAlign w:val="center"/>
          </w:tcPr>
          <w:p>
            <w:pPr>
              <w:pStyle w:val="13"/>
            </w:pPr>
            <w:r>
              <w:t>道路绿化等环境提升数量</w:t>
            </w:r>
          </w:p>
        </w:tc>
        <w:tc>
          <w:tcPr>
            <w:tcW w:w="2268" w:type="dxa"/>
            <w:vAlign w:val="center"/>
          </w:tcPr>
          <w:p>
            <w:pPr>
              <w:pStyle w:val="13"/>
            </w:pPr>
            <w:r>
              <w:t>≥2000平米</w:t>
            </w:r>
          </w:p>
        </w:tc>
        <w:tc>
          <w:tcPr>
            <w:tcW w:w="1276" w:type="dxa"/>
            <w:vAlign w:val="center"/>
          </w:tcPr>
          <w:p>
            <w:pPr>
              <w:pStyle w:val="13"/>
            </w:pPr>
            <w:r>
              <w:t>实际数量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≥95%</w:t>
            </w:r>
          </w:p>
        </w:tc>
        <w:tc>
          <w:tcPr>
            <w:tcW w:w="1276" w:type="dxa"/>
            <w:vAlign w:val="center"/>
          </w:tcPr>
          <w:p>
            <w:pPr>
              <w:pStyle w:val="13"/>
            </w:pPr>
            <w:r>
              <w:t>走访调查、电话咨询</w:t>
            </w:r>
          </w:p>
          <w:p>
            <w:pPr>
              <w:pStyle w:val="13"/>
            </w:pP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1.89</w:t>
            </w:r>
          </w:p>
        </w:tc>
        <w:tc>
          <w:tcPr>
            <w:tcW w:w="964" w:type="dxa"/>
            <w:vAlign w:val="center"/>
          </w:tcPr>
          <w:p>
            <w:pPr>
              <w:pStyle w:val="16"/>
            </w:pPr>
            <w:r>
              <w:t>1.89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秦皇岛北戴河新区营商环境和企业服务局本级小计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1.89</w:t>
            </w:r>
          </w:p>
        </w:tc>
        <w:tc>
          <w:tcPr>
            <w:tcW w:w="964" w:type="dxa"/>
            <w:vAlign w:val="center"/>
          </w:tcPr>
          <w:p>
            <w:pPr>
              <w:pStyle w:val="16"/>
            </w:pPr>
            <w:r>
              <w:t>1.89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7.31</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6.76</w:t>
            </w:r>
          </w:p>
        </w:tc>
        <w:tc>
          <w:tcPr>
            <w:tcW w:w="1134" w:type="dxa"/>
            <w:vAlign w:val="center"/>
          </w:tcPr>
          <w:p>
            <w:pPr>
              <w:pStyle w:val="13"/>
            </w:pPr>
            <w:r>
              <w:t>其他输入输出设备</w:t>
            </w:r>
          </w:p>
        </w:tc>
        <w:tc>
          <w:tcPr>
            <w:tcW w:w="1134" w:type="dxa"/>
            <w:vAlign w:val="center"/>
          </w:tcPr>
          <w:p>
            <w:pPr>
              <w:pStyle w:val="13"/>
            </w:pPr>
            <w:r>
              <w:t>A02021199</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6.76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100</w:t>
            </w:r>
          </w:p>
        </w:tc>
        <w:tc>
          <w:tcPr>
            <w:tcW w:w="850" w:type="dxa"/>
            <w:vAlign w:val="center"/>
          </w:tcPr>
          <w:p>
            <w:pPr>
              <w:pStyle w:val="12"/>
            </w:pPr>
            <w:r>
              <w:t>0.00</w:t>
            </w:r>
          </w:p>
        </w:tc>
        <w:tc>
          <w:tcPr>
            <w:tcW w:w="964" w:type="dxa"/>
            <w:vAlign w:val="center"/>
          </w:tcPr>
          <w:p>
            <w:pPr>
              <w:pStyle w:val="12"/>
            </w:pPr>
            <w:r>
              <w:t>0.17</w:t>
            </w:r>
          </w:p>
        </w:tc>
        <w:tc>
          <w:tcPr>
            <w:tcW w:w="964" w:type="dxa"/>
            <w:vAlign w:val="center"/>
          </w:tcPr>
          <w:p>
            <w:pPr>
              <w:pStyle w:val="12"/>
            </w:pPr>
            <w:r>
              <w:t>0.17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6.76</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0.52</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秦皇岛北戴河新区营商环境和企业服务局（含所属单位）上年末固定资产金额为3.32万元（详见下表）。本年度拟购置固定资产总额为0.00万元，已按要求列入政府采购预算，详见政府采购预算表。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236秦皇岛北戴河新区营商环境和企业服务局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14</w:t>
            </w:r>
          </w:p>
        </w:tc>
        <w:tc>
          <w:tcPr>
            <w:tcW w:w="2835" w:type="dxa"/>
            <w:vAlign w:val="center"/>
          </w:tcPr>
          <w:p>
            <w:pPr>
              <w:pStyle w:val="12"/>
            </w:pPr>
            <w:r>
              <w:t>3.32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9D57D"/>
    <w:multiLevelType w:val="singleLevel"/>
    <w:tmpl w:val="7989D57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E5C1F"/>
    <w:rsid w:val="551617C5"/>
    <w:rsid w:val="5B8E68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2026-03-16T10:14:00Z</dcterms:created>
  <dc:creator>Administrator</dc:creator>
  <cp:lastModifiedBy>XQZW</cp:lastModifiedBy>
  <dcterms:modified xsi:type="dcterms:W3CDTF">2026-03-16T08:18:56Z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