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3"/>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一、秦皇岛北戴河新区招商和投资促进局本级收支预算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一、秦皇岛北戴河新区招商和投资促进局本级收支预算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322001秦皇岛北戴河新区招商和投资促进局本级</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918.68</w:t>
            </w:r>
          </w:p>
        </w:tc>
        <w:tc>
          <w:tcPr>
            <w:tcW w:w="4535" w:type="dxa"/>
            <w:vAlign w:val="center"/>
          </w:tcPr>
          <w:p>
            <w:pPr>
              <w:pStyle w:val="13"/>
            </w:pPr>
            <w:r>
              <w:t>一、一般公共服务支出</w:t>
            </w:r>
          </w:p>
        </w:tc>
        <w:tc>
          <w:tcPr>
            <w:tcW w:w="2126" w:type="dxa"/>
            <w:vAlign w:val="center"/>
          </w:tcPr>
          <w:p>
            <w:pPr>
              <w:pStyle w:val="12"/>
            </w:pPr>
            <w:r>
              <w:t>755.12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70.67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46.92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45.98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918.68</w:t>
            </w:r>
          </w:p>
        </w:tc>
        <w:tc>
          <w:tcPr>
            <w:tcW w:w="4535" w:type="dxa"/>
            <w:vAlign w:val="center"/>
          </w:tcPr>
          <w:p>
            <w:pPr>
              <w:pStyle w:val="15"/>
            </w:pPr>
            <w:r>
              <w:t>本年支出合计</w:t>
            </w:r>
          </w:p>
        </w:tc>
        <w:tc>
          <w:tcPr>
            <w:tcW w:w="2126" w:type="dxa"/>
            <w:vAlign w:val="center"/>
          </w:tcPr>
          <w:p>
            <w:pPr>
              <w:pStyle w:val="16"/>
            </w:pPr>
            <w:r>
              <w:t>918.68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918.68</w:t>
            </w:r>
          </w:p>
        </w:tc>
        <w:tc>
          <w:tcPr>
            <w:tcW w:w="4535" w:type="dxa"/>
            <w:vAlign w:val="center"/>
          </w:tcPr>
          <w:p>
            <w:pPr>
              <w:pStyle w:val="15"/>
            </w:pPr>
            <w:r>
              <w:t>支出总计</w:t>
            </w:r>
          </w:p>
        </w:tc>
        <w:tc>
          <w:tcPr>
            <w:tcW w:w="2126" w:type="dxa"/>
            <w:vAlign w:val="center"/>
          </w:tcPr>
          <w:p>
            <w:pPr>
              <w:pStyle w:val="16"/>
            </w:pPr>
            <w:r>
              <w:t>918.68</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322001秦皇岛北戴河新区招商和投资促进局本级</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918.68</w:t>
            </w:r>
          </w:p>
        </w:tc>
        <w:tc>
          <w:tcPr>
            <w:tcW w:w="1134" w:type="dxa"/>
            <w:vAlign w:val="center"/>
          </w:tcPr>
          <w:p>
            <w:pPr>
              <w:pStyle w:val="16"/>
            </w:pPr>
            <w:r>
              <w:t>918.68</w:t>
            </w:r>
          </w:p>
        </w:tc>
        <w:tc>
          <w:tcPr>
            <w:tcW w:w="1134" w:type="dxa"/>
            <w:vAlign w:val="center"/>
          </w:tcPr>
          <w:p>
            <w:pPr>
              <w:pStyle w:val="16"/>
            </w:pPr>
            <w:r>
              <w:t>918.68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755.12</w:t>
            </w:r>
          </w:p>
        </w:tc>
        <w:tc>
          <w:tcPr>
            <w:tcW w:w="1134" w:type="dxa"/>
            <w:vAlign w:val="center"/>
          </w:tcPr>
          <w:p>
            <w:pPr>
              <w:pStyle w:val="12"/>
            </w:pPr>
            <w:r>
              <w:t>755.12</w:t>
            </w:r>
          </w:p>
        </w:tc>
        <w:tc>
          <w:tcPr>
            <w:tcW w:w="1134" w:type="dxa"/>
            <w:vAlign w:val="center"/>
          </w:tcPr>
          <w:p>
            <w:pPr>
              <w:pStyle w:val="12"/>
            </w:pPr>
            <w:r>
              <w:t>755.12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20113</w:t>
            </w:r>
          </w:p>
        </w:tc>
        <w:tc>
          <w:tcPr>
            <w:tcW w:w="1559" w:type="dxa"/>
            <w:vAlign w:val="center"/>
          </w:tcPr>
          <w:p>
            <w:pPr>
              <w:pStyle w:val="13"/>
            </w:pPr>
            <w:r>
              <w:t>商贸事务</w:t>
            </w:r>
          </w:p>
        </w:tc>
        <w:tc>
          <w:tcPr>
            <w:tcW w:w="1134" w:type="dxa"/>
            <w:vAlign w:val="center"/>
          </w:tcPr>
          <w:p>
            <w:pPr>
              <w:pStyle w:val="12"/>
            </w:pPr>
            <w:r>
              <w:t>755.12</w:t>
            </w:r>
          </w:p>
        </w:tc>
        <w:tc>
          <w:tcPr>
            <w:tcW w:w="1134" w:type="dxa"/>
            <w:vAlign w:val="center"/>
          </w:tcPr>
          <w:p>
            <w:pPr>
              <w:pStyle w:val="12"/>
            </w:pPr>
            <w:r>
              <w:t>755.12</w:t>
            </w:r>
          </w:p>
        </w:tc>
        <w:tc>
          <w:tcPr>
            <w:tcW w:w="1134" w:type="dxa"/>
            <w:vAlign w:val="center"/>
          </w:tcPr>
          <w:p>
            <w:pPr>
              <w:pStyle w:val="12"/>
            </w:pPr>
            <w:r>
              <w:t>755.12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2011301</w:t>
            </w:r>
          </w:p>
        </w:tc>
        <w:tc>
          <w:tcPr>
            <w:tcW w:w="1559" w:type="dxa"/>
            <w:vAlign w:val="center"/>
          </w:tcPr>
          <w:p>
            <w:pPr>
              <w:pStyle w:val="13"/>
            </w:pPr>
            <w:r>
              <w:t>行政运行</w:t>
            </w:r>
          </w:p>
        </w:tc>
        <w:tc>
          <w:tcPr>
            <w:tcW w:w="1134" w:type="dxa"/>
            <w:vAlign w:val="center"/>
          </w:tcPr>
          <w:p>
            <w:pPr>
              <w:pStyle w:val="12"/>
            </w:pPr>
            <w:r>
              <w:t>446.12</w:t>
            </w:r>
          </w:p>
        </w:tc>
        <w:tc>
          <w:tcPr>
            <w:tcW w:w="1134" w:type="dxa"/>
            <w:vAlign w:val="center"/>
          </w:tcPr>
          <w:p>
            <w:pPr>
              <w:pStyle w:val="12"/>
            </w:pPr>
            <w:r>
              <w:t>446.12</w:t>
            </w:r>
          </w:p>
        </w:tc>
        <w:tc>
          <w:tcPr>
            <w:tcW w:w="1134" w:type="dxa"/>
            <w:vAlign w:val="center"/>
          </w:tcPr>
          <w:p>
            <w:pPr>
              <w:pStyle w:val="12"/>
            </w:pPr>
            <w:r>
              <w:t>446.12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2011308</w:t>
            </w:r>
          </w:p>
        </w:tc>
        <w:tc>
          <w:tcPr>
            <w:tcW w:w="1559" w:type="dxa"/>
            <w:vAlign w:val="center"/>
          </w:tcPr>
          <w:p>
            <w:pPr>
              <w:pStyle w:val="13"/>
            </w:pPr>
            <w:r>
              <w:t>招商引资</w:t>
            </w:r>
          </w:p>
        </w:tc>
        <w:tc>
          <w:tcPr>
            <w:tcW w:w="1134" w:type="dxa"/>
            <w:vAlign w:val="center"/>
          </w:tcPr>
          <w:p>
            <w:pPr>
              <w:pStyle w:val="12"/>
            </w:pPr>
            <w:r>
              <w:t>309.00</w:t>
            </w:r>
          </w:p>
        </w:tc>
        <w:tc>
          <w:tcPr>
            <w:tcW w:w="1134" w:type="dxa"/>
            <w:vAlign w:val="center"/>
          </w:tcPr>
          <w:p>
            <w:pPr>
              <w:pStyle w:val="12"/>
            </w:pPr>
            <w:r>
              <w:t>309.00</w:t>
            </w:r>
          </w:p>
        </w:tc>
        <w:tc>
          <w:tcPr>
            <w:tcW w:w="1134" w:type="dxa"/>
            <w:vAlign w:val="center"/>
          </w:tcPr>
          <w:p>
            <w:pPr>
              <w:pStyle w:val="12"/>
            </w:pPr>
            <w:r>
              <w:t>309.00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70.67</w:t>
            </w:r>
          </w:p>
        </w:tc>
        <w:tc>
          <w:tcPr>
            <w:tcW w:w="1134" w:type="dxa"/>
            <w:vAlign w:val="center"/>
          </w:tcPr>
          <w:p>
            <w:pPr>
              <w:pStyle w:val="12"/>
            </w:pPr>
            <w:r>
              <w:t>70.67</w:t>
            </w:r>
          </w:p>
        </w:tc>
        <w:tc>
          <w:tcPr>
            <w:tcW w:w="1134" w:type="dxa"/>
            <w:vAlign w:val="center"/>
          </w:tcPr>
          <w:p>
            <w:pPr>
              <w:pStyle w:val="12"/>
            </w:pPr>
            <w:r>
              <w:t>70.67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70.67</w:t>
            </w:r>
          </w:p>
        </w:tc>
        <w:tc>
          <w:tcPr>
            <w:tcW w:w="1134" w:type="dxa"/>
            <w:vAlign w:val="center"/>
          </w:tcPr>
          <w:p>
            <w:pPr>
              <w:pStyle w:val="12"/>
            </w:pPr>
            <w:r>
              <w:t>70.67</w:t>
            </w:r>
          </w:p>
        </w:tc>
        <w:tc>
          <w:tcPr>
            <w:tcW w:w="1134" w:type="dxa"/>
            <w:vAlign w:val="center"/>
          </w:tcPr>
          <w:p>
            <w:pPr>
              <w:pStyle w:val="12"/>
            </w:pPr>
            <w:r>
              <w:t>70.67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8.15</w:t>
            </w:r>
          </w:p>
        </w:tc>
        <w:tc>
          <w:tcPr>
            <w:tcW w:w="1134" w:type="dxa"/>
            <w:vAlign w:val="center"/>
          </w:tcPr>
          <w:p>
            <w:pPr>
              <w:pStyle w:val="12"/>
            </w:pPr>
            <w:r>
              <w:t>8.15</w:t>
            </w:r>
          </w:p>
        </w:tc>
        <w:tc>
          <w:tcPr>
            <w:tcW w:w="1134" w:type="dxa"/>
            <w:vAlign w:val="center"/>
          </w:tcPr>
          <w:p>
            <w:pPr>
              <w:pStyle w:val="12"/>
            </w:pPr>
            <w:r>
              <w:t>8.15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56.66</w:t>
            </w:r>
          </w:p>
        </w:tc>
        <w:tc>
          <w:tcPr>
            <w:tcW w:w="1134" w:type="dxa"/>
            <w:vAlign w:val="center"/>
          </w:tcPr>
          <w:p>
            <w:pPr>
              <w:pStyle w:val="12"/>
            </w:pPr>
            <w:r>
              <w:t>56.66</w:t>
            </w:r>
          </w:p>
        </w:tc>
        <w:tc>
          <w:tcPr>
            <w:tcW w:w="1134" w:type="dxa"/>
            <w:vAlign w:val="center"/>
          </w:tcPr>
          <w:p>
            <w:pPr>
              <w:pStyle w:val="12"/>
            </w:pPr>
            <w:r>
              <w:t>56.66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5.85</w:t>
            </w:r>
          </w:p>
        </w:tc>
        <w:tc>
          <w:tcPr>
            <w:tcW w:w="1134" w:type="dxa"/>
            <w:vAlign w:val="center"/>
          </w:tcPr>
          <w:p>
            <w:pPr>
              <w:pStyle w:val="12"/>
            </w:pPr>
            <w:r>
              <w:t>5.85</w:t>
            </w:r>
          </w:p>
        </w:tc>
        <w:tc>
          <w:tcPr>
            <w:tcW w:w="1134" w:type="dxa"/>
            <w:vAlign w:val="center"/>
          </w:tcPr>
          <w:p>
            <w:pPr>
              <w:pStyle w:val="12"/>
            </w:pPr>
            <w:r>
              <w:t>5.85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46.92</w:t>
            </w:r>
          </w:p>
        </w:tc>
        <w:tc>
          <w:tcPr>
            <w:tcW w:w="1134" w:type="dxa"/>
            <w:vAlign w:val="center"/>
          </w:tcPr>
          <w:p>
            <w:pPr>
              <w:pStyle w:val="12"/>
            </w:pPr>
            <w:r>
              <w:t>46.92</w:t>
            </w:r>
          </w:p>
        </w:tc>
        <w:tc>
          <w:tcPr>
            <w:tcW w:w="1134" w:type="dxa"/>
            <w:vAlign w:val="center"/>
          </w:tcPr>
          <w:p>
            <w:pPr>
              <w:pStyle w:val="12"/>
            </w:pPr>
            <w:r>
              <w:t>46.92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46.92</w:t>
            </w:r>
          </w:p>
        </w:tc>
        <w:tc>
          <w:tcPr>
            <w:tcW w:w="1134" w:type="dxa"/>
            <w:vAlign w:val="center"/>
          </w:tcPr>
          <w:p>
            <w:pPr>
              <w:pStyle w:val="12"/>
            </w:pPr>
            <w:r>
              <w:t>46.92</w:t>
            </w:r>
          </w:p>
        </w:tc>
        <w:tc>
          <w:tcPr>
            <w:tcW w:w="1134" w:type="dxa"/>
            <w:vAlign w:val="center"/>
          </w:tcPr>
          <w:p>
            <w:pPr>
              <w:pStyle w:val="12"/>
            </w:pPr>
            <w:r>
              <w:t>46.92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46.92</w:t>
            </w:r>
          </w:p>
        </w:tc>
        <w:tc>
          <w:tcPr>
            <w:tcW w:w="1134" w:type="dxa"/>
            <w:vAlign w:val="center"/>
          </w:tcPr>
          <w:p>
            <w:pPr>
              <w:pStyle w:val="12"/>
            </w:pPr>
            <w:r>
              <w:t>46.92</w:t>
            </w:r>
          </w:p>
        </w:tc>
        <w:tc>
          <w:tcPr>
            <w:tcW w:w="1134" w:type="dxa"/>
            <w:vAlign w:val="center"/>
          </w:tcPr>
          <w:p>
            <w:pPr>
              <w:pStyle w:val="12"/>
            </w:pPr>
            <w:r>
              <w:t>46.92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45.98</w:t>
            </w:r>
          </w:p>
        </w:tc>
        <w:tc>
          <w:tcPr>
            <w:tcW w:w="1134" w:type="dxa"/>
            <w:vAlign w:val="center"/>
          </w:tcPr>
          <w:p>
            <w:pPr>
              <w:pStyle w:val="12"/>
            </w:pPr>
            <w:r>
              <w:t>45.98</w:t>
            </w:r>
          </w:p>
        </w:tc>
        <w:tc>
          <w:tcPr>
            <w:tcW w:w="1134" w:type="dxa"/>
            <w:vAlign w:val="center"/>
          </w:tcPr>
          <w:p>
            <w:pPr>
              <w:pStyle w:val="12"/>
            </w:pPr>
            <w:r>
              <w:t>45.98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45.98</w:t>
            </w:r>
          </w:p>
        </w:tc>
        <w:tc>
          <w:tcPr>
            <w:tcW w:w="1134" w:type="dxa"/>
            <w:vAlign w:val="center"/>
          </w:tcPr>
          <w:p>
            <w:pPr>
              <w:pStyle w:val="12"/>
            </w:pPr>
            <w:r>
              <w:t>45.98</w:t>
            </w:r>
          </w:p>
        </w:tc>
        <w:tc>
          <w:tcPr>
            <w:tcW w:w="1134" w:type="dxa"/>
            <w:vAlign w:val="center"/>
          </w:tcPr>
          <w:p>
            <w:pPr>
              <w:pStyle w:val="12"/>
            </w:pPr>
            <w:r>
              <w:t>45.98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45.98</w:t>
            </w:r>
          </w:p>
        </w:tc>
        <w:tc>
          <w:tcPr>
            <w:tcW w:w="1134" w:type="dxa"/>
            <w:vAlign w:val="center"/>
          </w:tcPr>
          <w:p>
            <w:pPr>
              <w:pStyle w:val="12"/>
            </w:pPr>
            <w:r>
              <w:t>45.98</w:t>
            </w:r>
          </w:p>
        </w:tc>
        <w:tc>
          <w:tcPr>
            <w:tcW w:w="1134" w:type="dxa"/>
            <w:vAlign w:val="center"/>
          </w:tcPr>
          <w:p>
            <w:pPr>
              <w:pStyle w:val="12"/>
            </w:pPr>
            <w:r>
              <w:t>45.98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322001秦皇岛北戴河新区招商和投资促进局本级</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918.68</w:t>
            </w:r>
          </w:p>
        </w:tc>
        <w:tc>
          <w:tcPr>
            <w:tcW w:w="1361" w:type="dxa"/>
            <w:vAlign w:val="center"/>
          </w:tcPr>
          <w:p>
            <w:pPr>
              <w:pStyle w:val="16"/>
            </w:pPr>
            <w:r>
              <w:t>609.68</w:t>
            </w:r>
          </w:p>
        </w:tc>
        <w:tc>
          <w:tcPr>
            <w:tcW w:w="1361" w:type="dxa"/>
            <w:vAlign w:val="center"/>
          </w:tcPr>
          <w:p>
            <w:pPr>
              <w:pStyle w:val="16"/>
            </w:pPr>
            <w:r>
              <w:t>309.00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755.12</w:t>
            </w:r>
          </w:p>
        </w:tc>
        <w:tc>
          <w:tcPr>
            <w:tcW w:w="1361" w:type="dxa"/>
            <w:vAlign w:val="center"/>
          </w:tcPr>
          <w:p>
            <w:pPr>
              <w:pStyle w:val="12"/>
            </w:pPr>
            <w:r>
              <w:t>446.12</w:t>
            </w:r>
          </w:p>
        </w:tc>
        <w:tc>
          <w:tcPr>
            <w:tcW w:w="1361" w:type="dxa"/>
            <w:vAlign w:val="center"/>
          </w:tcPr>
          <w:p>
            <w:pPr>
              <w:pStyle w:val="12"/>
            </w:pPr>
            <w:r>
              <w:t>309.00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20113</w:t>
            </w:r>
          </w:p>
        </w:tc>
        <w:tc>
          <w:tcPr>
            <w:tcW w:w="4535" w:type="dxa"/>
            <w:vAlign w:val="center"/>
          </w:tcPr>
          <w:p>
            <w:pPr>
              <w:pStyle w:val="13"/>
            </w:pPr>
            <w:r>
              <w:t>商贸事务</w:t>
            </w:r>
          </w:p>
        </w:tc>
        <w:tc>
          <w:tcPr>
            <w:tcW w:w="1361" w:type="dxa"/>
            <w:vAlign w:val="center"/>
          </w:tcPr>
          <w:p>
            <w:pPr>
              <w:pStyle w:val="12"/>
            </w:pPr>
            <w:r>
              <w:t>755.12</w:t>
            </w:r>
          </w:p>
        </w:tc>
        <w:tc>
          <w:tcPr>
            <w:tcW w:w="1361" w:type="dxa"/>
            <w:vAlign w:val="center"/>
          </w:tcPr>
          <w:p>
            <w:pPr>
              <w:pStyle w:val="12"/>
            </w:pPr>
            <w:r>
              <w:t>446.12</w:t>
            </w:r>
          </w:p>
        </w:tc>
        <w:tc>
          <w:tcPr>
            <w:tcW w:w="1361" w:type="dxa"/>
            <w:vAlign w:val="center"/>
          </w:tcPr>
          <w:p>
            <w:pPr>
              <w:pStyle w:val="12"/>
            </w:pPr>
            <w:r>
              <w:t>309.00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2011301</w:t>
            </w:r>
          </w:p>
        </w:tc>
        <w:tc>
          <w:tcPr>
            <w:tcW w:w="4535" w:type="dxa"/>
            <w:vAlign w:val="center"/>
          </w:tcPr>
          <w:p>
            <w:pPr>
              <w:pStyle w:val="13"/>
            </w:pPr>
            <w:r>
              <w:t>行政运行</w:t>
            </w:r>
          </w:p>
        </w:tc>
        <w:tc>
          <w:tcPr>
            <w:tcW w:w="1361" w:type="dxa"/>
            <w:vAlign w:val="center"/>
          </w:tcPr>
          <w:p>
            <w:pPr>
              <w:pStyle w:val="12"/>
            </w:pPr>
            <w:r>
              <w:t>446.12</w:t>
            </w:r>
          </w:p>
        </w:tc>
        <w:tc>
          <w:tcPr>
            <w:tcW w:w="1361" w:type="dxa"/>
            <w:vAlign w:val="center"/>
          </w:tcPr>
          <w:p>
            <w:pPr>
              <w:pStyle w:val="12"/>
            </w:pPr>
            <w:r>
              <w:t>446.12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2011308</w:t>
            </w:r>
          </w:p>
        </w:tc>
        <w:tc>
          <w:tcPr>
            <w:tcW w:w="4535" w:type="dxa"/>
            <w:vAlign w:val="center"/>
          </w:tcPr>
          <w:p>
            <w:pPr>
              <w:pStyle w:val="13"/>
            </w:pPr>
            <w:r>
              <w:t>招商引资</w:t>
            </w:r>
          </w:p>
        </w:tc>
        <w:tc>
          <w:tcPr>
            <w:tcW w:w="1361" w:type="dxa"/>
            <w:vAlign w:val="center"/>
          </w:tcPr>
          <w:p>
            <w:pPr>
              <w:pStyle w:val="12"/>
            </w:pPr>
            <w:r>
              <w:t>309.00</w:t>
            </w:r>
          </w:p>
        </w:tc>
        <w:tc>
          <w:tcPr>
            <w:tcW w:w="1361" w:type="dxa"/>
            <w:vAlign w:val="center"/>
          </w:tcPr>
          <w:p>
            <w:pPr>
              <w:pStyle w:val="12"/>
            </w:pPr>
          </w:p>
        </w:tc>
        <w:tc>
          <w:tcPr>
            <w:tcW w:w="1361" w:type="dxa"/>
            <w:vAlign w:val="center"/>
          </w:tcPr>
          <w:p>
            <w:pPr>
              <w:pStyle w:val="12"/>
            </w:pPr>
            <w:r>
              <w:t>309.00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70.67</w:t>
            </w:r>
          </w:p>
        </w:tc>
        <w:tc>
          <w:tcPr>
            <w:tcW w:w="1361" w:type="dxa"/>
            <w:vAlign w:val="center"/>
          </w:tcPr>
          <w:p>
            <w:pPr>
              <w:pStyle w:val="12"/>
            </w:pPr>
            <w:r>
              <w:t>70.67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70.67</w:t>
            </w:r>
          </w:p>
        </w:tc>
        <w:tc>
          <w:tcPr>
            <w:tcW w:w="1361" w:type="dxa"/>
            <w:vAlign w:val="center"/>
          </w:tcPr>
          <w:p>
            <w:pPr>
              <w:pStyle w:val="12"/>
            </w:pPr>
            <w:r>
              <w:t>70.67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8.15</w:t>
            </w:r>
          </w:p>
        </w:tc>
        <w:tc>
          <w:tcPr>
            <w:tcW w:w="1361" w:type="dxa"/>
            <w:vAlign w:val="center"/>
          </w:tcPr>
          <w:p>
            <w:pPr>
              <w:pStyle w:val="12"/>
            </w:pPr>
            <w:r>
              <w:t>8.15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56.66</w:t>
            </w:r>
          </w:p>
        </w:tc>
        <w:tc>
          <w:tcPr>
            <w:tcW w:w="1361" w:type="dxa"/>
            <w:vAlign w:val="center"/>
          </w:tcPr>
          <w:p>
            <w:pPr>
              <w:pStyle w:val="12"/>
            </w:pPr>
            <w:r>
              <w:t>56.66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5.85</w:t>
            </w:r>
          </w:p>
        </w:tc>
        <w:tc>
          <w:tcPr>
            <w:tcW w:w="1361" w:type="dxa"/>
            <w:vAlign w:val="center"/>
          </w:tcPr>
          <w:p>
            <w:pPr>
              <w:pStyle w:val="12"/>
            </w:pPr>
            <w:r>
              <w:t>5.85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46.92</w:t>
            </w:r>
          </w:p>
        </w:tc>
        <w:tc>
          <w:tcPr>
            <w:tcW w:w="1361" w:type="dxa"/>
            <w:vAlign w:val="center"/>
          </w:tcPr>
          <w:p>
            <w:pPr>
              <w:pStyle w:val="12"/>
            </w:pPr>
            <w:r>
              <w:t>46.92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46.92</w:t>
            </w:r>
          </w:p>
        </w:tc>
        <w:tc>
          <w:tcPr>
            <w:tcW w:w="1361" w:type="dxa"/>
            <w:vAlign w:val="center"/>
          </w:tcPr>
          <w:p>
            <w:pPr>
              <w:pStyle w:val="12"/>
            </w:pPr>
            <w:r>
              <w:t>46.92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46.92</w:t>
            </w:r>
          </w:p>
        </w:tc>
        <w:tc>
          <w:tcPr>
            <w:tcW w:w="1361" w:type="dxa"/>
            <w:vAlign w:val="center"/>
          </w:tcPr>
          <w:p>
            <w:pPr>
              <w:pStyle w:val="12"/>
            </w:pPr>
            <w:r>
              <w:t>46.92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45.98</w:t>
            </w:r>
          </w:p>
        </w:tc>
        <w:tc>
          <w:tcPr>
            <w:tcW w:w="1361" w:type="dxa"/>
            <w:vAlign w:val="center"/>
          </w:tcPr>
          <w:p>
            <w:pPr>
              <w:pStyle w:val="12"/>
            </w:pPr>
            <w:r>
              <w:t>45.98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45.98</w:t>
            </w:r>
          </w:p>
        </w:tc>
        <w:tc>
          <w:tcPr>
            <w:tcW w:w="1361" w:type="dxa"/>
            <w:vAlign w:val="center"/>
          </w:tcPr>
          <w:p>
            <w:pPr>
              <w:pStyle w:val="12"/>
            </w:pPr>
            <w:r>
              <w:t>45.98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45.98</w:t>
            </w:r>
          </w:p>
        </w:tc>
        <w:tc>
          <w:tcPr>
            <w:tcW w:w="1361" w:type="dxa"/>
            <w:vAlign w:val="center"/>
          </w:tcPr>
          <w:p>
            <w:pPr>
              <w:pStyle w:val="12"/>
            </w:pPr>
            <w:r>
              <w:t>45.98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322001秦皇岛北戴河新区招商和投资促进局本级</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918.68</w:t>
            </w:r>
          </w:p>
        </w:tc>
        <w:tc>
          <w:tcPr>
            <w:tcW w:w="3402" w:type="dxa"/>
            <w:vAlign w:val="center"/>
          </w:tcPr>
          <w:p>
            <w:pPr>
              <w:pStyle w:val="13"/>
            </w:pPr>
            <w:r>
              <w:t>一、一般公共服务支出</w:t>
            </w:r>
          </w:p>
        </w:tc>
        <w:tc>
          <w:tcPr>
            <w:tcW w:w="1474" w:type="dxa"/>
            <w:vAlign w:val="center"/>
          </w:tcPr>
          <w:p>
            <w:pPr>
              <w:pStyle w:val="12"/>
            </w:pPr>
            <w:r>
              <w:t>755.12</w:t>
            </w:r>
          </w:p>
        </w:tc>
        <w:tc>
          <w:tcPr>
            <w:tcW w:w="1474" w:type="dxa"/>
            <w:vAlign w:val="center"/>
          </w:tcPr>
          <w:p>
            <w:pPr>
              <w:pStyle w:val="12"/>
            </w:pPr>
            <w:r>
              <w:t>755.12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70.67</w:t>
            </w:r>
          </w:p>
        </w:tc>
        <w:tc>
          <w:tcPr>
            <w:tcW w:w="1474" w:type="dxa"/>
            <w:vAlign w:val="center"/>
          </w:tcPr>
          <w:p>
            <w:pPr>
              <w:pStyle w:val="12"/>
            </w:pPr>
            <w:r>
              <w:t>70.67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46.92</w:t>
            </w:r>
          </w:p>
        </w:tc>
        <w:tc>
          <w:tcPr>
            <w:tcW w:w="1474" w:type="dxa"/>
            <w:vAlign w:val="center"/>
          </w:tcPr>
          <w:p>
            <w:pPr>
              <w:pStyle w:val="12"/>
            </w:pPr>
            <w:r>
              <w:t>46.92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45.98</w:t>
            </w:r>
          </w:p>
        </w:tc>
        <w:tc>
          <w:tcPr>
            <w:tcW w:w="1474" w:type="dxa"/>
            <w:vAlign w:val="center"/>
          </w:tcPr>
          <w:p>
            <w:pPr>
              <w:pStyle w:val="12"/>
            </w:pPr>
            <w:r>
              <w:t>45.98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918.68</w:t>
            </w:r>
          </w:p>
        </w:tc>
        <w:tc>
          <w:tcPr>
            <w:tcW w:w="3402" w:type="dxa"/>
            <w:vAlign w:val="center"/>
          </w:tcPr>
          <w:p>
            <w:pPr>
              <w:pStyle w:val="15"/>
            </w:pPr>
            <w:r>
              <w:t>本年支出合计</w:t>
            </w:r>
          </w:p>
        </w:tc>
        <w:tc>
          <w:tcPr>
            <w:tcW w:w="1474" w:type="dxa"/>
            <w:vAlign w:val="center"/>
          </w:tcPr>
          <w:p>
            <w:pPr>
              <w:pStyle w:val="16"/>
            </w:pPr>
            <w:r>
              <w:t>918.68</w:t>
            </w:r>
          </w:p>
        </w:tc>
        <w:tc>
          <w:tcPr>
            <w:tcW w:w="1474" w:type="dxa"/>
            <w:vAlign w:val="center"/>
          </w:tcPr>
          <w:p>
            <w:pPr>
              <w:pStyle w:val="16"/>
            </w:pPr>
            <w:r>
              <w:t>918.68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918.68</w:t>
            </w:r>
          </w:p>
        </w:tc>
        <w:tc>
          <w:tcPr>
            <w:tcW w:w="3402" w:type="dxa"/>
            <w:vAlign w:val="center"/>
          </w:tcPr>
          <w:p>
            <w:pPr>
              <w:pStyle w:val="15"/>
            </w:pPr>
            <w:r>
              <w:t>支出总计</w:t>
            </w:r>
          </w:p>
        </w:tc>
        <w:tc>
          <w:tcPr>
            <w:tcW w:w="1474" w:type="dxa"/>
            <w:vAlign w:val="center"/>
          </w:tcPr>
          <w:p>
            <w:pPr>
              <w:pStyle w:val="16"/>
            </w:pPr>
            <w:r>
              <w:t>918.68</w:t>
            </w:r>
          </w:p>
        </w:tc>
        <w:tc>
          <w:tcPr>
            <w:tcW w:w="1474" w:type="dxa"/>
            <w:vAlign w:val="center"/>
          </w:tcPr>
          <w:p>
            <w:pPr>
              <w:pStyle w:val="16"/>
            </w:pPr>
            <w:r>
              <w:t>918.68</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322001秦皇岛北戴河新区招商和投资促进局本级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918.68</w:t>
            </w:r>
          </w:p>
        </w:tc>
        <w:tc>
          <w:tcPr>
            <w:tcW w:w="2551" w:type="dxa"/>
            <w:vAlign w:val="center"/>
          </w:tcPr>
          <w:p>
            <w:pPr>
              <w:pStyle w:val="16"/>
            </w:pPr>
            <w:r>
              <w:t>609.68</w:t>
            </w:r>
          </w:p>
        </w:tc>
        <w:tc>
          <w:tcPr>
            <w:tcW w:w="2551" w:type="dxa"/>
            <w:vAlign w:val="center"/>
          </w:tcPr>
          <w:p>
            <w:pPr>
              <w:pStyle w:val="16"/>
            </w:pPr>
            <w:r>
              <w:t>309.00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755.12</w:t>
            </w:r>
          </w:p>
        </w:tc>
        <w:tc>
          <w:tcPr>
            <w:tcW w:w="2551" w:type="dxa"/>
            <w:vAlign w:val="center"/>
          </w:tcPr>
          <w:p>
            <w:pPr>
              <w:pStyle w:val="12"/>
            </w:pPr>
            <w:r>
              <w:t>446.12</w:t>
            </w:r>
          </w:p>
        </w:tc>
        <w:tc>
          <w:tcPr>
            <w:tcW w:w="2551" w:type="dxa"/>
            <w:vAlign w:val="center"/>
          </w:tcPr>
          <w:p>
            <w:pPr>
              <w:pStyle w:val="12"/>
            </w:pPr>
            <w:r>
              <w:t>309.00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20113</w:t>
            </w:r>
          </w:p>
        </w:tc>
        <w:tc>
          <w:tcPr>
            <w:tcW w:w="4535" w:type="dxa"/>
            <w:vAlign w:val="center"/>
          </w:tcPr>
          <w:p>
            <w:pPr>
              <w:pStyle w:val="13"/>
            </w:pPr>
            <w:r>
              <w:t>商贸事务</w:t>
            </w:r>
          </w:p>
        </w:tc>
        <w:tc>
          <w:tcPr>
            <w:tcW w:w="2551" w:type="dxa"/>
            <w:vAlign w:val="center"/>
          </w:tcPr>
          <w:p>
            <w:pPr>
              <w:pStyle w:val="12"/>
            </w:pPr>
            <w:r>
              <w:t>755.12</w:t>
            </w:r>
          </w:p>
        </w:tc>
        <w:tc>
          <w:tcPr>
            <w:tcW w:w="2551" w:type="dxa"/>
            <w:vAlign w:val="center"/>
          </w:tcPr>
          <w:p>
            <w:pPr>
              <w:pStyle w:val="12"/>
            </w:pPr>
            <w:r>
              <w:t>446.12</w:t>
            </w:r>
          </w:p>
        </w:tc>
        <w:tc>
          <w:tcPr>
            <w:tcW w:w="2551" w:type="dxa"/>
            <w:vAlign w:val="center"/>
          </w:tcPr>
          <w:p>
            <w:pPr>
              <w:pStyle w:val="12"/>
            </w:pPr>
            <w:r>
              <w:t>309.00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2011301</w:t>
            </w:r>
          </w:p>
        </w:tc>
        <w:tc>
          <w:tcPr>
            <w:tcW w:w="4535" w:type="dxa"/>
            <w:vAlign w:val="center"/>
          </w:tcPr>
          <w:p>
            <w:pPr>
              <w:pStyle w:val="13"/>
            </w:pPr>
            <w:r>
              <w:t>行政运行</w:t>
            </w:r>
          </w:p>
        </w:tc>
        <w:tc>
          <w:tcPr>
            <w:tcW w:w="2551" w:type="dxa"/>
            <w:vAlign w:val="center"/>
          </w:tcPr>
          <w:p>
            <w:pPr>
              <w:pStyle w:val="12"/>
            </w:pPr>
            <w:r>
              <w:t>446.12</w:t>
            </w:r>
          </w:p>
        </w:tc>
        <w:tc>
          <w:tcPr>
            <w:tcW w:w="2551" w:type="dxa"/>
            <w:vAlign w:val="center"/>
          </w:tcPr>
          <w:p>
            <w:pPr>
              <w:pStyle w:val="12"/>
            </w:pPr>
            <w:r>
              <w:t>446.12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2011308</w:t>
            </w:r>
          </w:p>
        </w:tc>
        <w:tc>
          <w:tcPr>
            <w:tcW w:w="4535" w:type="dxa"/>
            <w:vAlign w:val="center"/>
          </w:tcPr>
          <w:p>
            <w:pPr>
              <w:pStyle w:val="13"/>
            </w:pPr>
            <w:r>
              <w:t>招商引资</w:t>
            </w:r>
          </w:p>
        </w:tc>
        <w:tc>
          <w:tcPr>
            <w:tcW w:w="2551" w:type="dxa"/>
            <w:vAlign w:val="center"/>
          </w:tcPr>
          <w:p>
            <w:pPr>
              <w:pStyle w:val="12"/>
            </w:pPr>
            <w:r>
              <w:t>309.00</w:t>
            </w:r>
          </w:p>
        </w:tc>
        <w:tc>
          <w:tcPr>
            <w:tcW w:w="2551" w:type="dxa"/>
            <w:vAlign w:val="center"/>
          </w:tcPr>
          <w:p>
            <w:pPr>
              <w:pStyle w:val="12"/>
            </w:pPr>
          </w:p>
        </w:tc>
        <w:tc>
          <w:tcPr>
            <w:tcW w:w="2551" w:type="dxa"/>
            <w:vAlign w:val="center"/>
          </w:tcPr>
          <w:p>
            <w:pPr>
              <w:pStyle w:val="12"/>
            </w:pPr>
            <w:r>
              <w:t>309.00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70.67</w:t>
            </w:r>
          </w:p>
        </w:tc>
        <w:tc>
          <w:tcPr>
            <w:tcW w:w="2551" w:type="dxa"/>
            <w:vAlign w:val="center"/>
          </w:tcPr>
          <w:p>
            <w:pPr>
              <w:pStyle w:val="12"/>
            </w:pPr>
            <w:r>
              <w:t>70.67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70.67</w:t>
            </w:r>
          </w:p>
        </w:tc>
        <w:tc>
          <w:tcPr>
            <w:tcW w:w="2551" w:type="dxa"/>
            <w:vAlign w:val="center"/>
          </w:tcPr>
          <w:p>
            <w:pPr>
              <w:pStyle w:val="12"/>
            </w:pPr>
            <w:r>
              <w:t>70.67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8.15</w:t>
            </w:r>
          </w:p>
        </w:tc>
        <w:tc>
          <w:tcPr>
            <w:tcW w:w="2551" w:type="dxa"/>
            <w:vAlign w:val="center"/>
          </w:tcPr>
          <w:p>
            <w:pPr>
              <w:pStyle w:val="12"/>
            </w:pPr>
            <w:r>
              <w:t>8.15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56.66</w:t>
            </w:r>
          </w:p>
        </w:tc>
        <w:tc>
          <w:tcPr>
            <w:tcW w:w="2551" w:type="dxa"/>
            <w:vAlign w:val="center"/>
          </w:tcPr>
          <w:p>
            <w:pPr>
              <w:pStyle w:val="12"/>
            </w:pPr>
            <w:r>
              <w:t>56.66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5.85</w:t>
            </w:r>
          </w:p>
        </w:tc>
        <w:tc>
          <w:tcPr>
            <w:tcW w:w="2551" w:type="dxa"/>
            <w:vAlign w:val="center"/>
          </w:tcPr>
          <w:p>
            <w:pPr>
              <w:pStyle w:val="12"/>
            </w:pPr>
            <w:r>
              <w:t>5.85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46.92</w:t>
            </w:r>
          </w:p>
        </w:tc>
        <w:tc>
          <w:tcPr>
            <w:tcW w:w="2551" w:type="dxa"/>
            <w:vAlign w:val="center"/>
          </w:tcPr>
          <w:p>
            <w:pPr>
              <w:pStyle w:val="12"/>
            </w:pPr>
            <w:r>
              <w:t>46.92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46.92</w:t>
            </w:r>
          </w:p>
        </w:tc>
        <w:tc>
          <w:tcPr>
            <w:tcW w:w="2551" w:type="dxa"/>
            <w:vAlign w:val="center"/>
          </w:tcPr>
          <w:p>
            <w:pPr>
              <w:pStyle w:val="12"/>
            </w:pPr>
            <w:r>
              <w:t>46.92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46.92</w:t>
            </w:r>
          </w:p>
        </w:tc>
        <w:tc>
          <w:tcPr>
            <w:tcW w:w="2551" w:type="dxa"/>
            <w:vAlign w:val="center"/>
          </w:tcPr>
          <w:p>
            <w:pPr>
              <w:pStyle w:val="12"/>
            </w:pPr>
            <w:r>
              <w:t>46.92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45.98</w:t>
            </w:r>
          </w:p>
        </w:tc>
        <w:tc>
          <w:tcPr>
            <w:tcW w:w="2551" w:type="dxa"/>
            <w:vAlign w:val="center"/>
          </w:tcPr>
          <w:p>
            <w:pPr>
              <w:pStyle w:val="12"/>
            </w:pPr>
            <w:r>
              <w:t>45.98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45.98</w:t>
            </w:r>
          </w:p>
        </w:tc>
        <w:tc>
          <w:tcPr>
            <w:tcW w:w="2551" w:type="dxa"/>
            <w:vAlign w:val="center"/>
          </w:tcPr>
          <w:p>
            <w:pPr>
              <w:pStyle w:val="12"/>
            </w:pPr>
            <w:r>
              <w:t>45.98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45.98</w:t>
            </w:r>
          </w:p>
        </w:tc>
        <w:tc>
          <w:tcPr>
            <w:tcW w:w="2551" w:type="dxa"/>
            <w:vAlign w:val="center"/>
          </w:tcPr>
          <w:p>
            <w:pPr>
              <w:pStyle w:val="12"/>
            </w:pPr>
            <w:r>
              <w:t>45.98</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322001秦皇岛北戴河新区招商和投资促进局本级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609.68</w:t>
            </w:r>
          </w:p>
        </w:tc>
        <w:tc>
          <w:tcPr>
            <w:tcW w:w="2551" w:type="dxa"/>
            <w:vAlign w:val="center"/>
          </w:tcPr>
          <w:p>
            <w:pPr>
              <w:pStyle w:val="16"/>
            </w:pPr>
            <w:r>
              <w:t>573.22</w:t>
            </w:r>
          </w:p>
        </w:tc>
        <w:tc>
          <w:tcPr>
            <w:tcW w:w="2551" w:type="dxa"/>
            <w:vAlign w:val="center"/>
          </w:tcPr>
          <w:p>
            <w:pPr>
              <w:pStyle w:val="16"/>
            </w:pPr>
            <w:r>
              <w:t>36.46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565.35</w:t>
            </w:r>
          </w:p>
        </w:tc>
        <w:tc>
          <w:tcPr>
            <w:tcW w:w="2551" w:type="dxa"/>
            <w:vAlign w:val="center"/>
          </w:tcPr>
          <w:p>
            <w:pPr>
              <w:pStyle w:val="12"/>
            </w:pPr>
            <w:r>
              <w:t>565.35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204.65</w:t>
            </w:r>
          </w:p>
        </w:tc>
        <w:tc>
          <w:tcPr>
            <w:tcW w:w="2551" w:type="dxa"/>
            <w:vAlign w:val="center"/>
          </w:tcPr>
          <w:p>
            <w:pPr>
              <w:pStyle w:val="12"/>
            </w:pPr>
            <w:r>
              <w:t>204.65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36.14</w:t>
            </w:r>
          </w:p>
        </w:tc>
        <w:tc>
          <w:tcPr>
            <w:tcW w:w="2551" w:type="dxa"/>
            <w:vAlign w:val="center"/>
          </w:tcPr>
          <w:p>
            <w:pPr>
              <w:pStyle w:val="12"/>
            </w:pPr>
            <w:r>
              <w:t>36.14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12.52</w:t>
            </w:r>
          </w:p>
        </w:tc>
        <w:tc>
          <w:tcPr>
            <w:tcW w:w="2551" w:type="dxa"/>
            <w:vAlign w:val="center"/>
          </w:tcPr>
          <w:p>
            <w:pPr>
              <w:pStyle w:val="12"/>
            </w:pPr>
            <w:r>
              <w:t>12.52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153.31</w:t>
            </w:r>
          </w:p>
        </w:tc>
        <w:tc>
          <w:tcPr>
            <w:tcW w:w="2551" w:type="dxa"/>
            <w:vAlign w:val="center"/>
          </w:tcPr>
          <w:p>
            <w:pPr>
              <w:pStyle w:val="12"/>
            </w:pPr>
            <w:r>
              <w:t>153.31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56.66</w:t>
            </w:r>
          </w:p>
        </w:tc>
        <w:tc>
          <w:tcPr>
            <w:tcW w:w="2551" w:type="dxa"/>
            <w:vAlign w:val="center"/>
          </w:tcPr>
          <w:p>
            <w:pPr>
              <w:pStyle w:val="12"/>
            </w:pPr>
            <w:r>
              <w:t>56.66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5.85</w:t>
            </w:r>
          </w:p>
        </w:tc>
        <w:tc>
          <w:tcPr>
            <w:tcW w:w="2551" w:type="dxa"/>
            <w:vAlign w:val="center"/>
          </w:tcPr>
          <w:p>
            <w:pPr>
              <w:pStyle w:val="12"/>
            </w:pPr>
            <w:r>
              <w:t>5.85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24.31</w:t>
            </w:r>
          </w:p>
        </w:tc>
        <w:tc>
          <w:tcPr>
            <w:tcW w:w="2551" w:type="dxa"/>
            <w:vAlign w:val="center"/>
          </w:tcPr>
          <w:p>
            <w:pPr>
              <w:pStyle w:val="12"/>
            </w:pPr>
            <w:r>
              <w:t>24.31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22.61</w:t>
            </w:r>
          </w:p>
        </w:tc>
        <w:tc>
          <w:tcPr>
            <w:tcW w:w="2551" w:type="dxa"/>
            <w:vAlign w:val="center"/>
          </w:tcPr>
          <w:p>
            <w:pPr>
              <w:pStyle w:val="12"/>
            </w:pPr>
            <w:r>
              <w:t>22.61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3.32</w:t>
            </w:r>
          </w:p>
        </w:tc>
        <w:tc>
          <w:tcPr>
            <w:tcW w:w="2551" w:type="dxa"/>
            <w:vAlign w:val="center"/>
          </w:tcPr>
          <w:p>
            <w:pPr>
              <w:pStyle w:val="12"/>
            </w:pPr>
            <w:r>
              <w:t>3.32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45.98</w:t>
            </w:r>
          </w:p>
        </w:tc>
        <w:tc>
          <w:tcPr>
            <w:tcW w:w="2551" w:type="dxa"/>
            <w:vAlign w:val="center"/>
          </w:tcPr>
          <w:p>
            <w:pPr>
              <w:pStyle w:val="12"/>
            </w:pPr>
            <w:r>
              <w:t>45.98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35.22</w:t>
            </w:r>
          </w:p>
        </w:tc>
        <w:tc>
          <w:tcPr>
            <w:tcW w:w="2551" w:type="dxa"/>
            <w:vAlign w:val="center"/>
          </w:tcPr>
          <w:p>
            <w:pPr>
              <w:pStyle w:val="12"/>
            </w:pPr>
          </w:p>
        </w:tc>
        <w:tc>
          <w:tcPr>
            <w:tcW w:w="2551" w:type="dxa"/>
            <w:vAlign w:val="center"/>
          </w:tcPr>
          <w:p>
            <w:pPr>
              <w:pStyle w:val="12"/>
            </w:pPr>
            <w:r>
              <w:t>35.22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8.68</w:t>
            </w:r>
          </w:p>
        </w:tc>
        <w:tc>
          <w:tcPr>
            <w:tcW w:w="2551" w:type="dxa"/>
            <w:vAlign w:val="center"/>
          </w:tcPr>
          <w:p>
            <w:pPr>
              <w:pStyle w:val="12"/>
            </w:pPr>
          </w:p>
        </w:tc>
        <w:tc>
          <w:tcPr>
            <w:tcW w:w="2551" w:type="dxa"/>
            <w:vAlign w:val="center"/>
          </w:tcPr>
          <w:p>
            <w:pPr>
              <w:pStyle w:val="12"/>
            </w:pPr>
            <w:r>
              <w:t>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1.24</w:t>
            </w:r>
          </w:p>
        </w:tc>
        <w:tc>
          <w:tcPr>
            <w:tcW w:w="2551" w:type="dxa"/>
            <w:vAlign w:val="center"/>
          </w:tcPr>
          <w:p>
            <w:pPr>
              <w:pStyle w:val="12"/>
            </w:pPr>
          </w:p>
        </w:tc>
        <w:tc>
          <w:tcPr>
            <w:tcW w:w="2551" w:type="dxa"/>
            <w:vAlign w:val="center"/>
          </w:tcPr>
          <w:p>
            <w:pPr>
              <w:pStyle w:val="12"/>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2.64</w:t>
            </w:r>
          </w:p>
        </w:tc>
        <w:tc>
          <w:tcPr>
            <w:tcW w:w="2551" w:type="dxa"/>
            <w:vAlign w:val="center"/>
          </w:tcPr>
          <w:p>
            <w:pPr>
              <w:pStyle w:val="12"/>
            </w:pPr>
          </w:p>
        </w:tc>
        <w:tc>
          <w:tcPr>
            <w:tcW w:w="2551" w:type="dxa"/>
            <w:vAlign w:val="center"/>
          </w:tcPr>
          <w:p>
            <w:pPr>
              <w:pStyle w:val="12"/>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4.96</w:t>
            </w:r>
          </w:p>
        </w:tc>
        <w:tc>
          <w:tcPr>
            <w:tcW w:w="2551" w:type="dxa"/>
            <w:vAlign w:val="center"/>
          </w:tcPr>
          <w:p>
            <w:pPr>
              <w:pStyle w:val="12"/>
            </w:pPr>
          </w:p>
        </w:tc>
        <w:tc>
          <w:tcPr>
            <w:tcW w:w="2551" w:type="dxa"/>
            <w:vAlign w:val="center"/>
          </w:tcPr>
          <w:p>
            <w:pPr>
              <w:pStyle w:val="12"/>
            </w:pPr>
            <w:r>
              <w:t>4.96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4.30</w:t>
            </w:r>
          </w:p>
        </w:tc>
        <w:tc>
          <w:tcPr>
            <w:tcW w:w="2551" w:type="dxa"/>
            <w:vAlign w:val="center"/>
          </w:tcPr>
          <w:p>
            <w:pPr>
              <w:pStyle w:val="12"/>
            </w:pPr>
          </w:p>
        </w:tc>
        <w:tc>
          <w:tcPr>
            <w:tcW w:w="2551" w:type="dxa"/>
            <w:vAlign w:val="center"/>
          </w:tcPr>
          <w:p>
            <w:pPr>
              <w:pStyle w:val="12"/>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2.29</w:t>
            </w:r>
          </w:p>
        </w:tc>
        <w:tc>
          <w:tcPr>
            <w:tcW w:w="2551" w:type="dxa"/>
            <w:vAlign w:val="center"/>
          </w:tcPr>
          <w:p>
            <w:pPr>
              <w:pStyle w:val="12"/>
            </w:pPr>
          </w:p>
        </w:tc>
        <w:tc>
          <w:tcPr>
            <w:tcW w:w="2551" w:type="dxa"/>
            <w:vAlign w:val="center"/>
          </w:tcPr>
          <w:p>
            <w:pPr>
              <w:pStyle w:val="12"/>
            </w:pPr>
            <w:r>
              <w:t>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0.36</w:t>
            </w:r>
          </w:p>
        </w:tc>
        <w:tc>
          <w:tcPr>
            <w:tcW w:w="2551" w:type="dxa"/>
            <w:vAlign w:val="center"/>
          </w:tcPr>
          <w:p>
            <w:pPr>
              <w:pStyle w:val="12"/>
            </w:pPr>
          </w:p>
        </w:tc>
        <w:tc>
          <w:tcPr>
            <w:tcW w:w="2551" w:type="dxa"/>
            <w:vAlign w:val="center"/>
          </w:tcPr>
          <w:p>
            <w:pPr>
              <w:pStyle w:val="12"/>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4.58</w:t>
            </w:r>
          </w:p>
        </w:tc>
        <w:tc>
          <w:tcPr>
            <w:tcW w:w="2551" w:type="dxa"/>
            <w:vAlign w:val="center"/>
          </w:tcPr>
          <w:p>
            <w:pPr>
              <w:pStyle w:val="12"/>
            </w:pPr>
          </w:p>
        </w:tc>
        <w:tc>
          <w:tcPr>
            <w:tcW w:w="2551" w:type="dxa"/>
            <w:vAlign w:val="center"/>
          </w:tcPr>
          <w:p>
            <w:pPr>
              <w:pStyle w:val="12"/>
            </w:pPr>
            <w:r>
              <w:t>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3.18</w:t>
            </w:r>
          </w:p>
        </w:tc>
        <w:tc>
          <w:tcPr>
            <w:tcW w:w="2551" w:type="dxa"/>
            <w:vAlign w:val="center"/>
          </w:tcPr>
          <w:p>
            <w:pPr>
              <w:pStyle w:val="12"/>
            </w:pPr>
          </w:p>
        </w:tc>
        <w:tc>
          <w:tcPr>
            <w:tcW w:w="2551" w:type="dxa"/>
            <w:vAlign w:val="center"/>
          </w:tcPr>
          <w:p>
            <w:pPr>
              <w:pStyle w:val="12"/>
            </w:pPr>
            <w:r>
              <w:t>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7.87</w:t>
            </w:r>
          </w:p>
        </w:tc>
        <w:tc>
          <w:tcPr>
            <w:tcW w:w="2551" w:type="dxa"/>
            <w:vAlign w:val="center"/>
          </w:tcPr>
          <w:p>
            <w:pPr>
              <w:pStyle w:val="12"/>
            </w:pPr>
            <w:r>
              <w:t>7.87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7.87</w:t>
            </w:r>
          </w:p>
        </w:tc>
        <w:tc>
          <w:tcPr>
            <w:tcW w:w="2551" w:type="dxa"/>
            <w:vAlign w:val="center"/>
          </w:tcPr>
          <w:p>
            <w:pPr>
              <w:pStyle w:val="12"/>
            </w:pPr>
            <w:r>
              <w:t>7.87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1.24</w:t>
            </w:r>
          </w:p>
        </w:tc>
        <w:tc>
          <w:tcPr>
            <w:tcW w:w="2551" w:type="dxa"/>
            <w:vAlign w:val="center"/>
          </w:tcPr>
          <w:p>
            <w:pPr>
              <w:pStyle w:val="12"/>
            </w:pPr>
          </w:p>
        </w:tc>
        <w:tc>
          <w:tcPr>
            <w:tcW w:w="2551" w:type="dxa"/>
            <w:vAlign w:val="center"/>
          </w:tcPr>
          <w:p>
            <w:pPr>
              <w:pStyle w:val="12"/>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1.24</w:t>
            </w:r>
          </w:p>
        </w:tc>
        <w:tc>
          <w:tcPr>
            <w:tcW w:w="2551" w:type="dxa"/>
            <w:vAlign w:val="center"/>
          </w:tcPr>
          <w:p>
            <w:pPr>
              <w:pStyle w:val="12"/>
            </w:pPr>
          </w:p>
        </w:tc>
        <w:tc>
          <w:tcPr>
            <w:tcW w:w="2551" w:type="dxa"/>
            <w:vAlign w:val="center"/>
          </w:tcPr>
          <w:p>
            <w:pPr>
              <w:pStyle w:val="12"/>
            </w:pPr>
            <w:r>
              <w:t>1.24</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322001秦皇岛北戴河新区招商和投资促进局本级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322001秦皇岛北戴河新区招商和投资促进局本级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322001秦皇岛北戴河新区招商和投资促进局本级</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rPr>
                <w:rFonts w:hint="default" w:eastAsia="方正书宋_GBK"/>
                <w:highlight w:val="none"/>
                <w:lang w:val="en-US" w:eastAsia="zh-CN"/>
              </w:rPr>
            </w:pPr>
            <w:r>
              <w:rPr>
                <w:rFonts w:hint="eastAsia"/>
                <w:highlight w:val="none"/>
                <w:lang w:val="en-US" w:eastAsia="zh-CN"/>
              </w:rPr>
              <w:t>40.36</w:t>
            </w:r>
          </w:p>
        </w:tc>
        <w:tc>
          <w:tcPr>
            <w:tcW w:w="2381" w:type="dxa"/>
            <w:vAlign w:val="center"/>
          </w:tcPr>
          <w:p>
            <w:pPr>
              <w:pStyle w:val="16"/>
              <w:rPr>
                <w:rFonts w:hint="default" w:eastAsia="方正书宋_GBK"/>
                <w:highlight w:val="none"/>
                <w:lang w:val="en-US" w:eastAsia="zh-CN"/>
              </w:rPr>
            </w:pPr>
            <w:r>
              <w:rPr>
                <w:rFonts w:hint="eastAsia"/>
                <w:highlight w:val="none"/>
                <w:lang w:val="en-US" w:eastAsia="zh-CN"/>
              </w:rPr>
              <w:t>40.36</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40.36</w:t>
            </w:r>
          </w:p>
        </w:tc>
        <w:tc>
          <w:tcPr>
            <w:tcW w:w="2381" w:type="dxa"/>
            <w:vAlign w:val="center"/>
          </w:tcPr>
          <w:p>
            <w:pPr>
              <w:pStyle w:val="12"/>
            </w:pPr>
            <w:r>
              <w:t>40.36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40.36</w:t>
            </w:r>
          </w:p>
        </w:tc>
        <w:tc>
          <w:tcPr>
            <w:tcW w:w="2381" w:type="dxa"/>
            <w:vAlign w:val="center"/>
          </w:tcPr>
          <w:p>
            <w:pPr>
              <w:pStyle w:val="12"/>
            </w:pPr>
            <w:r>
              <w:t>40.36</w:t>
            </w:r>
          </w:p>
        </w:tc>
        <w:tc>
          <w:tcPr>
            <w:tcW w:w="2381" w:type="dxa"/>
            <w:vAlign w:val="center"/>
          </w:tcPr>
          <w:p>
            <w:pPr>
              <w:pStyle w:val="12"/>
            </w:pPr>
          </w:p>
        </w:tc>
        <w:tc>
          <w:tcPr>
            <w:tcW w:w="2381" w:type="dxa"/>
            <w:vAlign w:val="center"/>
          </w:tcPr>
          <w:p>
            <w:pPr>
              <w:pStyle w:val="12"/>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秦皇岛北戴河新区招商和投资促进局本级2026年单位预算信息公开情况说明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按照《中华人民共和国预算法》、《地方预决算公开操作规程》和《关于进一步推进预算公开工作的实施意见》规定，现将秦皇岛北戴河新区招商和投资促进局本级2026年单位预算公开如下：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新区招商局贯彻落实党中央和省市委、新区工委关于招商工作的方针政策和决策部署，坚持和加强党对招商工作的集中统一领导，主要职责是：</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（一）负责拟</w:t>
      </w:r>
      <w:r>
        <w:rPr>
          <w:rFonts w:hint="eastAsia" w:ascii="Times New Roman" w:hAnsi="Times New Roman" w:eastAsia="方正仿宋_GBK" w:cs="Times New Roman"/>
          <w:b w:val="0"/>
          <w:color w:val="000000"/>
          <w:sz w:val="28"/>
          <w:lang w:eastAsia="zh-CN"/>
        </w:rPr>
        <w:t>订</w:t>
      </w:r>
      <w:r>
        <w:rPr>
          <w:rFonts w:ascii="Times New Roman" w:hAnsi="Times New Roman" w:eastAsia="方正仿宋_GBK" w:cs="Times New Roman"/>
          <w:b w:val="0"/>
          <w:color w:val="000000"/>
          <w:sz w:val="28"/>
        </w:rPr>
        <w:t>招商引资战略、中长期规划、方针政策及招商引资工作流程、服务规范，建立健全招商引资综合考核评价体系。</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（二）负责编制并实施招商引资工作目标和年度招商工作计划。</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（三）负责统筹招商引资工作，组织招商工作相关会议，会同有关部门做好招商项目签约工作。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（四）负责驻外招商联络机构的管理工作。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（五）负责</w:t>
      </w:r>
      <w:r>
        <w:rPr>
          <w:rFonts w:hint="eastAsia" w:ascii="Times New Roman" w:hAnsi="Times New Roman" w:eastAsia="方正仿宋_GBK" w:cs="Times New Roman"/>
          <w:b w:val="0"/>
          <w:color w:val="000000"/>
          <w:sz w:val="28"/>
          <w:lang w:eastAsia="zh-CN"/>
        </w:rPr>
        <w:t>党工委、管委会</w:t>
      </w:r>
      <w:r>
        <w:rPr>
          <w:rFonts w:ascii="Times New Roman" w:hAnsi="Times New Roman" w:eastAsia="方正仿宋_GBK" w:cs="Times New Roman"/>
          <w:b w:val="0"/>
          <w:color w:val="000000"/>
          <w:sz w:val="28"/>
        </w:rPr>
        <w:t>招商引资任务推进落实工作。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（六）负责侨梦苑（侨商产业聚集区）工作。</w:t>
      </w:r>
    </w:p>
    <w:p>
      <w:pPr>
        <w:spacing w:before="0" w:after="0" w:line="500" w:lineRule="exact"/>
        <w:ind w:firstLine="560"/>
        <w:jc w:val="left"/>
        <w:outlineLvl w:val="9"/>
        <w:rPr>
          <w:rFonts w:hint="eastAsia" w:ascii="Times New Roman" w:hAnsi="Times New Roman" w:eastAsia="方正仿宋_GBK" w:cs="Times New Roman"/>
          <w:b w:val="0"/>
          <w:color w:val="000000"/>
          <w:sz w:val="28"/>
          <w:lang w:eastAsia="zh-CN"/>
        </w:rPr>
      </w:pPr>
      <w:r>
        <w:rPr>
          <w:rFonts w:ascii="Times New Roman" w:hAnsi="Times New Roman" w:eastAsia="方正仿宋_GBK" w:cs="Times New Roman"/>
          <w:b w:val="0"/>
          <w:color w:val="000000"/>
          <w:sz w:val="28"/>
        </w:rPr>
        <w:t>（</w:t>
      </w:r>
      <w:r>
        <w:rPr>
          <w:rFonts w:hint="eastAsia" w:ascii="Times New Roman" w:hAnsi="Times New Roman" w:eastAsia="方正仿宋_GBK" w:cs="Times New Roman"/>
          <w:b w:val="0"/>
          <w:color w:val="000000"/>
          <w:sz w:val="28"/>
          <w:lang w:eastAsia="zh-CN"/>
        </w:rPr>
        <w:t>七</w:t>
      </w:r>
      <w:r>
        <w:rPr>
          <w:rFonts w:ascii="Times New Roman" w:hAnsi="Times New Roman" w:eastAsia="方正仿宋_GBK" w:cs="Times New Roman"/>
          <w:b w:val="0"/>
          <w:color w:val="000000"/>
          <w:sz w:val="28"/>
        </w:rPr>
        <w:t>）</w:t>
      </w:r>
      <w:r>
        <w:rPr>
          <w:rFonts w:hint="eastAsia" w:ascii="Times New Roman" w:hAnsi="Times New Roman" w:eastAsia="方正仿宋_GBK" w:cs="Times New Roman"/>
          <w:b w:val="0"/>
          <w:color w:val="000000"/>
          <w:sz w:val="28"/>
          <w:lang w:eastAsia="zh-CN"/>
        </w:rPr>
        <w:t>负责北戴河新区贸促会工作。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w:t>
      </w:r>
      <w:r>
        <w:rPr>
          <w:rFonts w:hint="eastAsia" w:ascii="Times New Roman" w:hAnsi="Times New Roman" w:eastAsia="方正仿宋_GBK" w:cs="Times New Roman"/>
          <w:b w:val="0"/>
          <w:color w:val="000000"/>
          <w:sz w:val="28"/>
          <w:lang w:eastAsia="zh-CN"/>
        </w:rPr>
        <w:t>八</w:t>
      </w:r>
      <w:r>
        <w:rPr>
          <w:rFonts w:ascii="Times New Roman" w:hAnsi="Times New Roman" w:eastAsia="方正仿宋_GBK" w:cs="Times New Roman"/>
          <w:b w:val="0"/>
          <w:color w:val="000000"/>
          <w:sz w:val="28"/>
        </w:rPr>
        <w:t>）</w:t>
      </w:r>
      <w:r>
        <w:rPr>
          <w:rFonts w:hint="eastAsia" w:ascii="Times New Roman" w:hAnsi="Times New Roman" w:eastAsia="方正仿宋_GBK" w:cs="Times New Roman"/>
          <w:b w:val="0"/>
          <w:color w:val="000000"/>
          <w:sz w:val="28"/>
          <w:lang w:eastAsia="zh-CN"/>
        </w:rPr>
        <w:t>承办新区党工委、管委会交办的其他事项</w:t>
      </w:r>
      <w:r>
        <w:rPr>
          <w:rFonts w:ascii="Times New Roman" w:hAnsi="Times New Roman" w:eastAsia="方正仿宋_GBK" w:cs="Times New Roman"/>
          <w:b w:val="0"/>
          <w:color w:val="000000"/>
          <w:sz w:val="28"/>
        </w:rPr>
        <w:t>。</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秦皇岛北戴河新区招商和投资促进局本级</w:t>
            </w:r>
          </w:p>
        </w:tc>
        <w:tc>
          <w:tcPr>
            <w:tcW w:w="1843" w:type="dxa"/>
            <w:vAlign w:val="center"/>
          </w:tcPr>
          <w:p>
            <w:pPr>
              <w:pStyle w:val="14"/>
            </w:pPr>
            <w:r>
              <w:t>行政</w:t>
            </w:r>
          </w:p>
        </w:tc>
        <w:tc>
          <w:tcPr>
            <w:tcW w:w="2126" w:type="dxa"/>
            <w:vAlign w:val="center"/>
          </w:tcPr>
          <w:p>
            <w:pPr>
              <w:pStyle w:val="14"/>
            </w:pPr>
            <w:r>
              <w:t>副处（县）级</w:t>
            </w:r>
          </w:p>
        </w:tc>
        <w:tc>
          <w:tcPr>
            <w:tcW w:w="3827" w:type="dxa"/>
            <w:vAlign w:val="center"/>
          </w:tcPr>
          <w:p>
            <w:pPr>
              <w:pStyle w:val="14"/>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w:t>
      </w:r>
      <w:r>
        <w:rPr>
          <w:rFonts w:hint="eastAsia" w:ascii="Times New Roman" w:hAnsi="Times New Roman"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预算的编制实行综合预算管理，即全部收入和支出都反映在预算中。</w:t>
      </w:r>
    </w:p>
    <w:p>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eastAsia="zh-CN"/>
        </w:rPr>
        <w:t>（</w:t>
      </w:r>
      <w:r>
        <w:rPr>
          <w:rFonts w:hint="eastAsia" w:ascii="Times New Roman" w:hAnsi="Times New Roman" w:eastAsia="方正仿宋_GBK" w:cs="Times New Roman"/>
          <w:b w:val="0"/>
          <w:color w:val="000000"/>
          <w:sz w:val="28"/>
          <w:lang w:val="en-US" w:eastAsia="zh-CN"/>
        </w:rPr>
        <w:t>一</w:t>
      </w:r>
      <w:r>
        <w:rPr>
          <w:rFonts w:hint="eastAsia" w:ascii="Times New Roman" w:hAnsi="Times New Roman" w:eastAsia="方正仿宋_GBK" w:cs="Times New Roman"/>
          <w:b w:val="0"/>
          <w:color w:val="000000"/>
          <w:sz w:val="28"/>
          <w:lang w:eastAsia="zh-CN"/>
        </w:rPr>
        <w:t>）</w:t>
      </w:r>
      <w:r>
        <w:rPr>
          <w:rFonts w:hint="default" w:ascii="Times New Roman" w:hAnsi="Times New Roman" w:eastAsia="方正仿宋_GBK" w:cs="Times New Roman"/>
          <w:b w:val="0"/>
          <w:color w:val="000000"/>
          <w:sz w:val="28"/>
        </w:rPr>
        <w:t>收入说明</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反映本</w:t>
      </w:r>
      <w:r>
        <w:rPr>
          <w:rFonts w:hint="eastAsia" w:ascii="Times New Roman" w:hAnsi="Times New Roman"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当年全部收入。</w:t>
      </w:r>
      <w:r>
        <w:rPr>
          <w:rFonts w:hint="eastAsia" w:ascii="Times New Roman" w:hAnsi="Times New Roman" w:eastAsia="方正仿宋_GBK" w:cs="Times New Roman"/>
          <w:b w:val="0"/>
          <w:color w:val="000000"/>
          <w:sz w:val="28"/>
          <w:lang w:eastAsia="zh-CN"/>
        </w:rPr>
        <w:t>202</w:t>
      </w:r>
      <w:r>
        <w:rPr>
          <w:rFonts w:hint="eastAsia" w:ascii="Times New Roman" w:hAnsi="Times New Roman" w:eastAsia="方正仿宋_GBK" w:cs="Times New Roman"/>
          <w:b w:val="0"/>
          <w:color w:val="000000"/>
          <w:sz w:val="28"/>
          <w:lang w:val="en-US" w:eastAsia="zh-CN"/>
        </w:rPr>
        <w:t>6</w:t>
      </w:r>
      <w:r>
        <w:rPr>
          <w:rFonts w:hint="eastAsia" w:ascii="Times New Roman" w:hAnsi="Times New Roman" w:eastAsia="方正仿宋_GBK" w:cs="Times New Roman"/>
          <w:b w:val="0"/>
          <w:color w:val="000000"/>
          <w:sz w:val="28"/>
          <w:lang w:eastAsia="zh-CN"/>
        </w:rPr>
        <w:t>年</w:t>
      </w:r>
      <w:r>
        <w:rPr>
          <w:rFonts w:hint="default" w:ascii="Times New Roman" w:hAnsi="Times New Roman" w:eastAsia="方正仿宋_GBK" w:cs="Times New Roman"/>
          <w:b w:val="0"/>
          <w:color w:val="000000"/>
          <w:sz w:val="28"/>
        </w:rPr>
        <w:t>预算收入</w:t>
      </w:r>
      <w:r>
        <w:rPr>
          <w:rFonts w:hint="eastAsia" w:ascii="Times New Roman" w:hAnsi="Times New Roman" w:eastAsia="方正仿宋_GBK" w:cs="Times New Roman"/>
          <w:b w:val="0"/>
          <w:color w:val="000000"/>
          <w:sz w:val="28"/>
          <w:lang w:val="en-US" w:eastAsia="zh-CN"/>
        </w:rPr>
        <w:t>918.68</w:t>
      </w:r>
      <w:r>
        <w:rPr>
          <w:rFonts w:hint="default" w:ascii="Times New Roman" w:hAnsi="Times New Roman" w:eastAsia="方正仿宋_GBK" w:cs="Times New Roman"/>
          <w:b w:val="0"/>
          <w:color w:val="000000"/>
          <w:sz w:val="28"/>
        </w:rPr>
        <w:t>万元，一般公共预算拨款</w:t>
      </w:r>
      <w:r>
        <w:rPr>
          <w:rFonts w:hint="eastAsia" w:ascii="Times New Roman" w:hAnsi="Times New Roman" w:eastAsia="方正仿宋_GBK" w:cs="Times New Roman"/>
          <w:b w:val="0"/>
          <w:color w:val="000000"/>
          <w:sz w:val="28"/>
          <w:lang w:val="en-US" w:eastAsia="zh-CN"/>
        </w:rPr>
        <w:t>918.68</w:t>
      </w:r>
      <w:r>
        <w:rPr>
          <w:rFonts w:hint="default" w:ascii="Times New Roman" w:hAnsi="Times New Roman" w:eastAsia="方正仿宋_GBK" w:cs="Times New Roman"/>
          <w:b w:val="0"/>
          <w:color w:val="000000"/>
          <w:sz w:val="28"/>
        </w:rPr>
        <w:t>万元</w:t>
      </w:r>
      <w:r>
        <w:rPr>
          <w:rFonts w:hint="eastAsia" w:ascii="Times New Roman" w:hAnsi="Times New Roman" w:eastAsia="方正仿宋_GBK" w:cs="Times New Roman"/>
          <w:b w:val="0"/>
          <w:color w:val="000000"/>
          <w:sz w:val="28"/>
          <w:lang w:eastAsia="zh-CN"/>
        </w:rPr>
        <w:t>、</w:t>
      </w:r>
      <w:r>
        <w:rPr>
          <w:rFonts w:ascii="Times New Roman" w:hAnsi="Times New Roman" w:eastAsia="方正仿宋_GBK" w:cs="Times New Roman"/>
          <w:b w:val="0"/>
          <w:color w:val="000000"/>
          <w:sz w:val="28"/>
        </w:rPr>
        <w:t>政府性基金预算拨款收入</w:t>
      </w:r>
      <w:r>
        <w:rPr>
          <w:rFonts w:hint="eastAsia" w:ascii="Times New Roman" w:hAnsi="Times New Roman" w:eastAsia="方正仿宋_GBK" w:cs="Times New Roman"/>
          <w:b w:val="0"/>
          <w:color w:val="000000"/>
          <w:sz w:val="28"/>
          <w:lang w:val="en-US" w:eastAsia="zh-CN"/>
        </w:rPr>
        <w:t>0万元、</w:t>
      </w:r>
      <w:r>
        <w:rPr>
          <w:rFonts w:ascii="Times New Roman" w:hAnsi="Times New Roman" w:eastAsia="方正仿宋_GBK" w:cs="Times New Roman"/>
          <w:b w:val="0"/>
          <w:color w:val="000000"/>
          <w:sz w:val="28"/>
        </w:rPr>
        <w:t>国有资本经营预算拨款收入</w:t>
      </w:r>
      <w:r>
        <w:rPr>
          <w:rFonts w:hint="eastAsia" w:ascii="Times New Roman" w:hAnsi="Times New Roman" w:eastAsia="方正仿宋_GBK" w:cs="Times New Roman"/>
          <w:b w:val="0"/>
          <w:color w:val="000000"/>
          <w:sz w:val="28"/>
          <w:lang w:val="en-US" w:eastAsia="zh-CN"/>
        </w:rPr>
        <w:t>0万元、</w:t>
      </w:r>
      <w:r>
        <w:rPr>
          <w:rFonts w:ascii="Times New Roman" w:hAnsi="Times New Roman" w:eastAsia="方正仿宋_GBK" w:cs="Times New Roman"/>
          <w:b w:val="0"/>
          <w:color w:val="000000"/>
          <w:sz w:val="28"/>
        </w:rPr>
        <w:t>财政专户管理资金收入</w:t>
      </w:r>
      <w:r>
        <w:rPr>
          <w:rFonts w:hint="eastAsia" w:ascii="Times New Roman" w:hAnsi="Times New Roman" w:eastAsia="方正仿宋_GBK" w:cs="Times New Roman"/>
          <w:b w:val="0"/>
          <w:color w:val="000000"/>
          <w:sz w:val="28"/>
          <w:lang w:val="en-US" w:eastAsia="zh-CN"/>
        </w:rPr>
        <w:t>0万元、</w:t>
      </w:r>
      <w:r>
        <w:rPr>
          <w:rFonts w:ascii="Times New Roman" w:hAnsi="Times New Roman" w:eastAsia="方正仿宋_GBK" w:cs="Times New Roman"/>
          <w:b w:val="0"/>
          <w:color w:val="000000"/>
          <w:sz w:val="28"/>
        </w:rPr>
        <w:t>单位资金</w:t>
      </w:r>
      <w:r>
        <w:rPr>
          <w:rFonts w:hint="eastAsia" w:ascii="Times New Roman" w:hAnsi="Times New Roman" w:eastAsia="方正仿宋_GBK" w:cs="Times New Roman"/>
          <w:b w:val="0"/>
          <w:color w:val="000000"/>
          <w:sz w:val="28"/>
          <w:lang w:val="en-US" w:eastAsia="zh-CN"/>
        </w:rPr>
        <w:t>收入0万元</w:t>
      </w:r>
      <w:r>
        <w:rPr>
          <w:rFonts w:hint="default" w:ascii="Times New Roman" w:hAnsi="Times New Roman" w:eastAsia="方正仿宋_GBK" w:cs="Times New Roman"/>
          <w:b w:val="0"/>
          <w:color w:val="000000"/>
          <w:sz w:val="28"/>
        </w:rPr>
        <w:t>。</w:t>
      </w:r>
    </w:p>
    <w:p>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eastAsia="zh-CN"/>
        </w:rPr>
        <w:t>（</w:t>
      </w:r>
      <w:r>
        <w:rPr>
          <w:rFonts w:hint="eastAsia" w:ascii="Times New Roman" w:hAnsi="Times New Roman" w:eastAsia="方正仿宋_GBK" w:cs="Times New Roman"/>
          <w:b w:val="0"/>
          <w:color w:val="000000"/>
          <w:sz w:val="28"/>
          <w:lang w:val="en-US" w:eastAsia="zh-CN"/>
        </w:rPr>
        <w:t>二</w:t>
      </w:r>
      <w:r>
        <w:rPr>
          <w:rFonts w:hint="eastAsia" w:ascii="Times New Roman" w:hAnsi="Times New Roman" w:eastAsia="方正仿宋_GBK" w:cs="Times New Roman"/>
          <w:b w:val="0"/>
          <w:color w:val="000000"/>
          <w:sz w:val="28"/>
          <w:lang w:eastAsia="zh-CN"/>
        </w:rPr>
        <w:t>）</w:t>
      </w:r>
      <w:r>
        <w:rPr>
          <w:rFonts w:hint="default" w:ascii="Times New Roman" w:hAnsi="Times New Roman" w:eastAsia="方正仿宋_GBK" w:cs="Times New Roman"/>
          <w:b w:val="0"/>
          <w:color w:val="000000"/>
          <w:sz w:val="28"/>
        </w:rPr>
        <w:t>支出说明</w:t>
      </w:r>
    </w:p>
    <w:p>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收支预算总表支出栏、基本支出表、项目支出表按经济分类和支出功能分类科目编制，反映年度</w:t>
      </w:r>
      <w:r>
        <w:rPr>
          <w:rFonts w:hint="eastAsia" w:ascii="Times New Roman" w:hAnsi="Times New Roman"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预算中支出预算的总体情况</w:t>
      </w:r>
      <w:r>
        <w:rPr>
          <w:rFonts w:hint="eastAsia" w:ascii="Times New Roman" w:hAnsi="Times New Roman" w:eastAsia="方正仿宋_GBK" w:cs="Times New Roman"/>
          <w:b w:val="0"/>
          <w:color w:val="000000"/>
          <w:sz w:val="28"/>
          <w:lang w:eastAsia="zh-CN"/>
        </w:rPr>
        <w:t>。20</w:t>
      </w:r>
      <w:r>
        <w:rPr>
          <w:rFonts w:hint="eastAsia" w:ascii="Times New Roman" w:hAnsi="Times New Roman" w:eastAsia="方正仿宋_GBK" w:cs="Times New Roman"/>
          <w:b w:val="0"/>
          <w:color w:val="000000"/>
          <w:sz w:val="28"/>
          <w:lang w:val="en-US" w:eastAsia="zh-CN"/>
        </w:rPr>
        <w:t>26</w:t>
      </w:r>
      <w:r>
        <w:rPr>
          <w:rFonts w:hint="eastAsia" w:ascii="Times New Roman" w:hAnsi="Times New Roman" w:eastAsia="方正仿宋_GBK" w:cs="Times New Roman"/>
          <w:b w:val="0"/>
          <w:color w:val="000000"/>
          <w:sz w:val="28"/>
          <w:lang w:eastAsia="zh-CN"/>
        </w:rPr>
        <w:t>年</w:t>
      </w:r>
      <w:r>
        <w:rPr>
          <w:rFonts w:hint="eastAsia" w:ascii="Times New Roman" w:hAnsi="Times New Roman" w:eastAsia="方正仿宋_GBK" w:cs="Times New Roman"/>
          <w:b w:val="0"/>
          <w:color w:val="000000"/>
          <w:sz w:val="28"/>
          <w:lang w:val="en-US" w:eastAsia="zh-CN"/>
        </w:rPr>
        <w:t>单位</w:t>
      </w:r>
      <w:r>
        <w:rPr>
          <w:rFonts w:hint="default" w:ascii="Times New Roman" w:hAnsi="Times New Roman" w:eastAsia="方正仿宋_GBK" w:cs="Times New Roman"/>
          <w:b w:val="0"/>
          <w:color w:val="000000"/>
          <w:sz w:val="28"/>
        </w:rPr>
        <w:t>支出预算为</w:t>
      </w:r>
      <w:r>
        <w:rPr>
          <w:rFonts w:hint="eastAsia" w:ascii="Times New Roman" w:hAnsi="Times New Roman" w:eastAsia="方正仿宋_GBK" w:cs="Times New Roman"/>
          <w:b w:val="0"/>
          <w:color w:val="000000"/>
          <w:sz w:val="28"/>
          <w:lang w:val="en-US" w:eastAsia="zh-CN"/>
        </w:rPr>
        <w:t>918.68</w:t>
      </w:r>
      <w:r>
        <w:rPr>
          <w:rFonts w:hint="default" w:ascii="Times New Roman" w:hAnsi="Times New Roman" w:eastAsia="方正仿宋_GBK" w:cs="Times New Roman"/>
          <w:b w:val="0"/>
          <w:color w:val="000000"/>
          <w:sz w:val="28"/>
        </w:rPr>
        <w:t>万元，其中基本支出</w:t>
      </w:r>
      <w:r>
        <w:rPr>
          <w:rFonts w:hint="eastAsia" w:ascii="Times New Roman" w:hAnsi="Times New Roman" w:eastAsia="方正仿宋_GBK" w:cs="Times New Roman"/>
          <w:b w:val="0"/>
          <w:color w:val="000000"/>
          <w:sz w:val="28"/>
          <w:lang w:val="en-US" w:eastAsia="zh-CN"/>
        </w:rPr>
        <w:t>609.6</w:t>
      </w:r>
      <w:r>
        <w:rPr>
          <w:rFonts w:hint="default" w:ascii="Times New Roman" w:hAnsi="Times New Roman" w:eastAsia="方正仿宋_GBK" w:cs="Times New Roman"/>
          <w:b w:val="0"/>
          <w:color w:val="000000"/>
          <w:sz w:val="28"/>
        </w:rPr>
        <w:t>万元，包括人员经费</w:t>
      </w:r>
      <w:r>
        <w:rPr>
          <w:rFonts w:hint="eastAsia" w:ascii="Times New Roman" w:hAnsi="Times New Roman" w:eastAsia="方正仿宋_GBK" w:cs="Times New Roman"/>
          <w:b w:val="0"/>
          <w:color w:val="000000"/>
          <w:sz w:val="28"/>
          <w:lang w:val="en-US" w:eastAsia="zh-CN"/>
        </w:rPr>
        <w:t>573.22</w:t>
      </w:r>
      <w:r>
        <w:rPr>
          <w:rFonts w:hint="default" w:ascii="Times New Roman" w:hAnsi="Times New Roman" w:eastAsia="方正仿宋_GBK" w:cs="Times New Roman"/>
          <w:b w:val="0"/>
          <w:color w:val="000000"/>
          <w:sz w:val="28"/>
        </w:rPr>
        <w:t>万元和日常公用经费</w:t>
      </w:r>
      <w:r>
        <w:rPr>
          <w:rFonts w:hint="eastAsia" w:ascii="Times New Roman" w:hAnsi="Times New Roman" w:eastAsia="方正仿宋_GBK" w:cs="Times New Roman"/>
          <w:b w:val="0"/>
          <w:color w:val="000000"/>
          <w:sz w:val="28"/>
          <w:lang w:val="en-US" w:eastAsia="zh-CN"/>
        </w:rPr>
        <w:t>36.46</w:t>
      </w:r>
      <w:r>
        <w:rPr>
          <w:rFonts w:hint="default" w:ascii="Times New Roman" w:hAnsi="Times New Roman" w:eastAsia="方正仿宋_GBK" w:cs="Times New Roman"/>
          <w:b w:val="0"/>
          <w:color w:val="000000"/>
          <w:sz w:val="28"/>
        </w:rPr>
        <w:t>万元；项目支出</w:t>
      </w:r>
      <w:r>
        <w:rPr>
          <w:rFonts w:hint="eastAsia" w:ascii="Times New Roman" w:hAnsi="Times New Roman" w:eastAsia="方正仿宋_GBK" w:cs="Times New Roman"/>
          <w:b w:val="0"/>
          <w:color w:val="000000"/>
          <w:sz w:val="28"/>
          <w:lang w:val="en-US" w:eastAsia="zh-CN"/>
        </w:rPr>
        <w:t>309</w:t>
      </w:r>
      <w:r>
        <w:rPr>
          <w:rFonts w:hint="default" w:ascii="Times New Roman" w:hAnsi="Times New Roman" w:eastAsia="方正仿宋_GBK" w:cs="Times New Roman"/>
          <w:b w:val="0"/>
          <w:color w:val="000000"/>
          <w:sz w:val="28"/>
        </w:rPr>
        <w:t>万元，全部为本级支出</w:t>
      </w:r>
      <w:r>
        <w:rPr>
          <w:rFonts w:hint="eastAsia" w:ascii="Times New Roman" w:hAnsi="Times New Roman" w:eastAsia="方正仿宋_GBK" w:cs="Times New Roman"/>
          <w:b w:val="0"/>
          <w:color w:val="000000"/>
          <w:sz w:val="28"/>
          <w:lang w:eastAsia="zh-CN"/>
        </w:rPr>
        <w:t>，</w:t>
      </w:r>
      <w:r>
        <w:rPr>
          <w:rFonts w:hint="eastAsia" w:ascii="Times New Roman" w:hAnsi="Times New Roman" w:eastAsia="方正仿宋_GBK" w:cs="Times New Roman"/>
          <w:b w:val="0"/>
          <w:color w:val="000000"/>
          <w:sz w:val="28"/>
          <w:lang w:val="en-US" w:eastAsia="zh-CN"/>
        </w:rPr>
        <w:t>主要为招商和商务工作经费</w:t>
      </w:r>
      <w:r>
        <w:rPr>
          <w:rFonts w:hint="eastAsia" w:ascii="Times New Roman" w:hAnsi="Times New Roman" w:eastAsia="方正仿宋_GBK" w:cs="Times New Roman"/>
          <w:b w:val="0"/>
          <w:color w:val="000000"/>
          <w:sz w:val="28"/>
          <w:lang w:eastAsia="zh-CN"/>
        </w:rPr>
        <w:t>、</w:t>
      </w:r>
      <w:r>
        <w:rPr>
          <w:rFonts w:ascii="Times New Roman" w:hAnsi="Times New Roman" w:eastAsia="方正仿宋_GBK" w:cs="Times New Roman"/>
          <w:b w:val="0"/>
          <w:color w:val="000000"/>
          <w:sz w:val="28"/>
        </w:rPr>
        <w:t>招商活动经费</w:t>
      </w:r>
      <w:r>
        <w:rPr>
          <w:rFonts w:hint="default" w:ascii="Times New Roman" w:hAnsi="Times New Roman" w:eastAsia="方正仿宋_GBK" w:cs="Times New Roman"/>
          <w:b w:val="0"/>
          <w:color w:val="000000"/>
          <w:sz w:val="28"/>
        </w:rPr>
        <w:t>。</w:t>
      </w:r>
    </w:p>
    <w:p>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eastAsia="zh-CN"/>
        </w:rPr>
        <w:t>（</w:t>
      </w:r>
      <w:r>
        <w:rPr>
          <w:rFonts w:hint="eastAsia" w:ascii="Times New Roman" w:hAnsi="Times New Roman" w:eastAsia="方正仿宋_GBK" w:cs="Times New Roman"/>
          <w:b w:val="0"/>
          <w:color w:val="000000"/>
          <w:sz w:val="28"/>
          <w:lang w:val="en-US" w:eastAsia="zh-CN"/>
        </w:rPr>
        <w:t>三</w:t>
      </w:r>
      <w:r>
        <w:rPr>
          <w:rFonts w:hint="eastAsia" w:ascii="Times New Roman" w:hAnsi="Times New Roman" w:eastAsia="方正仿宋_GBK" w:cs="Times New Roman"/>
          <w:b w:val="0"/>
          <w:color w:val="000000"/>
          <w:sz w:val="28"/>
          <w:lang w:eastAsia="zh-CN"/>
        </w:rPr>
        <w:t>）</w:t>
      </w:r>
      <w:r>
        <w:rPr>
          <w:rFonts w:hint="default" w:ascii="Times New Roman" w:hAnsi="Times New Roman" w:eastAsia="方正仿宋_GBK" w:cs="Times New Roman"/>
          <w:b w:val="0"/>
          <w:color w:val="000000"/>
          <w:sz w:val="28"/>
        </w:rPr>
        <w:t>比上年增减情况</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2026</w:t>
      </w:r>
      <w:r>
        <w:rPr>
          <w:rFonts w:hint="eastAsia" w:ascii="Times New Roman" w:hAnsi="Times New Roman" w:eastAsia="方正仿宋_GBK" w:cs="Times New Roman"/>
          <w:b w:val="0"/>
          <w:color w:val="000000"/>
          <w:sz w:val="28"/>
          <w:lang w:eastAsia="zh-CN"/>
        </w:rPr>
        <w:t>年</w:t>
      </w:r>
      <w:r>
        <w:rPr>
          <w:rFonts w:hint="eastAsia" w:ascii="Times New Roman" w:hAnsi="Times New Roman" w:eastAsia="方正仿宋_GBK" w:cs="Times New Roman"/>
          <w:b w:val="0"/>
          <w:color w:val="000000"/>
          <w:sz w:val="28"/>
          <w:lang w:val="en-US" w:eastAsia="zh-CN"/>
        </w:rPr>
        <w:t>单位</w:t>
      </w:r>
      <w:r>
        <w:rPr>
          <w:rFonts w:hint="default" w:ascii="Times New Roman" w:hAnsi="Times New Roman" w:eastAsia="方正仿宋_GBK" w:cs="Times New Roman"/>
          <w:b w:val="0"/>
          <w:color w:val="000000"/>
          <w:sz w:val="28"/>
        </w:rPr>
        <w:t>预算较</w:t>
      </w:r>
      <w:r>
        <w:rPr>
          <w:rFonts w:hint="eastAsia" w:ascii="Times New Roman" w:hAnsi="Times New Roman" w:eastAsia="方正仿宋_GBK" w:cs="Times New Roman"/>
          <w:b w:val="0"/>
          <w:color w:val="000000"/>
          <w:sz w:val="28"/>
          <w:lang w:val="en-US" w:eastAsia="zh-CN"/>
        </w:rPr>
        <w:t>2025</w:t>
      </w:r>
      <w:r>
        <w:rPr>
          <w:rFonts w:hint="default" w:ascii="Times New Roman" w:hAnsi="Times New Roman" w:eastAsia="方正仿宋_GBK" w:cs="Times New Roman"/>
          <w:b w:val="0"/>
          <w:color w:val="000000"/>
          <w:sz w:val="28"/>
        </w:rPr>
        <w:t>年</w:t>
      </w:r>
      <w:r>
        <w:rPr>
          <w:rFonts w:hint="eastAsia" w:ascii="Times New Roman" w:hAnsi="Times New Roman" w:eastAsia="方正仿宋_GBK" w:cs="Times New Roman"/>
          <w:b w:val="0"/>
          <w:color w:val="000000"/>
          <w:sz w:val="28"/>
          <w:lang w:val="en-US" w:eastAsia="zh-CN"/>
        </w:rPr>
        <w:t>减少103.02</w:t>
      </w:r>
      <w:r>
        <w:rPr>
          <w:rFonts w:hint="default" w:ascii="Times New Roman" w:hAnsi="Times New Roman" w:eastAsia="方正仿宋_GBK" w:cs="Times New Roman"/>
          <w:b w:val="0"/>
          <w:color w:val="000000"/>
          <w:sz w:val="28"/>
        </w:rPr>
        <w:t>万元，其中基本支出</w:t>
      </w:r>
      <w:r>
        <w:rPr>
          <w:rFonts w:hint="eastAsia" w:ascii="Times New Roman" w:hAnsi="Times New Roman" w:eastAsia="方正仿宋_GBK" w:cs="Times New Roman"/>
          <w:b w:val="0"/>
          <w:color w:val="000000"/>
          <w:sz w:val="28"/>
          <w:lang w:val="en-US" w:eastAsia="zh-CN"/>
        </w:rPr>
        <w:t>减少14.2</w:t>
      </w:r>
      <w:r>
        <w:rPr>
          <w:rFonts w:hint="default" w:ascii="Times New Roman" w:hAnsi="Times New Roman" w:eastAsia="方正仿宋_GBK" w:cs="Times New Roman"/>
          <w:b w:val="0"/>
          <w:color w:val="000000"/>
          <w:sz w:val="28"/>
        </w:rPr>
        <w:t>万元</w:t>
      </w:r>
      <w:r>
        <w:rPr>
          <w:rFonts w:hint="eastAsia" w:ascii="Times New Roman" w:hAnsi="Times New Roman" w:eastAsia="方正仿宋_GBK" w:cs="Times New Roman"/>
          <w:b w:val="0"/>
          <w:color w:val="000000"/>
          <w:sz w:val="28"/>
          <w:lang w:eastAsia="zh-CN"/>
        </w:rPr>
        <w:t>，</w:t>
      </w:r>
      <w:r>
        <w:rPr>
          <w:rFonts w:hint="default" w:ascii="Times New Roman" w:hAnsi="Times New Roman" w:eastAsia="方正仿宋_GBK" w:cs="Times New Roman"/>
          <w:b w:val="0"/>
          <w:color w:val="000000"/>
          <w:sz w:val="28"/>
        </w:rPr>
        <w:t>人员经费</w:t>
      </w:r>
      <w:r>
        <w:rPr>
          <w:rFonts w:hint="eastAsia" w:ascii="Times New Roman" w:hAnsi="Times New Roman" w:eastAsia="方正仿宋_GBK" w:cs="Times New Roman"/>
          <w:b w:val="0"/>
          <w:color w:val="000000"/>
          <w:sz w:val="28"/>
          <w:lang w:val="en-US" w:eastAsia="zh-CN"/>
        </w:rPr>
        <w:t>增加15.89万元，</w:t>
      </w:r>
      <w:r>
        <w:rPr>
          <w:rFonts w:hint="default" w:ascii="Times New Roman" w:hAnsi="Times New Roman" w:eastAsia="方正仿宋_GBK" w:cs="Times New Roman"/>
          <w:b w:val="0"/>
          <w:color w:val="000000"/>
          <w:sz w:val="28"/>
        </w:rPr>
        <w:t>日常公用经费</w:t>
      </w:r>
      <w:r>
        <w:rPr>
          <w:rFonts w:hint="eastAsia" w:ascii="Times New Roman" w:hAnsi="Times New Roman" w:eastAsia="方正仿宋_GBK" w:cs="Times New Roman"/>
          <w:b w:val="0"/>
          <w:color w:val="000000"/>
          <w:sz w:val="28"/>
          <w:lang w:val="en-US" w:eastAsia="zh-CN"/>
        </w:rPr>
        <w:t>减少1.61万元</w:t>
      </w:r>
      <w:r>
        <w:rPr>
          <w:rFonts w:hint="eastAsia" w:ascii="Times New Roman" w:hAnsi="Times New Roman" w:eastAsia="方正仿宋_GBK" w:cs="Times New Roman"/>
          <w:b w:val="0"/>
          <w:color w:val="000000"/>
          <w:sz w:val="28"/>
          <w:lang w:eastAsia="zh-CN"/>
        </w:rPr>
        <w:t>，</w:t>
      </w:r>
      <w:r>
        <w:rPr>
          <w:rFonts w:hint="eastAsia" w:ascii="Times New Roman" w:hAnsi="Times New Roman" w:eastAsia="方正仿宋_GBK" w:cs="Times New Roman"/>
          <w:b w:val="0"/>
          <w:color w:val="000000"/>
          <w:sz w:val="28"/>
          <w:lang w:val="en-US" w:eastAsia="zh-CN"/>
        </w:rPr>
        <w:t>主要原因是</w:t>
      </w:r>
      <w:r>
        <w:rPr>
          <w:rFonts w:hint="default" w:ascii="Times New Roman" w:hAnsi="Times New Roman" w:eastAsia="方正仿宋_GBK" w:cs="Times New Roman"/>
          <w:b w:val="0"/>
          <w:color w:val="000000"/>
          <w:sz w:val="28"/>
        </w:rPr>
        <w:t>加强和改善招商干部队伍结构</w:t>
      </w:r>
      <w:r>
        <w:rPr>
          <w:rFonts w:hint="eastAsia" w:ascii="Times New Roman" w:hAnsi="Times New Roman" w:eastAsia="方正仿宋_GBK" w:cs="Times New Roman"/>
          <w:b w:val="0"/>
          <w:color w:val="000000"/>
          <w:sz w:val="28"/>
          <w:lang w:val="en-US" w:eastAsia="zh-CN"/>
        </w:rPr>
        <w:t>人员增加，项目支出减少117.3万元，主要是由于招商活动经费政府采购资金减少以及为建立节约型政府减少招商日常工作经费办公费。</w:t>
      </w:r>
    </w:p>
    <w:p>
      <w:pPr>
        <w:pStyle w:val="19"/>
      </w:pPr>
    </w:p>
    <w:p>
      <w:pPr>
        <w:spacing w:before="10" w:after="10" w:line="240" w:lineRule="auto"/>
        <w:ind w:firstLine="640"/>
        <w:jc w:val="left"/>
        <w:outlineLvl w:val="5"/>
      </w:pPr>
      <w:r>
        <w:rPr>
          <w:rFonts w:ascii="黑体" w:hAnsi="黑体" w:eastAsia="黑体" w:cs="黑体"/>
          <w:color w:val="000000"/>
          <w:sz w:val="32"/>
        </w:rPr>
        <w:t>三、机关运行经费安排情况</w:t>
      </w:r>
    </w:p>
    <w:p>
      <w:pPr>
        <w:spacing w:before="0" w:after="0" w:line="500" w:lineRule="exact"/>
        <w:ind w:firstLine="560"/>
        <w:jc w:val="left"/>
        <w:outlineLvl w:val="9"/>
      </w:pPr>
      <w:r>
        <w:rPr>
          <w:rFonts w:hint="default" w:ascii="Times New Roman" w:hAnsi="Times New Roman" w:eastAsia="方正仿宋_GBK" w:cs="Times New Roman"/>
          <w:b w:val="0"/>
          <w:color w:val="000000"/>
          <w:sz w:val="28"/>
          <w:lang w:val="en-US" w:eastAsia="zh-CN"/>
        </w:rPr>
        <w:t>机关运行经费共计安排</w:t>
      </w:r>
      <w:r>
        <w:rPr>
          <w:rFonts w:hint="eastAsia" w:ascii="Times New Roman" w:hAnsi="Times New Roman" w:eastAsia="方正仿宋_GBK" w:cs="Times New Roman"/>
          <w:b w:val="0"/>
          <w:color w:val="000000"/>
          <w:sz w:val="28"/>
          <w:lang w:val="en-US" w:eastAsia="zh-CN"/>
        </w:rPr>
        <w:t>36.46</w:t>
      </w:r>
      <w:r>
        <w:rPr>
          <w:rFonts w:hint="default" w:ascii="Times New Roman" w:hAnsi="Times New Roman" w:eastAsia="方正仿宋_GBK" w:cs="Times New Roman"/>
          <w:b w:val="0"/>
          <w:color w:val="000000"/>
          <w:sz w:val="28"/>
          <w:lang w:val="en-US" w:eastAsia="zh-CN"/>
        </w:rPr>
        <w:t>万元，主要用于保证机关正常运转支的办公费、印刷费、差旅费、会议费、福利费、专用材料及一般设备购置费、办公用房水电费、日常维修费、办公楼物业管理费等支出。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spacing w:before="0" w:after="0" w:line="500" w:lineRule="exact"/>
        <w:ind w:firstLine="560"/>
        <w:jc w:val="left"/>
        <w:outlineLvl w:val="9"/>
        <w:rPr>
          <w:rFonts w:hint="default" w:ascii="Times New Roman" w:hAnsi="Times New Roman" w:eastAsia="方正仿宋_GBK" w:cs="Times New Roman"/>
          <w:b w:val="0"/>
          <w:color w:val="000000"/>
          <w:sz w:val="28"/>
          <w:lang w:val="en-US" w:eastAsia="zh-CN"/>
        </w:rPr>
      </w:pPr>
      <w:r>
        <w:rPr>
          <w:rFonts w:hint="eastAsia" w:ascii="Times New Roman" w:hAnsi="Times New Roman" w:eastAsia="方正仿宋_GBK" w:cs="Times New Roman"/>
          <w:b w:val="0"/>
          <w:color w:val="000000"/>
          <w:sz w:val="28"/>
          <w:lang w:val="en-US" w:eastAsia="zh-CN"/>
        </w:rPr>
        <w:t>2026年</w:t>
      </w:r>
      <w:r>
        <w:rPr>
          <w:rFonts w:hint="default" w:ascii="Times New Roman" w:hAnsi="Times New Roman" w:eastAsia="方正仿宋_GBK" w:cs="Times New Roman"/>
          <w:b w:val="0"/>
          <w:color w:val="000000"/>
          <w:sz w:val="28"/>
          <w:lang w:val="en-US" w:eastAsia="zh-CN"/>
        </w:rPr>
        <w:t>，财政拨款“三公”经费预算安排</w:t>
      </w:r>
      <w:r>
        <w:rPr>
          <w:rFonts w:hint="eastAsia" w:ascii="Times New Roman" w:hAnsi="Times New Roman" w:eastAsia="方正仿宋_GBK" w:cs="Times New Roman"/>
          <w:b w:val="0"/>
          <w:color w:val="000000"/>
          <w:sz w:val="28"/>
          <w:lang w:val="en-US" w:eastAsia="zh-CN"/>
        </w:rPr>
        <w:t>40.36</w:t>
      </w:r>
      <w:r>
        <w:rPr>
          <w:rFonts w:hint="default" w:ascii="Times New Roman" w:hAnsi="Times New Roman" w:eastAsia="方正仿宋_GBK" w:cs="Times New Roman"/>
          <w:b w:val="0"/>
          <w:color w:val="000000"/>
          <w:sz w:val="28"/>
          <w:lang w:val="en-US" w:eastAsia="zh-CN"/>
        </w:rPr>
        <w:t>万元，其中：因公出国（境）费0万元；公务用车购置及运维费</w:t>
      </w:r>
      <w:r>
        <w:rPr>
          <w:rFonts w:hint="eastAsia" w:ascii="Times New Roman" w:hAnsi="Times New Roman" w:eastAsia="方正仿宋_GBK" w:cs="Times New Roman"/>
          <w:b w:val="0"/>
          <w:color w:val="000000"/>
          <w:sz w:val="28"/>
          <w:lang w:val="en-US" w:eastAsia="zh-CN"/>
        </w:rPr>
        <w:t>0</w:t>
      </w:r>
      <w:r>
        <w:rPr>
          <w:rFonts w:hint="default" w:ascii="Times New Roman" w:hAnsi="Times New Roman" w:eastAsia="方正仿宋_GBK" w:cs="Times New Roman"/>
          <w:b w:val="0"/>
          <w:color w:val="000000"/>
          <w:sz w:val="28"/>
          <w:lang w:val="en-US" w:eastAsia="zh-CN"/>
        </w:rPr>
        <w:t>万元；公务接待费</w:t>
      </w:r>
      <w:r>
        <w:rPr>
          <w:rFonts w:hint="eastAsia" w:ascii="Times New Roman" w:hAnsi="Times New Roman" w:eastAsia="方正仿宋_GBK" w:cs="Times New Roman"/>
          <w:b w:val="0"/>
          <w:color w:val="000000"/>
          <w:sz w:val="28"/>
          <w:lang w:val="en-US" w:eastAsia="zh-CN"/>
        </w:rPr>
        <w:t>40.36</w:t>
      </w:r>
      <w:r>
        <w:rPr>
          <w:rFonts w:hint="default" w:ascii="Times New Roman" w:hAnsi="Times New Roman" w:eastAsia="方正仿宋_GBK" w:cs="Times New Roman"/>
          <w:b w:val="0"/>
          <w:color w:val="000000"/>
          <w:sz w:val="28"/>
          <w:lang w:val="en-US" w:eastAsia="zh-CN"/>
        </w:rPr>
        <w:t>万元。“三公”经费较上年</w:t>
      </w:r>
      <w:r>
        <w:rPr>
          <w:rFonts w:hint="eastAsia" w:ascii="Times New Roman" w:hAnsi="Times New Roman" w:eastAsia="方正仿宋_GBK" w:cs="Times New Roman"/>
          <w:b w:val="0"/>
          <w:color w:val="000000"/>
          <w:sz w:val="28"/>
          <w:lang w:val="en-US" w:eastAsia="zh-CN"/>
        </w:rPr>
        <w:t>减少0.02万元，主要原因为厉行节俭节约，降低接待标准。</w:t>
      </w:r>
    </w:p>
    <w:p>
      <w:pPr>
        <w:pStyle w:val="21"/>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numPr>
          <w:numId w:val="0"/>
        </w:numPr>
        <w:spacing w:before="10" w:after="10" w:line="240" w:lineRule="auto"/>
        <w:jc w:val="left"/>
        <w:outlineLvl w:val="5"/>
        <w:rPr>
          <w:rFonts w:ascii="黑体" w:hAnsi="黑体" w:eastAsia="黑体" w:cs="黑体"/>
          <w:color w:val="000000"/>
          <w:sz w:val="32"/>
        </w:rPr>
      </w:pP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numId w:val="0"/>
        </w:numPr>
        <w:spacing w:before="10" w:after="10" w:line="240" w:lineRule="auto"/>
        <w:jc w:val="left"/>
        <w:outlineLvl w:val="5"/>
      </w:pPr>
      <w:r>
        <w:rPr>
          <w:rFonts w:ascii="方正仿宋_GBK" w:hAnsi="方正仿宋_GBK" w:eastAsia="方正仿宋_GBK" w:cs="方正仿宋_GBK"/>
          <w:b/>
          <w:color w:val="000000"/>
          <w:sz w:val="28"/>
        </w:rPr>
        <w:t>1、招商和商务工作经费绩效目标表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13031326P000003100899</w:t>
            </w:r>
          </w:p>
        </w:tc>
        <w:tc>
          <w:tcPr>
            <w:tcW w:w="2835" w:type="dxa"/>
            <w:vAlign w:val="center"/>
          </w:tcPr>
          <w:p>
            <w:pPr>
              <w:pStyle w:val="11"/>
            </w:pPr>
            <w:r>
              <w:t>项目名称</w:t>
            </w:r>
          </w:p>
        </w:tc>
        <w:tc>
          <w:tcPr>
            <w:tcW w:w="6095" w:type="dxa"/>
            <w:gridSpan w:val="3"/>
            <w:vAlign w:val="center"/>
          </w:tcPr>
          <w:p>
            <w:pPr>
              <w:pStyle w:val="13"/>
            </w:pPr>
            <w:r>
              <w:t>招商和商务工作经费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w:t>
            </w:r>
          </w:p>
        </w:tc>
        <w:tc>
          <w:tcPr>
            <w:tcW w:w="2835" w:type="dxa"/>
            <w:vAlign w:val="center"/>
          </w:tcPr>
          <w:p>
            <w:pPr>
              <w:pStyle w:val="11"/>
            </w:pPr>
            <w:r>
              <w:t>其中：财政    资金</w:t>
            </w:r>
          </w:p>
        </w:tc>
        <w:tc>
          <w:tcPr>
            <w:tcW w:w="2551" w:type="dxa"/>
            <w:vAlign w:val="center"/>
          </w:tcPr>
          <w:p>
            <w:pPr>
              <w:pStyle w:val="13"/>
            </w:pPr>
            <w:r>
              <w:t>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开展本年度招商和商务日常工作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1.开展招商和商务日常工作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成功举办夜间经济活动的龙头企业数量</w:t>
            </w:r>
          </w:p>
        </w:tc>
        <w:tc>
          <w:tcPr>
            <w:tcW w:w="5386" w:type="dxa"/>
            <w:vAlign w:val="center"/>
          </w:tcPr>
          <w:p>
            <w:pPr>
              <w:pStyle w:val="13"/>
            </w:pPr>
            <w:r>
              <w:t>举办夜间经济活动的龙头企业数量</w:t>
            </w:r>
          </w:p>
        </w:tc>
        <w:tc>
          <w:tcPr>
            <w:tcW w:w="2268" w:type="dxa"/>
            <w:vAlign w:val="center"/>
          </w:tcPr>
          <w:p>
            <w:pPr>
              <w:pStyle w:val="13"/>
            </w:pPr>
            <w:r>
              <w:t>≥3家</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活动验收合格率</w:t>
            </w:r>
          </w:p>
        </w:tc>
        <w:tc>
          <w:tcPr>
            <w:tcW w:w="5386" w:type="dxa"/>
            <w:vAlign w:val="center"/>
          </w:tcPr>
          <w:p>
            <w:pPr>
              <w:pStyle w:val="13"/>
            </w:pPr>
            <w:r>
              <w:t>验收合格率</w:t>
            </w:r>
          </w:p>
        </w:tc>
        <w:tc>
          <w:tcPr>
            <w:tcW w:w="2268" w:type="dxa"/>
            <w:vAlign w:val="center"/>
          </w:tcPr>
          <w:p>
            <w:pPr>
              <w:pStyle w:val="13"/>
            </w:pPr>
            <w:r>
              <w:t>≥95百分比</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补贴资金在规定时间内拨付至企业的比率</w:t>
            </w:r>
          </w:p>
        </w:tc>
        <w:tc>
          <w:tcPr>
            <w:tcW w:w="5386" w:type="dxa"/>
            <w:vAlign w:val="center"/>
          </w:tcPr>
          <w:p>
            <w:pPr>
              <w:pStyle w:val="13"/>
            </w:pPr>
            <w:r>
              <w:t>规定时间内拨付至企业的比率</w:t>
            </w:r>
          </w:p>
        </w:tc>
        <w:tc>
          <w:tcPr>
            <w:tcW w:w="2268" w:type="dxa"/>
            <w:vAlign w:val="center"/>
          </w:tcPr>
          <w:p>
            <w:pPr>
              <w:pStyle w:val="13"/>
            </w:pPr>
            <w:r>
              <w:t>≥95百分比</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单个企业活动补贴标准</w:t>
            </w:r>
          </w:p>
        </w:tc>
        <w:tc>
          <w:tcPr>
            <w:tcW w:w="5386" w:type="dxa"/>
            <w:vAlign w:val="center"/>
          </w:tcPr>
          <w:p>
            <w:pPr>
              <w:pStyle w:val="13"/>
            </w:pPr>
            <w:r>
              <w:t>及时保障各项日常办公需要</w:t>
            </w:r>
          </w:p>
        </w:tc>
        <w:tc>
          <w:tcPr>
            <w:tcW w:w="2268" w:type="dxa"/>
            <w:vAlign w:val="center"/>
          </w:tcPr>
          <w:p>
            <w:pPr>
              <w:pStyle w:val="13"/>
            </w:pPr>
            <w:r>
              <w:t>5万元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活动期间承办企业及周边商户营业收入同比增长率</w:t>
            </w:r>
          </w:p>
        </w:tc>
        <w:tc>
          <w:tcPr>
            <w:tcW w:w="5386" w:type="dxa"/>
            <w:vAlign w:val="center"/>
          </w:tcPr>
          <w:p>
            <w:pPr>
              <w:pStyle w:val="13"/>
            </w:pPr>
            <w:r>
              <w:t>同比增长率</w:t>
            </w:r>
          </w:p>
        </w:tc>
        <w:tc>
          <w:tcPr>
            <w:tcW w:w="2268" w:type="dxa"/>
            <w:vAlign w:val="center"/>
          </w:tcPr>
          <w:p>
            <w:pPr>
              <w:pStyle w:val="13"/>
            </w:pPr>
            <w:r>
              <w:t>≥20百分比</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夜间活动直接参与人次游客满意度</w:t>
            </w:r>
          </w:p>
        </w:tc>
        <w:tc>
          <w:tcPr>
            <w:tcW w:w="5386" w:type="dxa"/>
            <w:vAlign w:val="center"/>
          </w:tcPr>
          <w:p>
            <w:pPr>
              <w:pStyle w:val="13"/>
            </w:pPr>
            <w:r>
              <w:t>游客满意度</w:t>
            </w:r>
          </w:p>
        </w:tc>
        <w:tc>
          <w:tcPr>
            <w:tcW w:w="2268" w:type="dxa"/>
            <w:vAlign w:val="center"/>
          </w:tcPr>
          <w:p>
            <w:pPr>
              <w:pStyle w:val="13"/>
            </w:pPr>
            <w:r>
              <w:t>≥80百分比</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活动结束后企业持续自主运营夜间业态的意愿</w:t>
            </w:r>
          </w:p>
        </w:tc>
        <w:tc>
          <w:tcPr>
            <w:tcW w:w="5386" w:type="dxa"/>
            <w:vAlign w:val="center"/>
          </w:tcPr>
          <w:p>
            <w:pPr>
              <w:pStyle w:val="13"/>
            </w:pPr>
            <w:r>
              <w:t>活动结束后企业持续自主运营夜间业态的意愿</w:t>
            </w:r>
          </w:p>
        </w:tc>
        <w:tc>
          <w:tcPr>
            <w:tcW w:w="2268" w:type="dxa"/>
            <w:vAlign w:val="center"/>
          </w:tcPr>
          <w:p>
            <w:pPr>
              <w:pStyle w:val="13"/>
            </w:pPr>
            <w:r>
              <w:t>愿意</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活动生产的宣传报道数量及媒体曝光度</w:t>
            </w:r>
          </w:p>
        </w:tc>
        <w:tc>
          <w:tcPr>
            <w:tcW w:w="5386" w:type="dxa"/>
            <w:vAlign w:val="center"/>
          </w:tcPr>
          <w:p>
            <w:pPr>
              <w:pStyle w:val="13"/>
            </w:pPr>
            <w:r>
              <w:t>媒体曝光度</w:t>
            </w:r>
          </w:p>
        </w:tc>
        <w:tc>
          <w:tcPr>
            <w:tcW w:w="2268" w:type="dxa"/>
            <w:vAlign w:val="center"/>
          </w:tcPr>
          <w:p>
            <w:pPr>
              <w:pStyle w:val="13"/>
            </w:pPr>
            <w:r>
              <w:t>≥80百分比</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5386" w:type="dxa"/>
            <w:vAlign w:val="center"/>
          </w:tcPr>
          <w:p>
            <w:pPr>
              <w:pStyle w:val="13"/>
            </w:pPr>
            <w:r>
              <w:t>服务对象满意程度</w:t>
            </w:r>
          </w:p>
        </w:tc>
        <w:tc>
          <w:tcPr>
            <w:tcW w:w="2268" w:type="dxa"/>
            <w:vAlign w:val="center"/>
          </w:tcPr>
          <w:p>
            <w:pPr>
              <w:pStyle w:val="13"/>
            </w:pPr>
            <w:r>
              <w:t>≥90百分比</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2、招商活动经费绩效目标表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13031326P00001010040F</w:t>
            </w:r>
          </w:p>
        </w:tc>
        <w:tc>
          <w:tcPr>
            <w:tcW w:w="2835" w:type="dxa"/>
            <w:vAlign w:val="center"/>
          </w:tcPr>
          <w:p>
            <w:pPr>
              <w:pStyle w:val="11"/>
            </w:pPr>
            <w:r>
              <w:t>项目名称</w:t>
            </w:r>
          </w:p>
        </w:tc>
        <w:tc>
          <w:tcPr>
            <w:tcW w:w="6095" w:type="dxa"/>
            <w:gridSpan w:val="3"/>
            <w:vAlign w:val="center"/>
          </w:tcPr>
          <w:p>
            <w:pPr>
              <w:pStyle w:val="13"/>
            </w:pPr>
            <w:r>
              <w:t>招商活动经费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w:t>
            </w:r>
          </w:p>
        </w:tc>
        <w:tc>
          <w:tcPr>
            <w:tcW w:w="2835" w:type="dxa"/>
            <w:vAlign w:val="center"/>
          </w:tcPr>
          <w:p>
            <w:pPr>
              <w:pStyle w:val="11"/>
            </w:pPr>
            <w:r>
              <w:t>其中：财政    资金</w:t>
            </w:r>
          </w:p>
        </w:tc>
        <w:tc>
          <w:tcPr>
            <w:tcW w:w="2551" w:type="dxa"/>
            <w:vAlign w:val="center"/>
          </w:tcPr>
          <w:p>
            <w:pPr>
              <w:pStyle w:val="13"/>
            </w:pPr>
            <w:r>
              <w:t>300.00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用于保障2026年招商活动顺利进行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1.保障招商工作顺利进行</w:t>
            </w:r>
          </w:p>
          <w:p>
            <w:pPr>
              <w:pStyle w:val="13"/>
            </w:pPr>
            <w:r>
              <w:t>2.举办招商活动，完成招商任务。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举办活动用餐成本</w:t>
            </w:r>
          </w:p>
        </w:tc>
        <w:tc>
          <w:tcPr>
            <w:tcW w:w="5386" w:type="dxa"/>
            <w:vAlign w:val="center"/>
          </w:tcPr>
          <w:p>
            <w:pPr>
              <w:pStyle w:val="13"/>
            </w:pPr>
            <w:r>
              <w:t>举办各类招商活动用餐人均成本</w:t>
            </w:r>
          </w:p>
        </w:tc>
        <w:tc>
          <w:tcPr>
            <w:tcW w:w="2268" w:type="dxa"/>
            <w:vAlign w:val="center"/>
          </w:tcPr>
          <w:p>
            <w:pPr>
              <w:pStyle w:val="13"/>
            </w:pPr>
            <w:r>
              <w:t>≤300元</w:t>
            </w:r>
          </w:p>
        </w:tc>
        <w:tc>
          <w:tcPr>
            <w:tcW w:w="1276" w:type="dxa"/>
            <w:vAlign w:val="center"/>
          </w:tcPr>
          <w:p>
            <w:pPr>
              <w:pStyle w:val="13"/>
            </w:pPr>
            <w:r>
              <w:t>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及时完成与总任务的比值</w:t>
            </w:r>
          </w:p>
        </w:tc>
        <w:tc>
          <w:tcPr>
            <w:tcW w:w="2268" w:type="dxa"/>
            <w:vAlign w:val="center"/>
          </w:tcPr>
          <w:p>
            <w:pPr>
              <w:pStyle w:val="13"/>
            </w:pPr>
            <w:r>
              <w:t>≥90百分比</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按时完成印刷任务</w:t>
            </w:r>
          </w:p>
        </w:tc>
        <w:tc>
          <w:tcPr>
            <w:tcW w:w="5386" w:type="dxa"/>
            <w:vAlign w:val="center"/>
          </w:tcPr>
          <w:p>
            <w:pPr>
              <w:pStyle w:val="13"/>
            </w:pPr>
            <w:r>
              <w:t>按时完成印刷任务</w:t>
            </w:r>
          </w:p>
        </w:tc>
        <w:tc>
          <w:tcPr>
            <w:tcW w:w="2268" w:type="dxa"/>
            <w:vAlign w:val="center"/>
          </w:tcPr>
          <w:p>
            <w:pPr>
              <w:pStyle w:val="13"/>
            </w:pPr>
            <w:r>
              <w:t>≥90百分比</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落地项目</w:t>
            </w:r>
          </w:p>
        </w:tc>
        <w:tc>
          <w:tcPr>
            <w:tcW w:w="5386" w:type="dxa"/>
            <w:vAlign w:val="center"/>
          </w:tcPr>
          <w:p>
            <w:pPr>
              <w:pStyle w:val="13"/>
            </w:pPr>
            <w:r>
              <w:t>落地项目个数</w:t>
            </w:r>
          </w:p>
        </w:tc>
        <w:tc>
          <w:tcPr>
            <w:tcW w:w="2268" w:type="dxa"/>
            <w:vAlign w:val="center"/>
          </w:tcPr>
          <w:p>
            <w:pPr>
              <w:pStyle w:val="13"/>
            </w:pPr>
            <w:r>
              <w:t>≥30个</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为招商引资提供便利，为居民增收</w:t>
            </w:r>
          </w:p>
        </w:tc>
        <w:tc>
          <w:tcPr>
            <w:tcW w:w="5386" w:type="dxa"/>
            <w:vAlign w:val="center"/>
          </w:tcPr>
          <w:p>
            <w:pPr>
              <w:pStyle w:val="13"/>
            </w:pPr>
            <w:r>
              <w:t>为招商引资提供便利，为居民增收提供条件。</w:t>
            </w:r>
          </w:p>
        </w:tc>
        <w:tc>
          <w:tcPr>
            <w:tcW w:w="2268" w:type="dxa"/>
            <w:vAlign w:val="center"/>
          </w:tcPr>
          <w:p>
            <w:pPr>
              <w:pStyle w:val="13"/>
            </w:pPr>
            <w:r>
              <w:t>提供便利条件</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增加就业机会</w:t>
            </w:r>
          </w:p>
        </w:tc>
        <w:tc>
          <w:tcPr>
            <w:tcW w:w="5386" w:type="dxa"/>
            <w:vAlign w:val="center"/>
          </w:tcPr>
          <w:p>
            <w:pPr>
              <w:pStyle w:val="13"/>
            </w:pPr>
            <w:r>
              <w:t>通过招商引资增加就业机会</w:t>
            </w:r>
          </w:p>
        </w:tc>
        <w:tc>
          <w:tcPr>
            <w:tcW w:w="2268" w:type="dxa"/>
            <w:vAlign w:val="center"/>
          </w:tcPr>
          <w:p>
            <w:pPr>
              <w:pStyle w:val="13"/>
            </w:pPr>
            <w:r>
              <w:t>≥1000人</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出差使用公共交通的比例</w:t>
            </w:r>
          </w:p>
        </w:tc>
        <w:tc>
          <w:tcPr>
            <w:tcW w:w="5386" w:type="dxa"/>
            <w:vAlign w:val="center"/>
          </w:tcPr>
          <w:p>
            <w:pPr>
              <w:pStyle w:val="13"/>
            </w:pPr>
            <w:r>
              <w:t>全年使用公共交通出行占全年出差的比例</w:t>
            </w:r>
          </w:p>
        </w:tc>
        <w:tc>
          <w:tcPr>
            <w:tcW w:w="2268" w:type="dxa"/>
            <w:vAlign w:val="center"/>
          </w:tcPr>
          <w:p>
            <w:pPr>
              <w:pStyle w:val="13"/>
            </w:pPr>
            <w:r>
              <w:t>≥90百分比</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服务群体满意度</w:t>
            </w:r>
          </w:p>
        </w:tc>
        <w:tc>
          <w:tcPr>
            <w:tcW w:w="5386" w:type="dxa"/>
            <w:vAlign w:val="center"/>
          </w:tcPr>
          <w:p>
            <w:pPr>
              <w:pStyle w:val="13"/>
            </w:pPr>
            <w:r>
              <w:t>服务群体满意度</w:t>
            </w:r>
          </w:p>
        </w:tc>
        <w:tc>
          <w:tcPr>
            <w:tcW w:w="2268" w:type="dxa"/>
            <w:vAlign w:val="center"/>
          </w:tcPr>
          <w:p>
            <w:pPr>
              <w:pStyle w:val="13"/>
            </w:pPr>
            <w:r>
              <w:t>≥95百分比</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322001秦皇岛北戴河新区招商和投资促进局本级</w:t>
            </w:r>
          </w:p>
        </w:tc>
        <w:tc>
          <w:tcPr>
            <w:tcW w:w="8676"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53.04</w:t>
            </w:r>
          </w:p>
        </w:tc>
        <w:tc>
          <w:tcPr>
            <w:tcW w:w="964" w:type="dxa"/>
            <w:vAlign w:val="center"/>
          </w:tcPr>
          <w:p>
            <w:pPr>
              <w:pStyle w:val="16"/>
            </w:pPr>
            <w:r>
              <w:t>53.04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秦皇岛北戴河新区招商和投资促进局本级小计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53.04</w:t>
            </w:r>
          </w:p>
        </w:tc>
        <w:tc>
          <w:tcPr>
            <w:tcW w:w="964" w:type="dxa"/>
            <w:vAlign w:val="center"/>
          </w:tcPr>
          <w:p>
            <w:pPr>
              <w:pStyle w:val="16"/>
            </w:pPr>
            <w:r>
              <w:t>53.04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16.12</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0.50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16.12</w:t>
            </w:r>
          </w:p>
        </w:tc>
        <w:tc>
          <w:tcPr>
            <w:tcW w:w="1134" w:type="dxa"/>
            <w:vAlign w:val="center"/>
          </w:tcPr>
          <w:p>
            <w:pPr>
              <w:pStyle w:val="13"/>
            </w:pPr>
            <w:r>
              <w:t>多功能一体机</w:t>
            </w:r>
          </w:p>
        </w:tc>
        <w:tc>
          <w:tcPr>
            <w:tcW w:w="1134" w:type="dxa"/>
            <w:vAlign w:val="center"/>
          </w:tcPr>
          <w:p>
            <w:pPr>
              <w:pStyle w:val="13"/>
            </w:pPr>
            <w:r>
              <w:t>A02020400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0.24</w:t>
            </w:r>
          </w:p>
        </w:tc>
        <w:tc>
          <w:tcPr>
            <w:tcW w:w="964" w:type="dxa"/>
            <w:vAlign w:val="center"/>
          </w:tcPr>
          <w:p>
            <w:pPr>
              <w:pStyle w:val="12"/>
            </w:pPr>
            <w:r>
              <w:t>0.24</w:t>
            </w:r>
          </w:p>
        </w:tc>
        <w:tc>
          <w:tcPr>
            <w:tcW w:w="964" w:type="dxa"/>
            <w:vAlign w:val="center"/>
          </w:tcPr>
          <w:p>
            <w:pPr>
              <w:pStyle w:val="12"/>
            </w:pPr>
            <w:r>
              <w:t>0.24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16.12</w:t>
            </w:r>
          </w:p>
        </w:tc>
        <w:tc>
          <w:tcPr>
            <w:tcW w:w="1134" w:type="dxa"/>
            <w:vAlign w:val="center"/>
          </w:tcPr>
          <w:p>
            <w:pPr>
              <w:pStyle w:val="13"/>
            </w:pPr>
            <w:r>
              <w:t>纸制品</w:t>
            </w:r>
          </w:p>
        </w:tc>
        <w:tc>
          <w:tcPr>
            <w:tcW w:w="1134" w:type="dxa"/>
            <w:vAlign w:val="center"/>
          </w:tcPr>
          <w:p>
            <w:pPr>
              <w:pStyle w:val="13"/>
            </w:pPr>
            <w:r>
              <w:t>A07100300</w:t>
            </w:r>
          </w:p>
        </w:tc>
        <w:tc>
          <w:tcPr>
            <w:tcW w:w="709" w:type="dxa"/>
            <w:vAlign w:val="center"/>
          </w:tcPr>
          <w:p>
            <w:pPr>
              <w:pStyle w:val="14"/>
            </w:pPr>
            <w:r>
              <w:t>箱</w:t>
            </w:r>
          </w:p>
        </w:tc>
        <w:tc>
          <w:tcPr>
            <w:tcW w:w="850" w:type="dxa"/>
            <w:vAlign w:val="center"/>
          </w:tcPr>
          <w:p>
            <w:pPr>
              <w:pStyle w:val="12"/>
            </w:pPr>
            <w:r>
              <w:t>100</w:t>
            </w:r>
          </w:p>
        </w:tc>
        <w:tc>
          <w:tcPr>
            <w:tcW w:w="850" w:type="dxa"/>
            <w:vAlign w:val="center"/>
          </w:tcPr>
          <w:p>
            <w:pPr>
              <w:pStyle w:val="12"/>
            </w:pPr>
            <w:r>
              <w:t>0.02</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招商活动经费</w:t>
            </w:r>
          </w:p>
        </w:tc>
        <w:tc>
          <w:tcPr>
            <w:tcW w:w="964" w:type="dxa"/>
            <w:vAlign w:val="center"/>
          </w:tcPr>
          <w:p>
            <w:pPr>
              <w:pStyle w:val="12"/>
            </w:pPr>
            <w:r>
              <w:t>300.00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50.00</w:t>
            </w:r>
          </w:p>
        </w:tc>
        <w:tc>
          <w:tcPr>
            <w:tcW w:w="964" w:type="dxa"/>
            <w:vAlign w:val="center"/>
          </w:tcPr>
          <w:p>
            <w:pPr>
              <w:pStyle w:val="12"/>
            </w:pPr>
            <w:r>
              <w:t>50.00</w:t>
            </w:r>
          </w:p>
        </w:tc>
        <w:tc>
          <w:tcPr>
            <w:tcW w:w="964" w:type="dxa"/>
            <w:vAlign w:val="center"/>
          </w:tcPr>
          <w:p>
            <w:pPr>
              <w:pStyle w:val="12"/>
            </w:pPr>
            <w:r>
              <w:t>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秦皇岛北戴河新区招商和投资促进局（含所属单位）上年末固定资产金额为</w:t>
      </w:r>
      <w:r>
        <w:rPr>
          <w:rFonts w:hint="eastAsia" w:eastAsia="方正仿宋_GBK" w:cs="Times New Roman"/>
          <w:b w:val="0"/>
          <w:color w:val="000000"/>
          <w:sz w:val="28"/>
          <w:lang w:val="en-US" w:eastAsia="zh-CN"/>
        </w:rPr>
        <w:t>65.61</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1.24</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322秦皇岛北戴河新区招商和投资促进局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ind w:firstLine="0" w:firstLineChars="0"/>
            </w:pPr>
            <w:r>
              <w:t>项   目</w:t>
            </w:r>
          </w:p>
        </w:tc>
        <w:tc>
          <w:tcPr>
            <w:tcW w:w="2835" w:type="dxa"/>
            <w:vAlign w:val="center"/>
          </w:tcPr>
          <w:p>
            <w:pPr>
              <w:pStyle w:val="11"/>
              <w:ind w:firstLine="0" w:firstLineChars="0"/>
            </w:pPr>
            <w:r>
              <w:t>数量</w:t>
            </w:r>
          </w:p>
        </w:tc>
        <w:tc>
          <w:tcPr>
            <w:tcW w:w="2835" w:type="dxa"/>
            <w:vAlign w:val="center"/>
          </w:tcPr>
          <w:p>
            <w:pPr>
              <w:pStyle w:val="11"/>
              <w:ind w:firstLine="0" w:firstLineChars="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ind w:firstLine="0" w:firstLineChars="0"/>
              <w:rPr>
                <w:rFonts w:hint="default" w:eastAsia="方正书宋_GBK"/>
                <w:lang w:val="en-US" w:eastAsia="zh-CN"/>
              </w:rPr>
            </w:pPr>
            <w:r>
              <w:rPr>
                <w:rFonts w:hint="eastAsia"/>
                <w:lang w:val="en-US" w:eastAsia="zh-CN"/>
              </w:rPr>
              <w:t>资产总额</w:t>
            </w:r>
          </w:p>
        </w:tc>
        <w:tc>
          <w:tcPr>
            <w:tcW w:w="2835" w:type="dxa"/>
            <w:vAlign w:val="center"/>
          </w:tcPr>
          <w:p>
            <w:pPr>
              <w:pStyle w:val="11"/>
              <w:ind w:firstLine="0" w:firstLineChars="0"/>
              <w:rPr>
                <w:rFonts w:hint="default" w:eastAsia="方正书宋_GBK"/>
                <w:lang w:val="en-US" w:eastAsia="zh-CN"/>
              </w:rPr>
            </w:pPr>
            <w:r>
              <w:rPr>
                <w:rFonts w:hint="eastAsia"/>
                <w:lang w:val="en-US" w:eastAsia="zh-CN"/>
              </w:rPr>
              <w:t>230</w:t>
            </w:r>
          </w:p>
        </w:tc>
        <w:tc>
          <w:tcPr>
            <w:tcW w:w="2835" w:type="dxa"/>
            <w:vAlign w:val="center"/>
          </w:tcPr>
          <w:p>
            <w:pPr>
              <w:pStyle w:val="11"/>
              <w:ind w:firstLine="0" w:firstLineChars="0"/>
              <w:rPr>
                <w:rFonts w:hint="default" w:eastAsia="方正书宋_GBK"/>
                <w:lang w:val="en-US" w:eastAsia="zh-CN"/>
              </w:rPr>
            </w:pPr>
            <w:r>
              <w:rPr>
                <w:rFonts w:hint="eastAsia"/>
                <w:lang w:val="en-US" w:eastAsia="zh-CN"/>
              </w:rPr>
              <w:t>65.61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ind w:firstLine="0" w:firstLineChars="0"/>
              <w:rPr>
                <w:rFonts w:hint="default"/>
                <w:lang w:val="en-US" w:eastAsia="zh-CN"/>
              </w:rPr>
            </w:pPr>
            <w:r>
              <w:rPr>
                <w:rFonts w:hint="eastAsia"/>
                <w:lang w:val="en-US" w:eastAsia="zh-CN"/>
              </w:rPr>
              <w:t>1.房屋（平方米）</w:t>
            </w:r>
          </w:p>
        </w:tc>
        <w:tc>
          <w:tcPr>
            <w:tcW w:w="2835" w:type="dxa"/>
            <w:vAlign w:val="center"/>
          </w:tcPr>
          <w:p>
            <w:pPr>
              <w:pStyle w:val="11"/>
              <w:ind w:firstLine="0" w:firstLineChars="0"/>
            </w:pPr>
          </w:p>
        </w:tc>
        <w:tc>
          <w:tcPr>
            <w:tcW w:w="2835"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ind w:firstLine="0" w:firstLineChars="0"/>
              <w:rPr>
                <w:rFonts w:hint="default"/>
                <w:lang w:val="en-US" w:eastAsia="zh-CN"/>
              </w:rPr>
            </w:pPr>
            <w:r>
              <w:rPr>
                <w:rFonts w:hint="eastAsia"/>
                <w:lang w:val="en-US" w:eastAsia="zh-CN"/>
              </w:rPr>
              <w:t>其中：办公用房（平方米）</w:t>
            </w:r>
          </w:p>
        </w:tc>
        <w:tc>
          <w:tcPr>
            <w:tcW w:w="2835" w:type="dxa"/>
            <w:vAlign w:val="center"/>
          </w:tcPr>
          <w:p>
            <w:pPr>
              <w:pStyle w:val="11"/>
              <w:ind w:firstLine="0" w:firstLineChars="0"/>
            </w:pPr>
          </w:p>
        </w:tc>
        <w:tc>
          <w:tcPr>
            <w:tcW w:w="2835"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ind w:firstLine="0" w:firstLineChars="0"/>
              <w:rPr>
                <w:rFonts w:hint="default"/>
                <w:lang w:val="en-US" w:eastAsia="zh-CN"/>
              </w:rPr>
            </w:pPr>
            <w:r>
              <w:rPr>
                <w:rFonts w:hint="eastAsia"/>
                <w:lang w:val="en-US" w:eastAsia="zh-CN"/>
              </w:rPr>
              <w:t>2.车辆（台、辆）</w:t>
            </w:r>
          </w:p>
        </w:tc>
        <w:tc>
          <w:tcPr>
            <w:tcW w:w="2835" w:type="dxa"/>
            <w:vAlign w:val="center"/>
          </w:tcPr>
          <w:p>
            <w:pPr>
              <w:pStyle w:val="11"/>
              <w:ind w:firstLine="0" w:firstLineChars="0"/>
              <w:rPr>
                <w:rFonts w:hint="eastAsia" w:eastAsia="方正书宋_GBK"/>
                <w:lang w:val="en-US" w:eastAsia="zh-CN"/>
              </w:rPr>
            </w:pPr>
            <w:r>
              <w:rPr>
                <w:rFonts w:hint="eastAsia"/>
                <w:lang w:val="en-US" w:eastAsia="zh-CN"/>
              </w:rPr>
              <w:t>1</w:t>
            </w:r>
          </w:p>
        </w:tc>
        <w:tc>
          <w:tcPr>
            <w:tcW w:w="2835" w:type="dxa"/>
            <w:vAlign w:val="center"/>
          </w:tcPr>
          <w:p>
            <w:pPr>
              <w:pStyle w:val="11"/>
              <w:ind w:firstLine="0" w:firstLineChars="0"/>
              <w:rPr>
                <w:rFonts w:hint="default"/>
                <w:lang w:val="en-US" w:eastAsia="zh-CN"/>
              </w:rPr>
            </w:pPr>
            <w:r>
              <w:rPr>
                <w:rFonts w:hint="eastAsia"/>
                <w:lang w:val="en-US" w:eastAsia="zh-CN"/>
              </w:rPr>
              <w:t>19.61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ind w:firstLine="0" w:firstLineChars="0"/>
              <w:rPr>
                <w:rFonts w:hint="default"/>
                <w:lang w:val="en-US" w:eastAsia="zh-CN"/>
              </w:rPr>
            </w:pPr>
            <w:r>
              <w:rPr>
                <w:rFonts w:hint="eastAsia"/>
                <w:lang w:val="en-US" w:eastAsia="zh-CN"/>
              </w:rPr>
              <w:t>3.单价在20万以上的设备</w:t>
            </w:r>
          </w:p>
        </w:tc>
        <w:tc>
          <w:tcPr>
            <w:tcW w:w="2835" w:type="dxa"/>
            <w:vAlign w:val="center"/>
          </w:tcPr>
          <w:p>
            <w:pPr>
              <w:pStyle w:val="11"/>
              <w:ind w:firstLine="0" w:firstLineChars="0"/>
            </w:pPr>
          </w:p>
        </w:tc>
        <w:tc>
          <w:tcPr>
            <w:tcW w:w="2835"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ind w:firstLine="0" w:firstLineChars="0"/>
              <w:rPr>
                <w:rFonts w:hint="default"/>
                <w:lang w:val="en-US" w:eastAsia="zh-CN"/>
              </w:rPr>
            </w:pPr>
            <w:r>
              <w:rPr>
                <w:rFonts w:hint="eastAsia"/>
                <w:lang w:val="en-US" w:eastAsia="zh-CN"/>
              </w:rPr>
              <w:t>4.其他固定资产</w:t>
            </w:r>
          </w:p>
        </w:tc>
        <w:tc>
          <w:tcPr>
            <w:tcW w:w="2835" w:type="dxa"/>
            <w:vAlign w:val="center"/>
          </w:tcPr>
          <w:p>
            <w:pPr>
              <w:pStyle w:val="11"/>
              <w:ind w:firstLine="0" w:firstLineChars="0"/>
              <w:rPr>
                <w:rFonts w:hint="default" w:eastAsia="方正书宋_GBK"/>
                <w:lang w:val="en-US" w:eastAsia="zh-CN"/>
              </w:rPr>
            </w:pPr>
            <w:r>
              <w:rPr>
                <w:rFonts w:hint="eastAsia"/>
                <w:lang w:val="en-US" w:eastAsia="zh-CN"/>
              </w:rPr>
              <w:t>229</w:t>
            </w:r>
          </w:p>
        </w:tc>
        <w:tc>
          <w:tcPr>
            <w:tcW w:w="2835" w:type="dxa"/>
            <w:vAlign w:val="center"/>
          </w:tcPr>
          <w:p>
            <w:pPr>
              <w:pStyle w:val="11"/>
              <w:ind w:firstLine="0" w:firstLineChars="0"/>
              <w:rPr>
                <w:rFonts w:hint="default"/>
                <w:lang w:val="en-US" w:eastAsia="zh-CN"/>
              </w:rPr>
            </w:pPr>
            <w:r>
              <w:rPr>
                <w:rFonts w:hint="eastAsia"/>
                <w:lang w:val="en-US" w:eastAsia="zh-CN"/>
              </w:rPr>
              <w:t>46</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bookmarkStart w:id="1" w:name="_GoBack"/>
      <w:bookmarkEnd w:id="1"/>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938B1"/>
    <w:multiLevelType w:val="singleLevel"/>
    <w:tmpl w:val="5CB938B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2F35653"/>
    <w:rsid w:val="45B039B9"/>
    <w:rsid w:val="47B33A10"/>
    <w:rsid w:val="6A600EE5"/>
    <w:rsid w:val="76C7622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paragraph" w:styleId="2">
    <w:name w:val="heading 1"/>
    <w:basedOn w:val="1"/>
    <w:next w:val="1"/>
    <w:qFormat/>
    <w:uiPriority w:val="0"/>
    <w:pPr>
      <w:spacing w:before="0" w:beforeAutospacing="0" w:after="0" w:afterAutospacing="0"/>
      <w:jc w:val="center"/>
      <w:outlineLvl w:val="0"/>
    </w:pPr>
    <w:rPr>
      <w:rFonts w:hint="eastAsia" w:ascii="宋体" w:hAnsi="宋体" w:eastAsia="方正小标宋简体" w:cs="宋体"/>
      <w:bCs/>
      <w:kern w:val="44"/>
      <w:sz w:val="44"/>
      <w:szCs w:val="48"/>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9">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0">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1">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2">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5">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6">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7">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TotalTime>2</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2026-03-10T15:40:00Z</dcterms:created>
  <dc:creator>lenovo</dc:creator>
  <cp:lastModifiedBy>XQZW</cp:lastModifiedBy>
  <dcterms:modified xsi:type="dcterms:W3CDTF">2026-03-17T01:44:14Z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