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一、秦皇岛北戴河新区大蒲河管理处本级收支预算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一、秦皇岛北戴河新区大蒲河管理处本级收支预算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1645.68</w:t>
            </w:r>
          </w:p>
        </w:tc>
        <w:tc>
          <w:tcPr>
            <w:tcW w:w="4535" w:type="dxa"/>
            <w:vAlign w:val="center"/>
          </w:tcPr>
          <w:p>
            <w:pPr>
              <w:pStyle w:val="12"/>
            </w:pPr>
            <w:r>
              <w:t>一、一般公共服务支出</w:t>
            </w:r>
          </w:p>
        </w:tc>
        <w:tc>
          <w:tcPr>
            <w:tcW w:w="2126" w:type="dxa"/>
            <w:vAlign w:val="center"/>
          </w:tcPr>
          <w:p>
            <w:pPr>
              <w:pStyle w:val="11"/>
            </w:pPr>
            <w:r>
              <w:t>607.51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126.60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967.83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1772.28</w:t>
            </w:r>
          </w:p>
        </w:tc>
        <w:tc>
          <w:tcPr>
            <w:tcW w:w="4535" w:type="dxa"/>
            <w:vAlign w:val="center"/>
          </w:tcPr>
          <w:p>
            <w:pPr>
              <w:pStyle w:val="14"/>
            </w:pPr>
            <w:r>
              <w:t>本年支出合计</w:t>
            </w:r>
          </w:p>
        </w:tc>
        <w:tc>
          <w:tcPr>
            <w:tcW w:w="2126" w:type="dxa"/>
            <w:vAlign w:val="center"/>
          </w:tcPr>
          <w:p>
            <w:pPr>
              <w:pStyle w:val="15"/>
            </w:pPr>
            <w:r>
              <w:t>2046.09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273.81</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2046.09</w:t>
            </w:r>
          </w:p>
        </w:tc>
        <w:tc>
          <w:tcPr>
            <w:tcW w:w="4535" w:type="dxa"/>
            <w:vAlign w:val="center"/>
          </w:tcPr>
          <w:p>
            <w:pPr>
              <w:pStyle w:val="14"/>
            </w:pPr>
            <w:r>
              <w:t>支出总计</w:t>
            </w:r>
          </w:p>
        </w:tc>
        <w:tc>
          <w:tcPr>
            <w:tcW w:w="2126" w:type="dxa"/>
            <w:vAlign w:val="center"/>
          </w:tcPr>
          <w:p>
            <w:pPr>
              <w:pStyle w:val="15"/>
            </w:pPr>
            <w:r>
              <w:t>2046.09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2046.09</w:t>
            </w:r>
          </w:p>
        </w:tc>
        <w:tc>
          <w:tcPr>
            <w:tcW w:w="1134" w:type="dxa"/>
            <w:vAlign w:val="center"/>
          </w:tcPr>
          <w:p>
            <w:pPr>
              <w:pStyle w:val="15"/>
            </w:pPr>
            <w:r>
              <w:t>1772.28</w:t>
            </w:r>
          </w:p>
        </w:tc>
        <w:tc>
          <w:tcPr>
            <w:tcW w:w="1134" w:type="dxa"/>
            <w:vAlign w:val="center"/>
          </w:tcPr>
          <w:p>
            <w:pPr>
              <w:pStyle w:val="15"/>
            </w:pPr>
            <w:r>
              <w:t>1772.28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273.81</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607.51</w:t>
            </w:r>
          </w:p>
        </w:tc>
        <w:tc>
          <w:tcPr>
            <w:tcW w:w="1134" w:type="dxa"/>
            <w:vAlign w:val="center"/>
          </w:tcPr>
          <w:p>
            <w:pPr>
              <w:pStyle w:val="11"/>
            </w:pPr>
            <w:r>
              <w:t>607.51</w:t>
            </w:r>
          </w:p>
        </w:tc>
        <w:tc>
          <w:tcPr>
            <w:tcW w:w="1134" w:type="dxa"/>
            <w:vAlign w:val="center"/>
          </w:tcPr>
          <w:p>
            <w:pPr>
              <w:pStyle w:val="11"/>
            </w:pPr>
            <w:r>
              <w:t>607.51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597.51</w:t>
            </w:r>
          </w:p>
        </w:tc>
        <w:tc>
          <w:tcPr>
            <w:tcW w:w="1134" w:type="dxa"/>
            <w:vAlign w:val="center"/>
          </w:tcPr>
          <w:p>
            <w:pPr>
              <w:pStyle w:val="11"/>
            </w:pPr>
            <w:r>
              <w:t>597.51</w:t>
            </w:r>
          </w:p>
        </w:tc>
        <w:tc>
          <w:tcPr>
            <w:tcW w:w="1134" w:type="dxa"/>
            <w:vAlign w:val="center"/>
          </w:tcPr>
          <w:p>
            <w:pPr>
              <w:pStyle w:val="11"/>
            </w:pPr>
            <w:r>
              <w:t>597.51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597.51</w:t>
            </w:r>
          </w:p>
        </w:tc>
        <w:tc>
          <w:tcPr>
            <w:tcW w:w="1134" w:type="dxa"/>
            <w:vAlign w:val="center"/>
          </w:tcPr>
          <w:p>
            <w:pPr>
              <w:pStyle w:val="11"/>
            </w:pPr>
            <w:r>
              <w:t>597.51</w:t>
            </w:r>
          </w:p>
        </w:tc>
        <w:tc>
          <w:tcPr>
            <w:tcW w:w="1134" w:type="dxa"/>
            <w:vAlign w:val="center"/>
          </w:tcPr>
          <w:p>
            <w:pPr>
              <w:pStyle w:val="11"/>
            </w:pPr>
            <w:r>
              <w:t>597.51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4.81</w:t>
            </w:r>
          </w:p>
        </w:tc>
        <w:tc>
          <w:tcPr>
            <w:tcW w:w="1134" w:type="dxa"/>
            <w:vAlign w:val="center"/>
          </w:tcPr>
          <w:p>
            <w:pPr>
              <w:pStyle w:val="11"/>
            </w:pPr>
            <w:r>
              <w:t>3.50</w:t>
            </w:r>
          </w:p>
        </w:tc>
        <w:tc>
          <w:tcPr>
            <w:tcW w:w="1134" w:type="dxa"/>
            <w:vAlign w:val="center"/>
          </w:tcPr>
          <w:p>
            <w:pPr>
              <w:pStyle w:val="11"/>
            </w:pPr>
            <w:r>
              <w:t>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1.28</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2070199</w:t>
            </w:r>
          </w:p>
        </w:tc>
        <w:tc>
          <w:tcPr>
            <w:tcW w:w="1559" w:type="dxa"/>
            <w:vAlign w:val="center"/>
          </w:tcPr>
          <w:p>
            <w:pPr>
              <w:pStyle w:val="12"/>
            </w:pPr>
            <w:r>
              <w:t>其他文化和旅游支出</w:t>
            </w:r>
          </w:p>
        </w:tc>
        <w:tc>
          <w:tcPr>
            <w:tcW w:w="1134" w:type="dxa"/>
            <w:vAlign w:val="center"/>
          </w:tcPr>
          <w:p>
            <w:pPr>
              <w:pStyle w:val="11"/>
            </w:pPr>
            <w:r>
              <w:t>1.28</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0.78</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3.53</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3.53</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159.90</w:t>
            </w:r>
          </w:p>
        </w:tc>
        <w:tc>
          <w:tcPr>
            <w:tcW w:w="1134" w:type="dxa"/>
            <w:vAlign w:val="center"/>
          </w:tcPr>
          <w:p>
            <w:pPr>
              <w:pStyle w:val="11"/>
            </w:pPr>
            <w:r>
              <w:t>159.90</w:t>
            </w:r>
          </w:p>
        </w:tc>
        <w:tc>
          <w:tcPr>
            <w:tcW w:w="1134" w:type="dxa"/>
            <w:vAlign w:val="center"/>
          </w:tcPr>
          <w:p>
            <w:pPr>
              <w:pStyle w:val="11"/>
            </w:pPr>
            <w:r>
              <w:t>159.90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2080299</w:t>
            </w:r>
          </w:p>
        </w:tc>
        <w:tc>
          <w:tcPr>
            <w:tcW w:w="1559" w:type="dxa"/>
            <w:vAlign w:val="center"/>
          </w:tcPr>
          <w:p>
            <w:pPr>
              <w:pStyle w:val="12"/>
            </w:pPr>
            <w:r>
              <w:t>其他民政管理事务支出</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146.90</w:t>
            </w:r>
          </w:p>
        </w:tc>
        <w:tc>
          <w:tcPr>
            <w:tcW w:w="1134" w:type="dxa"/>
            <w:vAlign w:val="center"/>
          </w:tcPr>
          <w:p>
            <w:pPr>
              <w:pStyle w:val="11"/>
            </w:pPr>
            <w:r>
              <w:t>146.90</w:t>
            </w:r>
          </w:p>
        </w:tc>
        <w:tc>
          <w:tcPr>
            <w:tcW w:w="1134" w:type="dxa"/>
            <w:vAlign w:val="center"/>
          </w:tcPr>
          <w:p>
            <w:pPr>
              <w:pStyle w:val="11"/>
            </w:pPr>
            <w:r>
              <w:t>146.90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56.65</w:t>
            </w:r>
          </w:p>
        </w:tc>
        <w:tc>
          <w:tcPr>
            <w:tcW w:w="1134" w:type="dxa"/>
            <w:vAlign w:val="center"/>
          </w:tcPr>
          <w:p>
            <w:pPr>
              <w:pStyle w:val="11"/>
            </w:pPr>
            <w:r>
              <w:t>56.65</w:t>
            </w:r>
          </w:p>
        </w:tc>
        <w:tc>
          <w:tcPr>
            <w:tcW w:w="1134" w:type="dxa"/>
            <w:vAlign w:val="center"/>
          </w:tcPr>
          <w:p>
            <w:pPr>
              <w:pStyle w:val="11"/>
            </w:pPr>
            <w:r>
              <w:t>56.65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65.82</w:t>
            </w:r>
          </w:p>
        </w:tc>
        <w:tc>
          <w:tcPr>
            <w:tcW w:w="1134" w:type="dxa"/>
            <w:vAlign w:val="center"/>
          </w:tcPr>
          <w:p>
            <w:pPr>
              <w:pStyle w:val="11"/>
            </w:pPr>
            <w:r>
              <w:t>65.82</w:t>
            </w:r>
          </w:p>
        </w:tc>
        <w:tc>
          <w:tcPr>
            <w:tcW w:w="1134" w:type="dxa"/>
            <w:vAlign w:val="center"/>
          </w:tcPr>
          <w:p>
            <w:pPr>
              <w:pStyle w:val="11"/>
            </w:pPr>
            <w:r>
              <w:t>65.82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24.43</w:t>
            </w:r>
          </w:p>
        </w:tc>
        <w:tc>
          <w:tcPr>
            <w:tcW w:w="1134" w:type="dxa"/>
            <w:vAlign w:val="center"/>
          </w:tcPr>
          <w:p>
            <w:pPr>
              <w:pStyle w:val="11"/>
            </w:pPr>
            <w:r>
              <w:t>24.43</w:t>
            </w:r>
          </w:p>
        </w:tc>
        <w:tc>
          <w:tcPr>
            <w:tcW w:w="1134" w:type="dxa"/>
            <w:vAlign w:val="center"/>
          </w:tcPr>
          <w:p>
            <w:pPr>
              <w:pStyle w:val="11"/>
            </w:pPr>
            <w:r>
              <w:t>24.43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61.75</w:t>
            </w:r>
          </w:p>
        </w:tc>
        <w:tc>
          <w:tcPr>
            <w:tcW w:w="1134" w:type="dxa"/>
            <w:vAlign w:val="center"/>
          </w:tcPr>
          <w:p>
            <w:pPr>
              <w:pStyle w:val="11"/>
            </w:pPr>
            <w:r>
              <w:t>61.75</w:t>
            </w:r>
          </w:p>
        </w:tc>
        <w:tc>
          <w:tcPr>
            <w:tcW w:w="1134" w:type="dxa"/>
            <w:vAlign w:val="center"/>
          </w:tcPr>
          <w:p>
            <w:pPr>
              <w:pStyle w:val="11"/>
            </w:pPr>
            <w:r>
              <w:t>61.75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61.75</w:t>
            </w:r>
          </w:p>
        </w:tc>
        <w:tc>
          <w:tcPr>
            <w:tcW w:w="1134" w:type="dxa"/>
            <w:vAlign w:val="center"/>
          </w:tcPr>
          <w:p>
            <w:pPr>
              <w:pStyle w:val="11"/>
            </w:pPr>
            <w:r>
              <w:t>61.75</w:t>
            </w:r>
          </w:p>
        </w:tc>
        <w:tc>
          <w:tcPr>
            <w:tcW w:w="1134" w:type="dxa"/>
            <w:vAlign w:val="center"/>
          </w:tcPr>
          <w:p>
            <w:pPr>
              <w:pStyle w:val="11"/>
            </w:pPr>
            <w:r>
              <w:t>61.75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61.75</w:t>
            </w:r>
          </w:p>
        </w:tc>
        <w:tc>
          <w:tcPr>
            <w:tcW w:w="1134" w:type="dxa"/>
            <w:vAlign w:val="center"/>
          </w:tcPr>
          <w:p>
            <w:pPr>
              <w:pStyle w:val="11"/>
            </w:pPr>
            <w:r>
              <w:t>61.75</w:t>
            </w:r>
          </w:p>
        </w:tc>
        <w:tc>
          <w:tcPr>
            <w:tcW w:w="1134" w:type="dxa"/>
            <w:vAlign w:val="center"/>
          </w:tcPr>
          <w:p>
            <w:pPr>
              <w:pStyle w:val="11"/>
            </w:pPr>
            <w:r>
              <w:t>61.75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64.62</w:t>
            </w:r>
          </w:p>
        </w:tc>
        <w:tc>
          <w:tcPr>
            <w:tcW w:w="1134" w:type="dxa"/>
            <w:vAlign w:val="center"/>
          </w:tcPr>
          <w:p>
            <w:pPr>
              <w:pStyle w:val="11"/>
            </w:pPr>
            <w:r>
              <w:t>34.73</w:t>
            </w:r>
          </w:p>
        </w:tc>
        <w:tc>
          <w:tcPr>
            <w:tcW w:w="1134" w:type="dxa"/>
            <w:vAlign w:val="center"/>
          </w:tcPr>
          <w:p>
            <w:pPr>
              <w:pStyle w:val="11"/>
            </w:pPr>
            <w:r>
              <w:t>34.73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64.62</w:t>
            </w:r>
          </w:p>
        </w:tc>
        <w:tc>
          <w:tcPr>
            <w:tcW w:w="1134" w:type="dxa"/>
            <w:vAlign w:val="center"/>
          </w:tcPr>
          <w:p>
            <w:pPr>
              <w:pStyle w:val="11"/>
            </w:pPr>
            <w:r>
              <w:t>34.73</w:t>
            </w:r>
          </w:p>
        </w:tc>
        <w:tc>
          <w:tcPr>
            <w:tcW w:w="1134" w:type="dxa"/>
            <w:vAlign w:val="center"/>
          </w:tcPr>
          <w:p>
            <w:pPr>
              <w:pStyle w:val="11"/>
            </w:pPr>
            <w:r>
              <w:t>34.73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64.62</w:t>
            </w:r>
          </w:p>
        </w:tc>
        <w:tc>
          <w:tcPr>
            <w:tcW w:w="1134" w:type="dxa"/>
            <w:vAlign w:val="center"/>
          </w:tcPr>
          <w:p>
            <w:pPr>
              <w:pStyle w:val="11"/>
            </w:pPr>
            <w:r>
              <w:t>34.73</w:t>
            </w:r>
          </w:p>
        </w:tc>
        <w:tc>
          <w:tcPr>
            <w:tcW w:w="1134" w:type="dxa"/>
            <w:vAlign w:val="center"/>
          </w:tcPr>
          <w:p>
            <w:pPr>
              <w:pStyle w:val="11"/>
            </w:pPr>
            <w:r>
              <w:t>34.73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126.60</w:t>
            </w:r>
          </w:p>
        </w:tc>
        <w:tc>
          <w:tcPr>
            <w:tcW w:w="1134" w:type="dxa"/>
            <w:vAlign w:val="center"/>
          </w:tcPr>
          <w:p>
            <w:pPr>
              <w:pStyle w:val="11"/>
            </w:pPr>
            <w:r>
              <w:t>126.60</w:t>
            </w:r>
          </w:p>
        </w:tc>
        <w:tc>
          <w:tcPr>
            <w:tcW w:w="1134" w:type="dxa"/>
            <w:vAlign w:val="center"/>
          </w:tcPr>
          <w:p>
            <w:pPr>
              <w:pStyle w:val="11"/>
            </w:pPr>
            <w:r>
              <w:t>126.60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126.60</w:t>
            </w:r>
          </w:p>
        </w:tc>
        <w:tc>
          <w:tcPr>
            <w:tcW w:w="1134" w:type="dxa"/>
            <w:vAlign w:val="center"/>
          </w:tcPr>
          <w:p>
            <w:pPr>
              <w:pStyle w:val="11"/>
            </w:pPr>
            <w:r>
              <w:t>126.60</w:t>
            </w:r>
          </w:p>
        </w:tc>
        <w:tc>
          <w:tcPr>
            <w:tcW w:w="1134" w:type="dxa"/>
            <w:vAlign w:val="center"/>
          </w:tcPr>
          <w:p>
            <w:pPr>
              <w:pStyle w:val="11"/>
            </w:pPr>
            <w:r>
              <w:t>126.60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126.60</w:t>
            </w:r>
          </w:p>
        </w:tc>
        <w:tc>
          <w:tcPr>
            <w:tcW w:w="1134" w:type="dxa"/>
            <w:vAlign w:val="center"/>
          </w:tcPr>
          <w:p>
            <w:pPr>
              <w:pStyle w:val="11"/>
            </w:pPr>
            <w:r>
              <w:t>126.60</w:t>
            </w:r>
          </w:p>
        </w:tc>
        <w:tc>
          <w:tcPr>
            <w:tcW w:w="1134" w:type="dxa"/>
            <w:vAlign w:val="center"/>
          </w:tcPr>
          <w:p>
            <w:pPr>
              <w:pStyle w:val="11"/>
            </w:pPr>
            <w:r>
              <w:t>126.60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967.83</w:t>
            </w:r>
          </w:p>
        </w:tc>
        <w:tc>
          <w:tcPr>
            <w:tcW w:w="1134" w:type="dxa"/>
            <w:vAlign w:val="center"/>
          </w:tcPr>
          <w:p>
            <w:pPr>
              <w:pStyle w:val="11"/>
            </w:pPr>
            <w:r>
              <w:t>725.21</w:t>
            </w:r>
          </w:p>
        </w:tc>
        <w:tc>
          <w:tcPr>
            <w:tcW w:w="1134" w:type="dxa"/>
            <w:vAlign w:val="center"/>
          </w:tcPr>
          <w:p>
            <w:pPr>
              <w:pStyle w:val="11"/>
            </w:pPr>
            <w:r>
              <w:t>725.21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483.96</w:t>
            </w:r>
          </w:p>
        </w:tc>
        <w:tc>
          <w:tcPr>
            <w:tcW w:w="1134" w:type="dxa"/>
            <w:vAlign w:val="center"/>
          </w:tcPr>
          <w:p>
            <w:pPr>
              <w:pStyle w:val="11"/>
            </w:pPr>
            <w:r>
              <w:t>261.61</w:t>
            </w:r>
          </w:p>
        </w:tc>
        <w:tc>
          <w:tcPr>
            <w:tcW w:w="1134" w:type="dxa"/>
            <w:vAlign w:val="center"/>
          </w:tcPr>
          <w:p>
            <w:pPr>
              <w:pStyle w:val="11"/>
            </w:pPr>
            <w:r>
              <w:t>261.61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222.35</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2130120</w:t>
            </w:r>
          </w:p>
        </w:tc>
        <w:tc>
          <w:tcPr>
            <w:tcW w:w="1559" w:type="dxa"/>
            <w:vAlign w:val="center"/>
          </w:tcPr>
          <w:p>
            <w:pPr>
              <w:pStyle w:val="12"/>
            </w:pPr>
            <w:r>
              <w:t>稳定农民收入补贴</w:t>
            </w:r>
          </w:p>
        </w:tc>
        <w:tc>
          <w:tcPr>
            <w:tcW w:w="1134" w:type="dxa"/>
            <w:vAlign w:val="center"/>
          </w:tcPr>
          <w:p>
            <w:pPr>
              <w:pStyle w:val="11"/>
            </w:pPr>
            <w:r>
              <w:t>2.35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2130142</w:t>
            </w:r>
          </w:p>
        </w:tc>
        <w:tc>
          <w:tcPr>
            <w:tcW w:w="1559" w:type="dxa"/>
            <w:vAlign w:val="center"/>
          </w:tcPr>
          <w:p>
            <w:pPr>
              <w:pStyle w:val="12"/>
            </w:pPr>
            <w:r>
              <w:t>乡村道路建设</w:t>
            </w:r>
          </w:p>
        </w:tc>
        <w:tc>
          <w:tcPr>
            <w:tcW w:w="1134" w:type="dxa"/>
            <w:vAlign w:val="center"/>
          </w:tcPr>
          <w:p>
            <w:pPr>
              <w:pStyle w:val="11"/>
            </w:pPr>
            <w:r>
              <w:t>112.61</w:t>
            </w:r>
          </w:p>
        </w:tc>
        <w:tc>
          <w:tcPr>
            <w:tcW w:w="1134" w:type="dxa"/>
            <w:vAlign w:val="center"/>
          </w:tcPr>
          <w:p>
            <w:pPr>
              <w:pStyle w:val="11"/>
            </w:pPr>
            <w:r>
              <w:t>112.61</w:t>
            </w:r>
          </w:p>
        </w:tc>
        <w:tc>
          <w:tcPr>
            <w:tcW w:w="1134" w:type="dxa"/>
            <w:vAlign w:val="center"/>
          </w:tcPr>
          <w:p>
            <w:pPr>
              <w:pStyle w:val="11"/>
            </w:pPr>
            <w:r>
              <w:t>112.61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2130199</w:t>
            </w:r>
          </w:p>
        </w:tc>
        <w:tc>
          <w:tcPr>
            <w:tcW w:w="1559" w:type="dxa"/>
            <w:vAlign w:val="center"/>
          </w:tcPr>
          <w:p>
            <w:pPr>
              <w:pStyle w:val="12"/>
            </w:pPr>
            <w:r>
              <w:t>其他农业农村支出</w:t>
            </w:r>
          </w:p>
        </w:tc>
        <w:tc>
          <w:tcPr>
            <w:tcW w:w="1134" w:type="dxa"/>
            <w:vAlign w:val="center"/>
          </w:tcPr>
          <w:p>
            <w:pPr>
              <w:pStyle w:val="11"/>
            </w:pPr>
            <w:r>
              <w:t>149.00</w:t>
            </w:r>
          </w:p>
        </w:tc>
        <w:tc>
          <w:tcPr>
            <w:tcW w:w="1134" w:type="dxa"/>
            <w:vAlign w:val="center"/>
          </w:tcPr>
          <w:p>
            <w:pPr>
              <w:pStyle w:val="11"/>
            </w:pPr>
            <w:r>
              <w:t>149.00</w:t>
            </w:r>
          </w:p>
        </w:tc>
        <w:tc>
          <w:tcPr>
            <w:tcW w:w="1134" w:type="dxa"/>
            <w:vAlign w:val="center"/>
          </w:tcPr>
          <w:p>
            <w:pPr>
              <w:pStyle w:val="11"/>
            </w:pPr>
            <w:r>
              <w:t>149.00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480.63</w:t>
            </w:r>
          </w:p>
        </w:tc>
        <w:tc>
          <w:tcPr>
            <w:tcW w:w="1134" w:type="dxa"/>
            <w:vAlign w:val="center"/>
          </w:tcPr>
          <w:p>
            <w:pPr>
              <w:pStyle w:val="11"/>
            </w:pPr>
            <w:r>
              <w:t>463.60</w:t>
            </w:r>
          </w:p>
        </w:tc>
        <w:tc>
          <w:tcPr>
            <w:tcW w:w="1134" w:type="dxa"/>
            <w:vAlign w:val="center"/>
          </w:tcPr>
          <w:p>
            <w:pPr>
              <w:pStyle w:val="11"/>
            </w:pPr>
            <w:r>
              <w:t>463.60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2130701</w:t>
            </w:r>
          </w:p>
        </w:tc>
        <w:tc>
          <w:tcPr>
            <w:tcW w:w="1559" w:type="dxa"/>
            <w:vAlign w:val="center"/>
          </w:tcPr>
          <w:p>
            <w:pPr>
              <w:pStyle w:val="12"/>
            </w:pPr>
            <w:r>
              <w:t>对村级公益事业建设的补助</w:t>
            </w:r>
          </w:p>
        </w:tc>
        <w:tc>
          <w:tcPr>
            <w:tcW w:w="1134" w:type="dxa"/>
            <w:vAlign w:val="center"/>
          </w:tcPr>
          <w:p>
            <w:pPr>
              <w:pStyle w:val="11"/>
            </w:pPr>
            <w:r>
              <w:t>17.03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17.03</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463.60</w:t>
            </w:r>
          </w:p>
        </w:tc>
        <w:tc>
          <w:tcPr>
            <w:tcW w:w="1134" w:type="dxa"/>
            <w:vAlign w:val="center"/>
          </w:tcPr>
          <w:p>
            <w:pPr>
              <w:pStyle w:val="11"/>
            </w:pPr>
            <w:r>
              <w:t>463.60</w:t>
            </w:r>
          </w:p>
        </w:tc>
        <w:tc>
          <w:tcPr>
            <w:tcW w:w="1134" w:type="dxa"/>
            <w:vAlign w:val="center"/>
          </w:tcPr>
          <w:p>
            <w:pPr>
              <w:pStyle w:val="11"/>
            </w:pPr>
            <w:r>
              <w:t>463.60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3.24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2137202</w:t>
            </w:r>
          </w:p>
        </w:tc>
        <w:tc>
          <w:tcPr>
            <w:tcW w:w="1559" w:type="dxa"/>
            <w:vAlign w:val="center"/>
          </w:tcPr>
          <w:p>
            <w:pPr>
              <w:pStyle w:val="12"/>
            </w:pPr>
            <w:r>
              <w:t>基础设施建设和经济发展</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53.08</w:t>
            </w:r>
          </w:p>
        </w:tc>
        <w:tc>
          <w:tcPr>
            <w:tcW w:w="1134" w:type="dxa"/>
            <w:vAlign w:val="center"/>
          </w:tcPr>
          <w:p>
            <w:pPr>
              <w:pStyle w:val="11"/>
            </w:pPr>
            <w:r>
              <w:t>53.08</w:t>
            </w:r>
          </w:p>
        </w:tc>
        <w:tc>
          <w:tcPr>
            <w:tcW w:w="1134" w:type="dxa"/>
            <w:vAlign w:val="center"/>
          </w:tcPr>
          <w:p>
            <w:pPr>
              <w:pStyle w:val="11"/>
            </w:pPr>
            <w:r>
              <w:t>53.08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53.08</w:t>
            </w:r>
          </w:p>
        </w:tc>
        <w:tc>
          <w:tcPr>
            <w:tcW w:w="1134" w:type="dxa"/>
            <w:vAlign w:val="center"/>
          </w:tcPr>
          <w:p>
            <w:pPr>
              <w:pStyle w:val="11"/>
            </w:pPr>
            <w:r>
              <w:t>53.08</w:t>
            </w:r>
          </w:p>
        </w:tc>
        <w:tc>
          <w:tcPr>
            <w:tcW w:w="1134" w:type="dxa"/>
            <w:vAlign w:val="center"/>
          </w:tcPr>
          <w:p>
            <w:pPr>
              <w:pStyle w:val="11"/>
            </w:pPr>
            <w:r>
              <w:t>53.08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53.08</w:t>
            </w:r>
          </w:p>
        </w:tc>
        <w:tc>
          <w:tcPr>
            <w:tcW w:w="1134" w:type="dxa"/>
            <w:vAlign w:val="center"/>
          </w:tcPr>
          <w:p>
            <w:pPr>
              <w:pStyle w:val="11"/>
            </w:pPr>
            <w:r>
              <w:t>53.08</w:t>
            </w:r>
          </w:p>
        </w:tc>
        <w:tc>
          <w:tcPr>
            <w:tcW w:w="1134" w:type="dxa"/>
            <w:vAlign w:val="center"/>
          </w:tcPr>
          <w:p>
            <w:pPr>
              <w:pStyle w:val="11"/>
            </w:pPr>
            <w:r>
              <w:t>53.08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2046.09</w:t>
            </w:r>
          </w:p>
        </w:tc>
        <w:tc>
          <w:tcPr>
            <w:tcW w:w="1361" w:type="dxa"/>
            <w:vAlign w:val="center"/>
          </w:tcPr>
          <w:p>
            <w:pPr>
              <w:pStyle w:val="15"/>
            </w:pPr>
            <w:r>
              <w:t>797.12</w:t>
            </w:r>
          </w:p>
        </w:tc>
        <w:tc>
          <w:tcPr>
            <w:tcW w:w="1361" w:type="dxa"/>
            <w:vAlign w:val="center"/>
          </w:tcPr>
          <w:p>
            <w:pPr>
              <w:pStyle w:val="15"/>
            </w:pPr>
            <w:r>
              <w:t>1248.97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607.51</w:t>
            </w:r>
          </w:p>
        </w:tc>
        <w:tc>
          <w:tcPr>
            <w:tcW w:w="1361" w:type="dxa"/>
            <w:vAlign w:val="center"/>
          </w:tcPr>
          <w:p>
            <w:pPr>
              <w:pStyle w:val="11"/>
            </w:pPr>
            <w:r>
              <w:t>535.39</w:t>
            </w:r>
          </w:p>
        </w:tc>
        <w:tc>
          <w:tcPr>
            <w:tcW w:w="1361" w:type="dxa"/>
            <w:vAlign w:val="center"/>
          </w:tcPr>
          <w:p>
            <w:pPr>
              <w:pStyle w:val="11"/>
            </w:pPr>
            <w:r>
              <w:t>72.12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597.51</w:t>
            </w:r>
          </w:p>
        </w:tc>
        <w:tc>
          <w:tcPr>
            <w:tcW w:w="1361" w:type="dxa"/>
            <w:vAlign w:val="center"/>
          </w:tcPr>
          <w:p>
            <w:pPr>
              <w:pStyle w:val="11"/>
            </w:pPr>
            <w:r>
              <w:t>535.39</w:t>
            </w:r>
          </w:p>
        </w:tc>
        <w:tc>
          <w:tcPr>
            <w:tcW w:w="1361" w:type="dxa"/>
            <w:vAlign w:val="center"/>
          </w:tcPr>
          <w:p>
            <w:pPr>
              <w:pStyle w:val="11"/>
            </w:pPr>
            <w:r>
              <w:t>62.12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597.51</w:t>
            </w:r>
          </w:p>
        </w:tc>
        <w:tc>
          <w:tcPr>
            <w:tcW w:w="1361" w:type="dxa"/>
            <w:vAlign w:val="center"/>
          </w:tcPr>
          <w:p>
            <w:pPr>
              <w:pStyle w:val="11"/>
            </w:pPr>
            <w:r>
              <w:t>535.39</w:t>
            </w:r>
          </w:p>
        </w:tc>
        <w:tc>
          <w:tcPr>
            <w:tcW w:w="1361" w:type="dxa"/>
            <w:vAlign w:val="center"/>
          </w:tcPr>
          <w:p>
            <w:pPr>
              <w:pStyle w:val="11"/>
            </w:pPr>
            <w:r>
              <w:t>62.12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4.81</w:t>
            </w:r>
          </w:p>
        </w:tc>
        <w:tc>
          <w:tcPr>
            <w:tcW w:w="1361" w:type="dxa"/>
            <w:vAlign w:val="center"/>
          </w:tcPr>
          <w:p>
            <w:pPr>
              <w:pStyle w:val="11"/>
            </w:pPr>
          </w:p>
        </w:tc>
        <w:tc>
          <w:tcPr>
            <w:tcW w:w="1361" w:type="dxa"/>
            <w:vAlign w:val="center"/>
          </w:tcPr>
          <w:p>
            <w:pPr>
              <w:pStyle w:val="11"/>
            </w:pPr>
            <w:r>
              <w:t>4.81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2070199</w:t>
            </w:r>
          </w:p>
        </w:tc>
        <w:tc>
          <w:tcPr>
            <w:tcW w:w="4535" w:type="dxa"/>
            <w:vAlign w:val="center"/>
          </w:tcPr>
          <w:p>
            <w:pPr>
              <w:pStyle w:val="12"/>
            </w:pPr>
            <w:r>
              <w:t>其他文化和旅游支出</w:t>
            </w: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r>
              <w:t>1.28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3.53</w:t>
            </w:r>
          </w:p>
        </w:tc>
        <w:tc>
          <w:tcPr>
            <w:tcW w:w="1361" w:type="dxa"/>
            <w:vAlign w:val="center"/>
          </w:tcPr>
          <w:p>
            <w:pPr>
              <w:pStyle w:val="11"/>
            </w:pPr>
          </w:p>
        </w:tc>
        <w:tc>
          <w:tcPr>
            <w:tcW w:w="1361" w:type="dxa"/>
            <w:vAlign w:val="center"/>
          </w:tcPr>
          <w:p>
            <w:pPr>
              <w:pStyle w:val="11"/>
            </w:pPr>
            <w:r>
              <w:t>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3.53</w:t>
            </w:r>
          </w:p>
        </w:tc>
        <w:tc>
          <w:tcPr>
            <w:tcW w:w="1361" w:type="dxa"/>
            <w:vAlign w:val="center"/>
          </w:tcPr>
          <w:p>
            <w:pPr>
              <w:pStyle w:val="11"/>
            </w:pPr>
          </w:p>
        </w:tc>
        <w:tc>
          <w:tcPr>
            <w:tcW w:w="1361" w:type="dxa"/>
            <w:vAlign w:val="center"/>
          </w:tcPr>
          <w:p>
            <w:pPr>
              <w:pStyle w:val="11"/>
            </w:pPr>
            <w:r>
              <w:t>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159.90</w:t>
            </w:r>
          </w:p>
        </w:tc>
        <w:tc>
          <w:tcPr>
            <w:tcW w:w="1361" w:type="dxa"/>
            <w:vAlign w:val="center"/>
          </w:tcPr>
          <w:p>
            <w:pPr>
              <w:pStyle w:val="11"/>
            </w:pPr>
            <w:r>
              <w:t>146.90</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2080299</w:t>
            </w:r>
          </w:p>
        </w:tc>
        <w:tc>
          <w:tcPr>
            <w:tcW w:w="4535" w:type="dxa"/>
            <w:vAlign w:val="center"/>
          </w:tcPr>
          <w:p>
            <w:pPr>
              <w:pStyle w:val="12"/>
            </w:pPr>
            <w:r>
              <w:t>其他民政管理事务支出</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146.90</w:t>
            </w:r>
          </w:p>
        </w:tc>
        <w:tc>
          <w:tcPr>
            <w:tcW w:w="1361" w:type="dxa"/>
            <w:vAlign w:val="center"/>
          </w:tcPr>
          <w:p>
            <w:pPr>
              <w:pStyle w:val="11"/>
            </w:pPr>
            <w:r>
              <w:t>146.90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56.65</w:t>
            </w:r>
          </w:p>
        </w:tc>
        <w:tc>
          <w:tcPr>
            <w:tcW w:w="1361" w:type="dxa"/>
            <w:vAlign w:val="center"/>
          </w:tcPr>
          <w:p>
            <w:pPr>
              <w:pStyle w:val="11"/>
            </w:pPr>
            <w:r>
              <w:t>56.65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65.82</w:t>
            </w:r>
          </w:p>
        </w:tc>
        <w:tc>
          <w:tcPr>
            <w:tcW w:w="1361" w:type="dxa"/>
            <w:vAlign w:val="center"/>
          </w:tcPr>
          <w:p>
            <w:pPr>
              <w:pStyle w:val="11"/>
            </w:pPr>
            <w:r>
              <w:t>65.82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24.43</w:t>
            </w:r>
          </w:p>
        </w:tc>
        <w:tc>
          <w:tcPr>
            <w:tcW w:w="1361" w:type="dxa"/>
            <w:vAlign w:val="center"/>
          </w:tcPr>
          <w:p>
            <w:pPr>
              <w:pStyle w:val="11"/>
            </w:pPr>
            <w:r>
              <w:t>24.43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61.75</w:t>
            </w:r>
          </w:p>
        </w:tc>
        <w:tc>
          <w:tcPr>
            <w:tcW w:w="1361" w:type="dxa"/>
            <w:vAlign w:val="center"/>
          </w:tcPr>
          <w:p>
            <w:pPr>
              <w:pStyle w:val="11"/>
            </w:pPr>
            <w:r>
              <w:t>61.75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61.75</w:t>
            </w:r>
          </w:p>
        </w:tc>
        <w:tc>
          <w:tcPr>
            <w:tcW w:w="1361" w:type="dxa"/>
            <w:vAlign w:val="center"/>
          </w:tcPr>
          <w:p>
            <w:pPr>
              <w:pStyle w:val="11"/>
            </w:pPr>
            <w:r>
              <w:t>61.75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61.75</w:t>
            </w:r>
          </w:p>
        </w:tc>
        <w:tc>
          <w:tcPr>
            <w:tcW w:w="1361" w:type="dxa"/>
            <w:vAlign w:val="center"/>
          </w:tcPr>
          <w:p>
            <w:pPr>
              <w:pStyle w:val="11"/>
            </w:pPr>
            <w:r>
              <w:t>61.75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64.62</w:t>
            </w:r>
          </w:p>
        </w:tc>
        <w:tc>
          <w:tcPr>
            <w:tcW w:w="1361" w:type="dxa"/>
            <w:vAlign w:val="center"/>
          </w:tcPr>
          <w:p>
            <w:pPr>
              <w:pStyle w:val="11"/>
            </w:pPr>
          </w:p>
        </w:tc>
        <w:tc>
          <w:tcPr>
            <w:tcW w:w="1361" w:type="dxa"/>
            <w:vAlign w:val="center"/>
          </w:tcPr>
          <w:p>
            <w:pPr>
              <w:pStyle w:val="11"/>
            </w:pPr>
            <w:r>
              <w:t>64.62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64.62</w:t>
            </w:r>
          </w:p>
        </w:tc>
        <w:tc>
          <w:tcPr>
            <w:tcW w:w="1361" w:type="dxa"/>
            <w:vAlign w:val="center"/>
          </w:tcPr>
          <w:p>
            <w:pPr>
              <w:pStyle w:val="11"/>
            </w:pPr>
          </w:p>
        </w:tc>
        <w:tc>
          <w:tcPr>
            <w:tcW w:w="1361" w:type="dxa"/>
            <w:vAlign w:val="center"/>
          </w:tcPr>
          <w:p>
            <w:pPr>
              <w:pStyle w:val="11"/>
            </w:pPr>
            <w:r>
              <w:t>64.62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64.62</w:t>
            </w:r>
          </w:p>
        </w:tc>
        <w:tc>
          <w:tcPr>
            <w:tcW w:w="1361" w:type="dxa"/>
            <w:vAlign w:val="center"/>
          </w:tcPr>
          <w:p>
            <w:pPr>
              <w:pStyle w:val="11"/>
            </w:pPr>
          </w:p>
        </w:tc>
        <w:tc>
          <w:tcPr>
            <w:tcW w:w="1361" w:type="dxa"/>
            <w:vAlign w:val="center"/>
          </w:tcPr>
          <w:p>
            <w:pPr>
              <w:pStyle w:val="11"/>
            </w:pPr>
            <w:r>
              <w:t>64.62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126.60</w:t>
            </w:r>
          </w:p>
        </w:tc>
        <w:tc>
          <w:tcPr>
            <w:tcW w:w="1361" w:type="dxa"/>
            <w:vAlign w:val="center"/>
          </w:tcPr>
          <w:p>
            <w:pPr>
              <w:pStyle w:val="11"/>
            </w:pPr>
          </w:p>
        </w:tc>
        <w:tc>
          <w:tcPr>
            <w:tcW w:w="1361" w:type="dxa"/>
            <w:vAlign w:val="center"/>
          </w:tcPr>
          <w:p>
            <w:pPr>
              <w:pStyle w:val="11"/>
            </w:pPr>
            <w:r>
              <w:t>126.60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126.60</w:t>
            </w:r>
          </w:p>
        </w:tc>
        <w:tc>
          <w:tcPr>
            <w:tcW w:w="1361" w:type="dxa"/>
            <w:vAlign w:val="center"/>
          </w:tcPr>
          <w:p>
            <w:pPr>
              <w:pStyle w:val="11"/>
            </w:pPr>
          </w:p>
        </w:tc>
        <w:tc>
          <w:tcPr>
            <w:tcW w:w="1361" w:type="dxa"/>
            <w:vAlign w:val="center"/>
          </w:tcPr>
          <w:p>
            <w:pPr>
              <w:pStyle w:val="11"/>
            </w:pPr>
            <w:r>
              <w:t>126.60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126.60</w:t>
            </w:r>
          </w:p>
        </w:tc>
        <w:tc>
          <w:tcPr>
            <w:tcW w:w="1361" w:type="dxa"/>
            <w:vAlign w:val="center"/>
          </w:tcPr>
          <w:p>
            <w:pPr>
              <w:pStyle w:val="11"/>
            </w:pPr>
          </w:p>
        </w:tc>
        <w:tc>
          <w:tcPr>
            <w:tcW w:w="1361" w:type="dxa"/>
            <w:vAlign w:val="center"/>
          </w:tcPr>
          <w:p>
            <w:pPr>
              <w:pStyle w:val="11"/>
            </w:pPr>
            <w:r>
              <w:t>126.60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967.83</w:t>
            </w:r>
          </w:p>
        </w:tc>
        <w:tc>
          <w:tcPr>
            <w:tcW w:w="1361" w:type="dxa"/>
            <w:vAlign w:val="center"/>
          </w:tcPr>
          <w:p>
            <w:pPr>
              <w:pStyle w:val="11"/>
            </w:pPr>
          </w:p>
        </w:tc>
        <w:tc>
          <w:tcPr>
            <w:tcW w:w="1361" w:type="dxa"/>
            <w:vAlign w:val="center"/>
          </w:tcPr>
          <w:p>
            <w:pPr>
              <w:pStyle w:val="11"/>
            </w:pPr>
            <w:r>
              <w:t>967.83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483.96</w:t>
            </w:r>
          </w:p>
        </w:tc>
        <w:tc>
          <w:tcPr>
            <w:tcW w:w="1361" w:type="dxa"/>
            <w:vAlign w:val="center"/>
          </w:tcPr>
          <w:p>
            <w:pPr>
              <w:pStyle w:val="11"/>
            </w:pPr>
          </w:p>
        </w:tc>
        <w:tc>
          <w:tcPr>
            <w:tcW w:w="1361" w:type="dxa"/>
            <w:vAlign w:val="center"/>
          </w:tcPr>
          <w:p>
            <w:pPr>
              <w:pStyle w:val="11"/>
            </w:pPr>
            <w:r>
              <w:t>483.96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2130120</w:t>
            </w:r>
          </w:p>
        </w:tc>
        <w:tc>
          <w:tcPr>
            <w:tcW w:w="4535" w:type="dxa"/>
            <w:vAlign w:val="center"/>
          </w:tcPr>
          <w:p>
            <w:pPr>
              <w:pStyle w:val="12"/>
            </w:pPr>
            <w:r>
              <w:t>稳定农民收入补贴</w:t>
            </w: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r>
              <w:t>2.35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220.00</w:t>
            </w:r>
          </w:p>
        </w:tc>
        <w:tc>
          <w:tcPr>
            <w:tcW w:w="1361" w:type="dxa"/>
            <w:vAlign w:val="center"/>
          </w:tcPr>
          <w:p>
            <w:pPr>
              <w:pStyle w:val="11"/>
            </w:pPr>
          </w:p>
        </w:tc>
        <w:tc>
          <w:tcPr>
            <w:tcW w:w="1361" w:type="dxa"/>
            <w:vAlign w:val="center"/>
          </w:tcPr>
          <w:p>
            <w:pPr>
              <w:pStyle w:val="11"/>
            </w:pPr>
            <w:r>
              <w:t>220.00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2130142</w:t>
            </w:r>
          </w:p>
        </w:tc>
        <w:tc>
          <w:tcPr>
            <w:tcW w:w="4535" w:type="dxa"/>
            <w:vAlign w:val="center"/>
          </w:tcPr>
          <w:p>
            <w:pPr>
              <w:pStyle w:val="12"/>
            </w:pPr>
            <w:r>
              <w:t>乡村道路建设</w:t>
            </w:r>
          </w:p>
        </w:tc>
        <w:tc>
          <w:tcPr>
            <w:tcW w:w="1361" w:type="dxa"/>
            <w:vAlign w:val="center"/>
          </w:tcPr>
          <w:p>
            <w:pPr>
              <w:pStyle w:val="11"/>
            </w:pPr>
            <w:r>
              <w:t>112.61</w:t>
            </w:r>
          </w:p>
        </w:tc>
        <w:tc>
          <w:tcPr>
            <w:tcW w:w="1361" w:type="dxa"/>
            <w:vAlign w:val="center"/>
          </w:tcPr>
          <w:p>
            <w:pPr>
              <w:pStyle w:val="11"/>
            </w:pPr>
          </w:p>
        </w:tc>
        <w:tc>
          <w:tcPr>
            <w:tcW w:w="1361" w:type="dxa"/>
            <w:vAlign w:val="center"/>
          </w:tcPr>
          <w:p>
            <w:pPr>
              <w:pStyle w:val="11"/>
            </w:pPr>
            <w:r>
              <w:t>112.61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2130199</w:t>
            </w:r>
          </w:p>
        </w:tc>
        <w:tc>
          <w:tcPr>
            <w:tcW w:w="4535" w:type="dxa"/>
            <w:vAlign w:val="center"/>
          </w:tcPr>
          <w:p>
            <w:pPr>
              <w:pStyle w:val="12"/>
            </w:pPr>
            <w:r>
              <w:t>其他农业农村支出</w:t>
            </w:r>
          </w:p>
        </w:tc>
        <w:tc>
          <w:tcPr>
            <w:tcW w:w="1361" w:type="dxa"/>
            <w:vAlign w:val="center"/>
          </w:tcPr>
          <w:p>
            <w:pPr>
              <w:pStyle w:val="11"/>
            </w:pPr>
            <w:r>
              <w:t>149.00</w:t>
            </w:r>
          </w:p>
        </w:tc>
        <w:tc>
          <w:tcPr>
            <w:tcW w:w="1361" w:type="dxa"/>
            <w:vAlign w:val="center"/>
          </w:tcPr>
          <w:p>
            <w:pPr>
              <w:pStyle w:val="11"/>
            </w:pPr>
          </w:p>
        </w:tc>
        <w:tc>
          <w:tcPr>
            <w:tcW w:w="1361" w:type="dxa"/>
            <w:vAlign w:val="center"/>
          </w:tcPr>
          <w:p>
            <w:pPr>
              <w:pStyle w:val="11"/>
            </w:pPr>
            <w:r>
              <w:t>149.00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480.63</w:t>
            </w:r>
          </w:p>
        </w:tc>
        <w:tc>
          <w:tcPr>
            <w:tcW w:w="1361" w:type="dxa"/>
            <w:vAlign w:val="center"/>
          </w:tcPr>
          <w:p>
            <w:pPr>
              <w:pStyle w:val="11"/>
            </w:pPr>
          </w:p>
        </w:tc>
        <w:tc>
          <w:tcPr>
            <w:tcW w:w="1361" w:type="dxa"/>
            <w:vAlign w:val="center"/>
          </w:tcPr>
          <w:p>
            <w:pPr>
              <w:pStyle w:val="11"/>
            </w:pPr>
            <w:r>
              <w:t>480.63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2130701</w:t>
            </w:r>
          </w:p>
        </w:tc>
        <w:tc>
          <w:tcPr>
            <w:tcW w:w="4535" w:type="dxa"/>
            <w:vAlign w:val="center"/>
          </w:tcPr>
          <w:p>
            <w:pPr>
              <w:pStyle w:val="12"/>
            </w:pPr>
            <w:r>
              <w:t>对村级公益事业建设的补助</w:t>
            </w:r>
          </w:p>
        </w:tc>
        <w:tc>
          <w:tcPr>
            <w:tcW w:w="1361" w:type="dxa"/>
            <w:vAlign w:val="center"/>
          </w:tcPr>
          <w:p>
            <w:pPr>
              <w:pStyle w:val="11"/>
            </w:pPr>
            <w:r>
              <w:t>17.03</w:t>
            </w:r>
          </w:p>
        </w:tc>
        <w:tc>
          <w:tcPr>
            <w:tcW w:w="1361" w:type="dxa"/>
            <w:vAlign w:val="center"/>
          </w:tcPr>
          <w:p>
            <w:pPr>
              <w:pStyle w:val="11"/>
            </w:pPr>
          </w:p>
        </w:tc>
        <w:tc>
          <w:tcPr>
            <w:tcW w:w="1361" w:type="dxa"/>
            <w:vAlign w:val="center"/>
          </w:tcPr>
          <w:p>
            <w:pPr>
              <w:pStyle w:val="11"/>
            </w:pPr>
            <w:r>
              <w:t>17.03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463.60</w:t>
            </w:r>
          </w:p>
        </w:tc>
        <w:tc>
          <w:tcPr>
            <w:tcW w:w="1361" w:type="dxa"/>
            <w:vAlign w:val="center"/>
          </w:tcPr>
          <w:p>
            <w:pPr>
              <w:pStyle w:val="11"/>
            </w:pPr>
          </w:p>
        </w:tc>
        <w:tc>
          <w:tcPr>
            <w:tcW w:w="1361" w:type="dxa"/>
            <w:vAlign w:val="center"/>
          </w:tcPr>
          <w:p>
            <w:pPr>
              <w:pStyle w:val="11"/>
            </w:pPr>
            <w:r>
              <w:t>463.60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3.24</w:t>
            </w:r>
          </w:p>
        </w:tc>
        <w:tc>
          <w:tcPr>
            <w:tcW w:w="1361" w:type="dxa"/>
            <w:vAlign w:val="center"/>
          </w:tcPr>
          <w:p>
            <w:pPr>
              <w:pStyle w:val="11"/>
            </w:pPr>
          </w:p>
        </w:tc>
        <w:tc>
          <w:tcPr>
            <w:tcW w:w="1361" w:type="dxa"/>
            <w:vAlign w:val="center"/>
          </w:tcPr>
          <w:p>
            <w:pPr>
              <w:pStyle w:val="11"/>
            </w:pPr>
            <w:r>
              <w:t>3.24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0.24</w:t>
            </w:r>
          </w:p>
        </w:tc>
        <w:tc>
          <w:tcPr>
            <w:tcW w:w="1361" w:type="dxa"/>
            <w:vAlign w:val="center"/>
          </w:tcPr>
          <w:p>
            <w:pPr>
              <w:pStyle w:val="11"/>
            </w:pPr>
          </w:p>
        </w:tc>
        <w:tc>
          <w:tcPr>
            <w:tcW w:w="1361" w:type="dxa"/>
            <w:vAlign w:val="center"/>
          </w:tcPr>
          <w:p>
            <w:pPr>
              <w:pStyle w:val="11"/>
            </w:pPr>
            <w:r>
              <w:t>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2137202</w:t>
            </w:r>
          </w:p>
        </w:tc>
        <w:tc>
          <w:tcPr>
            <w:tcW w:w="4535" w:type="dxa"/>
            <w:vAlign w:val="center"/>
          </w:tcPr>
          <w:p>
            <w:pPr>
              <w:pStyle w:val="12"/>
            </w:pPr>
            <w:r>
              <w:t>基础设施建设和经济发展</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53.08</w:t>
            </w:r>
          </w:p>
        </w:tc>
        <w:tc>
          <w:tcPr>
            <w:tcW w:w="1361" w:type="dxa"/>
            <w:vAlign w:val="center"/>
          </w:tcPr>
          <w:p>
            <w:pPr>
              <w:pStyle w:val="11"/>
            </w:pPr>
            <w:r>
              <w:t>53.08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53.08</w:t>
            </w:r>
          </w:p>
        </w:tc>
        <w:tc>
          <w:tcPr>
            <w:tcW w:w="1361" w:type="dxa"/>
            <w:vAlign w:val="center"/>
          </w:tcPr>
          <w:p>
            <w:pPr>
              <w:pStyle w:val="11"/>
            </w:pPr>
            <w:r>
              <w:t>53.08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53.08</w:t>
            </w:r>
          </w:p>
        </w:tc>
        <w:tc>
          <w:tcPr>
            <w:tcW w:w="1361" w:type="dxa"/>
            <w:vAlign w:val="center"/>
          </w:tcPr>
          <w:p>
            <w:pPr>
              <w:pStyle w:val="11"/>
            </w:pPr>
            <w:r>
              <w:t>53.08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1645.68</w:t>
            </w:r>
          </w:p>
        </w:tc>
        <w:tc>
          <w:tcPr>
            <w:tcW w:w="3402" w:type="dxa"/>
            <w:vAlign w:val="center"/>
          </w:tcPr>
          <w:p>
            <w:pPr>
              <w:pStyle w:val="12"/>
            </w:pPr>
            <w:r>
              <w:t>一、一般公共服务支出</w:t>
            </w:r>
          </w:p>
        </w:tc>
        <w:tc>
          <w:tcPr>
            <w:tcW w:w="1474" w:type="dxa"/>
            <w:vAlign w:val="center"/>
          </w:tcPr>
          <w:p>
            <w:pPr>
              <w:pStyle w:val="11"/>
            </w:pPr>
            <w:r>
              <w:t>607.51</w:t>
            </w:r>
          </w:p>
        </w:tc>
        <w:tc>
          <w:tcPr>
            <w:tcW w:w="1474" w:type="dxa"/>
            <w:vAlign w:val="center"/>
          </w:tcPr>
          <w:p>
            <w:pPr>
              <w:pStyle w:val="11"/>
            </w:pPr>
            <w:r>
              <w:t>607.51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126.60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4.81</w:t>
            </w:r>
          </w:p>
        </w:tc>
        <w:tc>
          <w:tcPr>
            <w:tcW w:w="1474" w:type="dxa"/>
            <w:vAlign w:val="center"/>
          </w:tcPr>
          <w:p>
            <w:pPr>
              <w:pStyle w:val="11"/>
            </w:pPr>
            <w:r>
              <w:t>4.81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159.90</w:t>
            </w:r>
          </w:p>
        </w:tc>
        <w:tc>
          <w:tcPr>
            <w:tcW w:w="1474" w:type="dxa"/>
            <w:vAlign w:val="center"/>
          </w:tcPr>
          <w:p>
            <w:pPr>
              <w:pStyle w:val="11"/>
            </w:pPr>
            <w:r>
              <w:t>159.90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61.75</w:t>
            </w:r>
          </w:p>
        </w:tc>
        <w:tc>
          <w:tcPr>
            <w:tcW w:w="1474" w:type="dxa"/>
            <w:vAlign w:val="center"/>
          </w:tcPr>
          <w:p>
            <w:pPr>
              <w:pStyle w:val="11"/>
            </w:pPr>
            <w:r>
              <w:t>61.75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64.62</w:t>
            </w:r>
          </w:p>
        </w:tc>
        <w:tc>
          <w:tcPr>
            <w:tcW w:w="1474" w:type="dxa"/>
            <w:vAlign w:val="center"/>
          </w:tcPr>
          <w:p>
            <w:pPr>
              <w:pStyle w:val="11"/>
            </w:pPr>
            <w:r>
              <w:t>64.62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126.60</w:t>
            </w:r>
          </w:p>
        </w:tc>
        <w:tc>
          <w:tcPr>
            <w:tcW w:w="1474" w:type="dxa"/>
            <w:vAlign w:val="center"/>
          </w:tcPr>
          <w:p>
            <w:pPr>
              <w:pStyle w:val="11"/>
            </w:pPr>
          </w:p>
        </w:tc>
        <w:tc>
          <w:tcPr>
            <w:tcW w:w="1474" w:type="dxa"/>
            <w:vAlign w:val="center"/>
          </w:tcPr>
          <w:p>
            <w:pPr>
              <w:pStyle w:val="11"/>
            </w:pPr>
            <w:r>
              <w:t>126.60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967.83</w:t>
            </w:r>
          </w:p>
        </w:tc>
        <w:tc>
          <w:tcPr>
            <w:tcW w:w="1474" w:type="dxa"/>
            <w:vAlign w:val="center"/>
          </w:tcPr>
          <w:p>
            <w:pPr>
              <w:pStyle w:val="11"/>
            </w:pPr>
            <w:r>
              <w:t>964.59</w:t>
            </w:r>
          </w:p>
        </w:tc>
        <w:tc>
          <w:tcPr>
            <w:tcW w:w="1474" w:type="dxa"/>
            <w:vAlign w:val="center"/>
          </w:tcPr>
          <w:p>
            <w:pPr>
              <w:pStyle w:val="11"/>
            </w:pPr>
            <w:r>
              <w:t>3.24</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53.08</w:t>
            </w:r>
          </w:p>
        </w:tc>
        <w:tc>
          <w:tcPr>
            <w:tcW w:w="1474" w:type="dxa"/>
            <w:vAlign w:val="center"/>
          </w:tcPr>
          <w:p>
            <w:pPr>
              <w:pStyle w:val="11"/>
            </w:pPr>
            <w:r>
              <w:t>53.08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1772.28</w:t>
            </w:r>
          </w:p>
        </w:tc>
        <w:tc>
          <w:tcPr>
            <w:tcW w:w="3402" w:type="dxa"/>
            <w:vAlign w:val="center"/>
          </w:tcPr>
          <w:p>
            <w:pPr>
              <w:pStyle w:val="14"/>
            </w:pPr>
            <w:r>
              <w:t>本年支出合计</w:t>
            </w:r>
          </w:p>
        </w:tc>
        <w:tc>
          <w:tcPr>
            <w:tcW w:w="1474" w:type="dxa"/>
            <w:vAlign w:val="center"/>
          </w:tcPr>
          <w:p>
            <w:pPr>
              <w:pStyle w:val="15"/>
            </w:pPr>
            <w:r>
              <w:t>2046.09</w:t>
            </w:r>
          </w:p>
        </w:tc>
        <w:tc>
          <w:tcPr>
            <w:tcW w:w="1474" w:type="dxa"/>
            <w:vAlign w:val="center"/>
          </w:tcPr>
          <w:p>
            <w:pPr>
              <w:pStyle w:val="15"/>
            </w:pPr>
            <w:r>
              <w:t>1916.25</w:t>
            </w:r>
          </w:p>
        </w:tc>
        <w:tc>
          <w:tcPr>
            <w:tcW w:w="1474" w:type="dxa"/>
            <w:vAlign w:val="center"/>
          </w:tcPr>
          <w:p>
            <w:pPr>
              <w:pStyle w:val="15"/>
            </w:pPr>
            <w:r>
              <w:t>129.84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273.81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270.57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3.24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2046.09</w:t>
            </w:r>
          </w:p>
        </w:tc>
        <w:tc>
          <w:tcPr>
            <w:tcW w:w="3402" w:type="dxa"/>
            <w:vAlign w:val="center"/>
          </w:tcPr>
          <w:p>
            <w:pPr>
              <w:pStyle w:val="14"/>
            </w:pPr>
            <w:r>
              <w:t>支出总计</w:t>
            </w:r>
          </w:p>
        </w:tc>
        <w:tc>
          <w:tcPr>
            <w:tcW w:w="1474" w:type="dxa"/>
            <w:vAlign w:val="center"/>
          </w:tcPr>
          <w:p>
            <w:pPr>
              <w:pStyle w:val="15"/>
            </w:pPr>
            <w:r>
              <w:t>2046.09</w:t>
            </w:r>
          </w:p>
        </w:tc>
        <w:tc>
          <w:tcPr>
            <w:tcW w:w="1474" w:type="dxa"/>
            <w:vAlign w:val="center"/>
          </w:tcPr>
          <w:p>
            <w:pPr>
              <w:pStyle w:val="15"/>
            </w:pPr>
            <w:r>
              <w:t>1916.25</w:t>
            </w:r>
          </w:p>
        </w:tc>
        <w:tc>
          <w:tcPr>
            <w:tcW w:w="1474" w:type="dxa"/>
            <w:vAlign w:val="center"/>
          </w:tcPr>
          <w:p>
            <w:pPr>
              <w:pStyle w:val="15"/>
            </w:pPr>
            <w:r>
              <w:t>129.84</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1916.25</w:t>
            </w:r>
          </w:p>
        </w:tc>
        <w:tc>
          <w:tcPr>
            <w:tcW w:w="2551" w:type="dxa"/>
            <w:vAlign w:val="center"/>
          </w:tcPr>
          <w:p>
            <w:pPr>
              <w:pStyle w:val="15"/>
            </w:pPr>
            <w:r>
              <w:t>797.12</w:t>
            </w:r>
          </w:p>
        </w:tc>
        <w:tc>
          <w:tcPr>
            <w:tcW w:w="2551" w:type="dxa"/>
            <w:vAlign w:val="center"/>
          </w:tcPr>
          <w:p>
            <w:pPr>
              <w:pStyle w:val="15"/>
            </w:pPr>
            <w:r>
              <w:t>1119.13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607.51</w:t>
            </w:r>
          </w:p>
        </w:tc>
        <w:tc>
          <w:tcPr>
            <w:tcW w:w="2551" w:type="dxa"/>
            <w:vAlign w:val="center"/>
          </w:tcPr>
          <w:p>
            <w:pPr>
              <w:pStyle w:val="11"/>
            </w:pPr>
            <w:r>
              <w:t>535.39</w:t>
            </w:r>
          </w:p>
        </w:tc>
        <w:tc>
          <w:tcPr>
            <w:tcW w:w="2551" w:type="dxa"/>
            <w:vAlign w:val="center"/>
          </w:tcPr>
          <w:p>
            <w:pPr>
              <w:pStyle w:val="11"/>
            </w:pPr>
            <w:r>
              <w:t>72.12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597.51</w:t>
            </w:r>
          </w:p>
        </w:tc>
        <w:tc>
          <w:tcPr>
            <w:tcW w:w="2551" w:type="dxa"/>
            <w:vAlign w:val="center"/>
          </w:tcPr>
          <w:p>
            <w:pPr>
              <w:pStyle w:val="11"/>
            </w:pPr>
            <w:r>
              <w:t>535.39</w:t>
            </w:r>
          </w:p>
        </w:tc>
        <w:tc>
          <w:tcPr>
            <w:tcW w:w="2551" w:type="dxa"/>
            <w:vAlign w:val="center"/>
          </w:tcPr>
          <w:p>
            <w:pPr>
              <w:pStyle w:val="11"/>
            </w:pPr>
            <w:r>
              <w:t>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597.51</w:t>
            </w:r>
          </w:p>
        </w:tc>
        <w:tc>
          <w:tcPr>
            <w:tcW w:w="2551" w:type="dxa"/>
            <w:vAlign w:val="center"/>
          </w:tcPr>
          <w:p>
            <w:pPr>
              <w:pStyle w:val="11"/>
            </w:pPr>
            <w:r>
              <w:t>535.39</w:t>
            </w:r>
          </w:p>
        </w:tc>
        <w:tc>
          <w:tcPr>
            <w:tcW w:w="2551" w:type="dxa"/>
            <w:vAlign w:val="center"/>
          </w:tcPr>
          <w:p>
            <w:pPr>
              <w:pStyle w:val="11"/>
            </w:pPr>
            <w:r>
              <w:t>62.12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4.81</w:t>
            </w:r>
          </w:p>
        </w:tc>
        <w:tc>
          <w:tcPr>
            <w:tcW w:w="2551" w:type="dxa"/>
            <w:vAlign w:val="center"/>
          </w:tcPr>
          <w:p>
            <w:pPr>
              <w:pStyle w:val="11"/>
            </w:pPr>
          </w:p>
        </w:tc>
        <w:tc>
          <w:tcPr>
            <w:tcW w:w="2551" w:type="dxa"/>
            <w:vAlign w:val="center"/>
          </w:tcPr>
          <w:p>
            <w:pPr>
              <w:pStyle w:val="11"/>
            </w:pPr>
            <w:r>
              <w:t>4.81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1.28</w:t>
            </w:r>
          </w:p>
        </w:tc>
        <w:tc>
          <w:tcPr>
            <w:tcW w:w="2551" w:type="dxa"/>
            <w:vAlign w:val="center"/>
          </w:tcPr>
          <w:p>
            <w:pPr>
              <w:pStyle w:val="11"/>
            </w:pPr>
          </w:p>
        </w:tc>
        <w:tc>
          <w:tcPr>
            <w:tcW w:w="2551" w:type="dxa"/>
            <w:vAlign w:val="center"/>
          </w:tcPr>
          <w:p>
            <w:pPr>
              <w:pStyle w:val="11"/>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2070199</w:t>
            </w:r>
          </w:p>
        </w:tc>
        <w:tc>
          <w:tcPr>
            <w:tcW w:w="4535" w:type="dxa"/>
            <w:vAlign w:val="center"/>
          </w:tcPr>
          <w:p>
            <w:pPr>
              <w:pStyle w:val="12"/>
            </w:pPr>
            <w:r>
              <w:t>其他文化和旅游支出</w:t>
            </w:r>
          </w:p>
        </w:tc>
        <w:tc>
          <w:tcPr>
            <w:tcW w:w="2551" w:type="dxa"/>
            <w:vAlign w:val="center"/>
          </w:tcPr>
          <w:p>
            <w:pPr>
              <w:pStyle w:val="11"/>
            </w:pPr>
            <w:r>
              <w:t>1.28</w:t>
            </w:r>
          </w:p>
        </w:tc>
        <w:tc>
          <w:tcPr>
            <w:tcW w:w="2551" w:type="dxa"/>
            <w:vAlign w:val="center"/>
          </w:tcPr>
          <w:p>
            <w:pPr>
              <w:pStyle w:val="11"/>
            </w:pPr>
          </w:p>
        </w:tc>
        <w:tc>
          <w:tcPr>
            <w:tcW w:w="2551" w:type="dxa"/>
            <w:vAlign w:val="center"/>
          </w:tcPr>
          <w:p>
            <w:pPr>
              <w:pStyle w:val="11"/>
            </w:pPr>
            <w:r>
              <w:t>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3.53</w:t>
            </w:r>
          </w:p>
        </w:tc>
        <w:tc>
          <w:tcPr>
            <w:tcW w:w="2551" w:type="dxa"/>
            <w:vAlign w:val="center"/>
          </w:tcPr>
          <w:p>
            <w:pPr>
              <w:pStyle w:val="11"/>
            </w:pPr>
          </w:p>
        </w:tc>
        <w:tc>
          <w:tcPr>
            <w:tcW w:w="2551" w:type="dxa"/>
            <w:vAlign w:val="center"/>
          </w:tcPr>
          <w:p>
            <w:pPr>
              <w:pStyle w:val="11"/>
            </w:pPr>
            <w:r>
              <w:t>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3.53</w:t>
            </w:r>
          </w:p>
        </w:tc>
        <w:tc>
          <w:tcPr>
            <w:tcW w:w="2551" w:type="dxa"/>
            <w:vAlign w:val="center"/>
          </w:tcPr>
          <w:p>
            <w:pPr>
              <w:pStyle w:val="11"/>
            </w:pPr>
          </w:p>
        </w:tc>
        <w:tc>
          <w:tcPr>
            <w:tcW w:w="2551" w:type="dxa"/>
            <w:vAlign w:val="center"/>
          </w:tcPr>
          <w:p>
            <w:pPr>
              <w:pStyle w:val="11"/>
            </w:pPr>
            <w:r>
              <w:t>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159.90</w:t>
            </w:r>
          </w:p>
        </w:tc>
        <w:tc>
          <w:tcPr>
            <w:tcW w:w="2551" w:type="dxa"/>
            <w:vAlign w:val="center"/>
          </w:tcPr>
          <w:p>
            <w:pPr>
              <w:pStyle w:val="11"/>
            </w:pPr>
            <w:r>
              <w:t>146.90</w:t>
            </w: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2080299</w:t>
            </w:r>
          </w:p>
        </w:tc>
        <w:tc>
          <w:tcPr>
            <w:tcW w:w="4535" w:type="dxa"/>
            <w:vAlign w:val="center"/>
          </w:tcPr>
          <w:p>
            <w:pPr>
              <w:pStyle w:val="12"/>
            </w:pPr>
            <w:r>
              <w:t>其他民政管理事务支出</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146.90</w:t>
            </w:r>
          </w:p>
        </w:tc>
        <w:tc>
          <w:tcPr>
            <w:tcW w:w="2551" w:type="dxa"/>
            <w:vAlign w:val="center"/>
          </w:tcPr>
          <w:p>
            <w:pPr>
              <w:pStyle w:val="11"/>
            </w:pPr>
            <w:r>
              <w:t>146.90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56.65</w:t>
            </w:r>
          </w:p>
        </w:tc>
        <w:tc>
          <w:tcPr>
            <w:tcW w:w="2551" w:type="dxa"/>
            <w:vAlign w:val="center"/>
          </w:tcPr>
          <w:p>
            <w:pPr>
              <w:pStyle w:val="11"/>
            </w:pPr>
            <w:r>
              <w:t>56.65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65.82</w:t>
            </w:r>
          </w:p>
        </w:tc>
        <w:tc>
          <w:tcPr>
            <w:tcW w:w="2551" w:type="dxa"/>
            <w:vAlign w:val="center"/>
          </w:tcPr>
          <w:p>
            <w:pPr>
              <w:pStyle w:val="11"/>
            </w:pPr>
            <w:r>
              <w:t>65.82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24.43</w:t>
            </w:r>
          </w:p>
        </w:tc>
        <w:tc>
          <w:tcPr>
            <w:tcW w:w="2551" w:type="dxa"/>
            <w:vAlign w:val="center"/>
          </w:tcPr>
          <w:p>
            <w:pPr>
              <w:pStyle w:val="11"/>
            </w:pPr>
            <w:r>
              <w:t>24.43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61.75</w:t>
            </w:r>
          </w:p>
        </w:tc>
        <w:tc>
          <w:tcPr>
            <w:tcW w:w="2551" w:type="dxa"/>
            <w:vAlign w:val="center"/>
          </w:tcPr>
          <w:p>
            <w:pPr>
              <w:pStyle w:val="11"/>
            </w:pPr>
            <w:r>
              <w:t>61.75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61.75</w:t>
            </w:r>
          </w:p>
        </w:tc>
        <w:tc>
          <w:tcPr>
            <w:tcW w:w="2551" w:type="dxa"/>
            <w:vAlign w:val="center"/>
          </w:tcPr>
          <w:p>
            <w:pPr>
              <w:pStyle w:val="11"/>
            </w:pPr>
            <w:r>
              <w:t>61.75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61.75</w:t>
            </w:r>
          </w:p>
        </w:tc>
        <w:tc>
          <w:tcPr>
            <w:tcW w:w="2551" w:type="dxa"/>
            <w:vAlign w:val="center"/>
          </w:tcPr>
          <w:p>
            <w:pPr>
              <w:pStyle w:val="11"/>
            </w:pPr>
            <w:r>
              <w:t>61.75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64.62</w:t>
            </w:r>
          </w:p>
        </w:tc>
        <w:tc>
          <w:tcPr>
            <w:tcW w:w="2551" w:type="dxa"/>
            <w:vAlign w:val="center"/>
          </w:tcPr>
          <w:p>
            <w:pPr>
              <w:pStyle w:val="11"/>
            </w:pPr>
          </w:p>
        </w:tc>
        <w:tc>
          <w:tcPr>
            <w:tcW w:w="2551" w:type="dxa"/>
            <w:vAlign w:val="center"/>
          </w:tcPr>
          <w:p>
            <w:pPr>
              <w:pStyle w:val="11"/>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64.62</w:t>
            </w:r>
          </w:p>
        </w:tc>
        <w:tc>
          <w:tcPr>
            <w:tcW w:w="2551" w:type="dxa"/>
            <w:vAlign w:val="center"/>
          </w:tcPr>
          <w:p>
            <w:pPr>
              <w:pStyle w:val="11"/>
            </w:pPr>
          </w:p>
        </w:tc>
        <w:tc>
          <w:tcPr>
            <w:tcW w:w="2551" w:type="dxa"/>
            <w:vAlign w:val="center"/>
          </w:tcPr>
          <w:p>
            <w:pPr>
              <w:pStyle w:val="11"/>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64.62</w:t>
            </w:r>
          </w:p>
        </w:tc>
        <w:tc>
          <w:tcPr>
            <w:tcW w:w="2551" w:type="dxa"/>
            <w:vAlign w:val="center"/>
          </w:tcPr>
          <w:p>
            <w:pPr>
              <w:pStyle w:val="11"/>
            </w:pPr>
          </w:p>
        </w:tc>
        <w:tc>
          <w:tcPr>
            <w:tcW w:w="2551" w:type="dxa"/>
            <w:vAlign w:val="center"/>
          </w:tcPr>
          <w:p>
            <w:pPr>
              <w:pStyle w:val="11"/>
            </w:pPr>
            <w:r>
              <w:t>64.62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964.59</w:t>
            </w:r>
          </w:p>
        </w:tc>
        <w:tc>
          <w:tcPr>
            <w:tcW w:w="2551" w:type="dxa"/>
            <w:vAlign w:val="center"/>
          </w:tcPr>
          <w:p>
            <w:pPr>
              <w:pStyle w:val="11"/>
            </w:pPr>
          </w:p>
        </w:tc>
        <w:tc>
          <w:tcPr>
            <w:tcW w:w="2551" w:type="dxa"/>
            <w:vAlign w:val="center"/>
          </w:tcPr>
          <w:p>
            <w:pPr>
              <w:pStyle w:val="11"/>
            </w:pPr>
            <w:r>
              <w:t>964.59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483.96</w:t>
            </w:r>
          </w:p>
        </w:tc>
        <w:tc>
          <w:tcPr>
            <w:tcW w:w="2551" w:type="dxa"/>
            <w:vAlign w:val="center"/>
          </w:tcPr>
          <w:p>
            <w:pPr>
              <w:pStyle w:val="11"/>
            </w:pPr>
          </w:p>
        </w:tc>
        <w:tc>
          <w:tcPr>
            <w:tcW w:w="2551" w:type="dxa"/>
            <w:vAlign w:val="center"/>
          </w:tcPr>
          <w:p>
            <w:pPr>
              <w:pStyle w:val="11"/>
            </w:pPr>
            <w:r>
              <w:t>483.96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2130120</w:t>
            </w:r>
          </w:p>
        </w:tc>
        <w:tc>
          <w:tcPr>
            <w:tcW w:w="4535" w:type="dxa"/>
            <w:vAlign w:val="center"/>
          </w:tcPr>
          <w:p>
            <w:pPr>
              <w:pStyle w:val="12"/>
            </w:pPr>
            <w:r>
              <w:t>稳定农民收入补贴</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220.00</w:t>
            </w:r>
          </w:p>
        </w:tc>
        <w:tc>
          <w:tcPr>
            <w:tcW w:w="2551" w:type="dxa"/>
            <w:vAlign w:val="center"/>
          </w:tcPr>
          <w:p>
            <w:pPr>
              <w:pStyle w:val="11"/>
            </w:pPr>
          </w:p>
        </w:tc>
        <w:tc>
          <w:tcPr>
            <w:tcW w:w="2551" w:type="dxa"/>
            <w:vAlign w:val="center"/>
          </w:tcPr>
          <w:p>
            <w:pPr>
              <w:pStyle w:val="11"/>
            </w:pPr>
            <w:r>
              <w:t>220.00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2130142</w:t>
            </w:r>
          </w:p>
        </w:tc>
        <w:tc>
          <w:tcPr>
            <w:tcW w:w="4535" w:type="dxa"/>
            <w:vAlign w:val="center"/>
          </w:tcPr>
          <w:p>
            <w:pPr>
              <w:pStyle w:val="12"/>
            </w:pPr>
            <w:r>
              <w:t>乡村道路建设</w:t>
            </w:r>
          </w:p>
        </w:tc>
        <w:tc>
          <w:tcPr>
            <w:tcW w:w="2551" w:type="dxa"/>
            <w:vAlign w:val="center"/>
          </w:tcPr>
          <w:p>
            <w:pPr>
              <w:pStyle w:val="11"/>
            </w:pPr>
            <w:r>
              <w:t>112.61</w:t>
            </w:r>
          </w:p>
        </w:tc>
        <w:tc>
          <w:tcPr>
            <w:tcW w:w="2551" w:type="dxa"/>
            <w:vAlign w:val="center"/>
          </w:tcPr>
          <w:p>
            <w:pPr>
              <w:pStyle w:val="11"/>
            </w:pPr>
          </w:p>
        </w:tc>
        <w:tc>
          <w:tcPr>
            <w:tcW w:w="2551" w:type="dxa"/>
            <w:vAlign w:val="center"/>
          </w:tcPr>
          <w:p>
            <w:pPr>
              <w:pStyle w:val="11"/>
            </w:pPr>
            <w:r>
              <w:t>112.61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2130199</w:t>
            </w:r>
          </w:p>
        </w:tc>
        <w:tc>
          <w:tcPr>
            <w:tcW w:w="4535" w:type="dxa"/>
            <w:vAlign w:val="center"/>
          </w:tcPr>
          <w:p>
            <w:pPr>
              <w:pStyle w:val="12"/>
            </w:pPr>
            <w:r>
              <w:t>其他农业农村支出</w:t>
            </w:r>
          </w:p>
        </w:tc>
        <w:tc>
          <w:tcPr>
            <w:tcW w:w="2551" w:type="dxa"/>
            <w:vAlign w:val="center"/>
          </w:tcPr>
          <w:p>
            <w:pPr>
              <w:pStyle w:val="11"/>
            </w:pPr>
            <w:r>
              <w:t>149.00</w:t>
            </w:r>
          </w:p>
        </w:tc>
        <w:tc>
          <w:tcPr>
            <w:tcW w:w="2551" w:type="dxa"/>
            <w:vAlign w:val="center"/>
          </w:tcPr>
          <w:p>
            <w:pPr>
              <w:pStyle w:val="11"/>
            </w:pPr>
          </w:p>
        </w:tc>
        <w:tc>
          <w:tcPr>
            <w:tcW w:w="2551" w:type="dxa"/>
            <w:vAlign w:val="center"/>
          </w:tcPr>
          <w:p>
            <w:pPr>
              <w:pStyle w:val="11"/>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480.63</w:t>
            </w:r>
          </w:p>
        </w:tc>
        <w:tc>
          <w:tcPr>
            <w:tcW w:w="2551" w:type="dxa"/>
            <w:vAlign w:val="center"/>
          </w:tcPr>
          <w:p>
            <w:pPr>
              <w:pStyle w:val="11"/>
            </w:pPr>
          </w:p>
        </w:tc>
        <w:tc>
          <w:tcPr>
            <w:tcW w:w="2551" w:type="dxa"/>
            <w:vAlign w:val="center"/>
          </w:tcPr>
          <w:p>
            <w:pPr>
              <w:pStyle w:val="11"/>
            </w:pPr>
            <w:r>
              <w:t>480.63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2130701</w:t>
            </w:r>
          </w:p>
        </w:tc>
        <w:tc>
          <w:tcPr>
            <w:tcW w:w="4535" w:type="dxa"/>
            <w:vAlign w:val="center"/>
          </w:tcPr>
          <w:p>
            <w:pPr>
              <w:pStyle w:val="12"/>
            </w:pPr>
            <w:r>
              <w:t>对村级公益事业建设的补助</w:t>
            </w:r>
          </w:p>
        </w:tc>
        <w:tc>
          <w:tcPr>
            <w:tcW w:w="2551" w:type="dxa"/>
            <w:vAlign w:val="center"/>
          </w:tcPr>
          <w:p>
            <w:pPr>
              <w:pStyle w:val="11"/>
            </w:pPr>
            <w:r>
              <w:t>17.03</w:t>
            </w:r>
          </w:p>
        </w:tc>
        <w:tc>
          <w:tcPr>
            <w:tcW w:w="2551" w:type="dxa"/>
            <w:vAlign w:val="center"/>
          </w:tcPr>
          <w:p>
            <w:pPr>
              <w:pStyle w:val="11"/>
            </w:pPr>
          </w:p>
        </w:tc>
        <w:tc>
          <w:tcPr>
            <w:tcW w:w="2551" w:type="dxa"/>
            <w:vAlign w:val="center"/>
          </w:tcPr>
          <w:p>
            <w:pPr>
              <w:pStyle w:val="11"/>
            </w:pPr>
            <w:r>
              <w:t>17.03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463.60</w:t>
            </w:r>
          </w:p>
        </w:tc>
        <w:tc>
          <w:tcPr>
            <w:tcW w:w="2551" w:type="dxa"/>
            <w:vAlign w:val="center"/>
          </w:tcPr>
          <w:p>
            <w:pPr>
              <w:pStyle w:val="11"/>
            </w:pPr>
          </w:p>
        </w:tc>
        <w:tc>
          <w:tcPr>
            <w:tcW w:w="2551" w:type="dxa"/>
            <w:vAlign w:val="center"/>
          </w:tcPr>
          <w:p>
            <w:pPr>
              <w:pStyle w:val="11"/>
            </w:pPr>
            <w:r>
              <w:t>463.60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53.08</w:t>
            </w:r>
          </w:p>
        </w:tc>
        <w:tc>
          <w:tcPr>
            <w:tcW w:w="2551" w:type="dxa"/>
            <w:vAlign w:val="center"/>
          </w:tcPr>
          <w:p>
            <w:pPr>
              <w:pStyle w:val="11"/>
            </w:pPr>
            <w:r>
              <w:t>53.08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53.08</w:t>
            </w:r>
          </w:p>
        </w:tc>
        <w:tc>
          <w:tcPr>
            <w:tcW w:w="2551" w:type="dxa"/>
            <w:vAlign w:val="center"/>
          </w:tcPr>
          <w:p>
            <w:pPr>
              <w:pStyle w:val="11"/>
            </w:pPr>
            <w:r>
              <w:t>53.08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53.08</w:t>
            </w:r>
          </w:p>
        </w:tc>
        <w:tc>
          <w:tcPr>
            <w:tcW w:w="2551" w:type="dxa"/>
            <w:vAlign w:val="center"/>
          </w:tcPr>
          <w:p>
            <w:pPr>
              <w:pStyle w:val="11"/>
            </w:pPr>
            <w:r>
              <w:t>53.08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797.12</w:t>
            </w:r>
          </w:p>
        </w:tc>
        <w:tc>
          <w:tcPr>
            <w:tcW w:w="2551" w:type="dxa"/>
            <w:vAlign w:val="center"/>
          </w:tcPr>
          <w:p>
            <w:pPr>
              <w:pStyle w:val="15"/>
            </w:pPr>
            <w:r>
              <w:t>730.04</w:t>
            </w:r>
          </w:p>
        </w:tc>
        <w:tc>
          <w:tcPr>
            <w:tcW w:w="2551" w:type="dxa"/>
            <w:vAlign w:val="center"/>
          </w:tcPr>
          <w:p>
            <w:pPr>
              <w:pStyle w:val="15"/>
            </w:pPr>
            <w:r>
              <w:t>67.08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675.72</w:t>
            </w:r>
          </w:p>
        </w:tc>
        <w:tc>
          <w:tcPr>
            <w:tcW w:w="2551" w:type="dxa"/>
            <w:vAlign w:val="center"/>
          </w:tcPr>
          <w:p>
            <w:pPr>
              <w:pStyle w:val="11"/>
            </w:pPr>
            <w:r>
              <w:t>675.72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267.19</w:t>
            </w:r>
          </w:p>
        </w:tc>
        <w:tc>
          <w:tcPr>
            <w:tcW w:w="2551" w:type="dxa"/>
            <w:vAlign w:val="center"/>
          </w:tcPr>
          <w:p>
            <w:pPr>
              <w:pStyle w:val="11"/>
            </w:pPr>
            <w:r>
              <w:t>267.19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31.18</w:t>
            </w:r>
          </w:p>
        </w:tc>
        <w:tc>
          <w:tcPr>
            <w:tcW w:w="2551" w:type="dxa"/>
            <w:vAlign w:val="center"/>
          </w:tcPr>
          <w:p>
            <w:pPr>
              <w:pStyle w:val="11"/>
            </w:pPr>
            <w:r>
              <w:t>31.18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7.24</w:t>
            </w:r>
          </w:p>
        </w:tc>
        <w:tc>
          <w:tcPr>
            <w:tcW w:w="2551" w:type="dxa"/>
            <w:vAlign w:val="center"/>
          </w:tcPr>
          <w:p>
            <w:pPr>
              <w:pStyle w:val="11"/>
            </w:pPr>
            <w:r>
              <w:t>7.24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160.92</w:t>
            </w:r>
          </w:p>
        </w:tc>
        <w:tc>
          <w:tcPr>
            <w:tcW w:w="2551" w:type="dxa"/>
            <w:vAlign w:val="center"/>
          </w:tcPr>
          <w:p>
            <w:pPr>
              <w:pStyle w:val="11"/>
            </w:pPr>
            <w:r>
              <w:t>160.92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65.82</w:t>
            </w:r>
          </w:p>
        </w:tc>
        <w:tc>
          <w:tcPr>
            <w:tcW w:w="2551" w:type="dxa"/>
            <w:vAlign w:val="center"/>
          </w:tcPr>
          <w:p>
            <w:pPr>
              <w:pStyle w:val="11"/>
            </w:pPr>
            <w:r>
              <w:t>65.82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24.43</w:t>
            </w:r>
          </w:p>
        </w:tc>
        <w:tc>
          <w:tcPr>
            <w:tcW w:w="2551" w:type="dxa"/>
            <w:vAlign w:val="center"/>
          </w:tcPr>
          <w:p>
            <w:pPr>
              <w:pStyle w:val="11"/>
            </w:pPr>
            <w:r>
              <w:t>24.43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34.75</w:t>
            </w:r>
          </w:p>
        </w:tc>
        <w:tc>
          <w:tcPr>
            <w:tcW w:w="2551" w:type="dxa"/>
            <w:vAlign w:val="center"/>
          </w:tcPr>
          <w:p>
            <w:pPr>
              <w:pStyle w:val="11"/>
            </w:pPr>
            <w:r>
              <w:t>34.75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27.00</w:t>
            </w:r>
          </w:p>
        </w:tc>
        <w:tc>
          <w:tcPr>
            <w:tcW w:w="2551" w:type="dxa"/>
            <w:vAlign w:val="center"/>
          </w:tcPr>
          <w:p>
            <w:pPr>
              <w:pStyle w:val="11"/>
            </w:pPr>
            <w:r>
              <w:t>27.00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4.12</w:t>
            </w:r>
          </w:p>
        </w:tc>
        <w:tc>
          <w:tcPr>
            <w:tcW w:w="2551" w:type="dxa"/>
            <w:vAlign w:val="center"/>
          </w:tcPr>
          <w:p>
            <w:pPr>
              <w:pStyle w:val="11"/>
            </w:pPr>
            <w:r>
              <w:t>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53.08</w:t>
            </w:r>
          </w:p>
        </w:tc>
        <w:tc>
          <w:tcPr>
            <w:tcW w:w="2551" w:type="dxa"/>
            <w:vAlign w:val="center"/>
          </w:tcPr>
          <w:p>
            <w:pPr>
              <w:pStyle w:val="11"/>
            </w:pPr>
            <w:r>
              <w:t>53.08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65.68</w:t>
            </w:r>
          </w:p>
        </w:tc>
        <w:tc>
          <w:tcPr>
            <w:tcW w:w="2551" w:type="dxa"/>
            <w:vAlign w:val="center"/>
          </w:tcPr>
          <w:p>
            <w:pPr>
              <w:pStyle w:val="11"/>
            </w:pPr>
          </w:p>
        </w:tc>
        <w:tc>
          <w:tcPr>
            <w:tcW w:w="2551" w:type="dxa"/>
            <w:vAlign w:val="center"/>
          </w:tcPr>
          <w:p>
            <w:pPr>
              <w:pStyle w:val="11"/>
            </w:pPr>
            <w:r>
              <w:t>65.68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9.80</w:t>
            </w:r>
          </w:p>
        </w:tc>
        <w:tc>
          <w:tcPr>
            <w:tcW w:w="2551" w:type="dxa"/>
            <w:vAlign w:val="center"/>
          </w:tcPr>
          <w:p>
            <w:pPr>
              <w:pStyle w:val="11"/>
            </w:pPr>
          </w:p>
        </w:tc>
        <w:tc>
          <w:tcPr>
            <w:tcW w:w="2551" w:type="dxa"/>
            <w:vAlign w:val="center"/>
          </w:tcPr>
          <w:p>
            <w:pPr>
              <w:pStyle w:val="11"/>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14.00</w:t>
            </w:r>
          </w:p>
        </w:tc>
        <w:tc>
          <w:tcPr>
            <w:tcW w:w="2551" w:type="dxa"/>
            <w:vAlign w:val="center"/>
          </w:tcPr>
          <w:p>
            <w:pPr>
              <w:pStyle w:val="11"/>
            </w:pPr>
          </w:p>
        </w:tc>
        <w:tc>
          <w:tcPr>
            <w:tcW w:w="2551" w:type="dxa"/>
            <w:vAlign w:val="center"/>
          </w:tcPr>
          <w:p>
            <w:pPr>
              <w:pStyle w:val="11"/>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1.56</w:t>
            </w:r>
          </w:p>
        </w:tc>
        <w:tc>
          <w:tcPr>
            <w:tcW w:w="2551" w:type="dxa"/>
            <w:vAlign w:val="center"/>
          </w:tcPr>
          <w:p>
            <w:pPr>
              <w:pStyle w:val="11"/>
            </w:pPr>
          </w:p>
        </w:tc>
        <w:tc>
          <w:tcPr>
            <w:tcW w:w="2551"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13.06</w:t>
            </w:r>
          </w:p>
        </w:tc>
        <w:tc>
          <w:tcPr>
            <w:tcW w:w="2551" w:type="dxa"/>
            <w:vAlign w:val="center"/>
          </w:tcPr>
          <w:p>
            <w:pPr>
              <w:pStyle w:val="11"/>
            </w:pPr>
          </w:p>
        </w:tc>
        <w:tc>
          <w:tcPr>
            <w:tcW w:w="2551" w:type="dxa"/>
            <w:vAlign w:val="center"/>
          </w:tcPr>
          <w:p>
            <w:pPr>
              <w:pStyle w:val="11"/>
            </w:pPr>
            <w:r>
              <w:t>13.06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5.60</w:t>
            </w:r>
          </w:p>
        </w:tc>
        <w:tc>
          <w:tcPr>
            <w:tcW w:w="2551" w:type="dxa"/>
            <w:vAlign w:val="center"/>
          </w:tcPr>
          <w:p>
            <w:pPr>
              <w:pStyle w:val="11"/>
            </w:pPr>
          </w:p>
        </w:tc>
        <w:tc>
          <w:tcPr>
            <w:tcW w:w="2551" w:type="dxa"/>
            <w:vAlign w:val="center"/>
          </w:tcPr>
          <w:p>
            <w:pPr>
              <w:pStyle w:val="11"/>
            </w:pPr>
            <w:r>
              <w:t>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2.68</w:t>
            </w:r>
          </w:p>
        </w:tc>
        <w:tc>
          <w:tcPr>
            <w:tcW w:w="2551" w:type="dxa"/>
            <w:vAlign w:val="center"/>
          </w:tcPr>
          <w:p>
            <w:pPr>
              <w:pStyle w:val="11"/>
            </w:pPr>
          </w:p>
        </w:tc>
        <w:tc>
          <w:tcPr>
            <w:tcW w:w="2551" w:type="dxa"/>
            <w:vAlign w:val="center"/>
          </w:tcPr>
          <w:p>
            <w:pPr>
              <w:pStyle w:val="11"/>
            </w:pPr>
            <w:r>
              <w:t>2.68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0.39</w:t>
            </w:r>
          </w:p>
        </w:tc>
        <w:tc>
          <w:tcPr>
            <w:tcW w:w="2551" w:type="dxa"/>
            <w:vAlign w:val="center"/>
          </w:tcPr>
          <w:p>
            <w:pPr>
              <w:pStyle w:val="11"/>
            </w:pPr>
          </w:p>
        </w:tc>
        <w:tc>
          <w:tcPr>
            <w:tcW w:w="2551" w:type="dxa"/>
            <w:vAlign w:val="center"/>
          </w:tcPr>
          <w:p>
            <w:pPr>
              <w:pStyle w:val="11"/>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5.36</w:t>
            </w:r>
          </w:p>
        </w:tc>
        <w:tc>
          <w:tcPr>
            <w:tcW w:w="2551" w:type="dxa"/>
            <w:vAlign w:val="center"/>
          </w:tcPr>
          <w:p>
            <w:pPr>
              <w:pStyle w:val="11"/>
            </w:pPr>
          </w:p>
        </w:tc>
        <w:tc>
          <w:tcPr>
            <w:tcW w:w="2551" w:type="dxa"/>
            <w:vAlign w:val="center"/>
          </w:tcPr>
          <w:p>
            <w:pPr>
              <w:pStyle w:val="11"/>
            </w:pPr>
            <w:r>
              <w:t>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1.56</w:t>
            </w:r>
          </w:p>
        </w:tc>
        <w:tc>
          <w:tcPr>
            <w:tcW w:w="2551" w:type="dxa"/>
            <w:vAlign w:val="center"/>
          </w:tcPr>
          <w:p>
            <w:pPr>
              <w:pStyle w:val="11"/>
            </w:pPr>
          </w:p>
        </w:tc>
        <w:tc>
          <w:tcPr>
            <w:tcW w:w="2551"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5.96</w:t>
            </w:r>
          </w:p>
        </w:tc>
        <w:tc>
          <w:tcPr>
            <w:tcW w:w="2551" w:type="dxa"/>
            <w:vAlign w:val="center"/>
          </w:tcPr>
          <w:p>
            <w:pPr>
              <w:pStyle w:val="11"/>
            </w:pPr>
          </w:p>
        </w:tc>
        <w:tc>
          <w:tcPr>
            <w:tcW w:w="2551" w:type="dxa"/>
            <w:vAlign w:val="center"/>
          </w:tcPr>
          <w:p>
            <w:pPr>
              <w:pStyle w:val="11"/>
            </w:pPr>
            <w:r>
              <w:t>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54.33</w:t>
            </w:r>
          </w:p>
        </w:tc>
        <w:tc>
          <w:tcPr>
            <w:tcW w:w="2551" w:type="dxa"/>
            <w:vAlign w:val="center"/>
          </w:tcPr>
          <w:p>
            <w:pPr>
              <w:pStyle w:val="11"/>
            </w:pPr>
            <w:r>
              <w:t>54.33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54.33</w:t>
            </w:r>
          </w:p>
        </w:tc>
        <w:tc>
          <w:tcPr>
            <w:tcW w:w="2551" w:type="dxa"/>
            <w:vAlign w:val="center"/>
          </w:tcPr>
          <w:p>
            <w:pPr>
              <w:pStyle w:val="11"/>
            </w:pPr>
            <w:r>
              <w:t>54.33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129.84</w:t>
            </w:r>
          </w:p>
        </w:tc>
        <w:tc>
          <w:tcPr>
            <w:tcW w:w="2551" w:type="dxa"/>
            <w:vAlign w:val="center"/>
          </w:tcPr>
          <w:p>
            <w:pPr>
              <w:pStyle w:val="15"/>
            </w:pPr>
          </w:p>
        </w:tc>
        <w:tc>
          <w:tcPr>
            <w:tcW w:w="2551" w:type="dxa"/>
            <w:vAlign w:val="center"/>
          </w:tcPr>
          <w:p>
            <w:pPr>
              <w:pStyle w:val="15"/>
            </w:pPr>
            <w:r>
              <w:t>129.84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126.60</w:t>
            </w:r>
          </w:p>
        </w:tc>
        <w:tc>
          <w:tcPr>
            <w:tcW w:w="2551" w:type="dxa"/>
            <w:vAlign w:val="center"/>
          </w:tcPr>
          <w:p>
            <w:pPr>
              <w:pStyle w:val="11"/>
            </w:pPr>
          </w:p>
        </w:tc>
        <w:tc>
          <w:tcPr>
            <w:tcW w:w="2551" w:type="dxa"/>
            <w:vAlign w:val="center"/>
          </w:tcPr>
          <w:p>
            <w:pPr>
              <w:pStyle w:val="11"/>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126.60</w:t>
            </w:r>
          </w:p>
        </w:tc>
        <w:tc>
          <w:tcPr>
            <w:tcW w:w="2551" w:type="dxa"/>
            <w:vAlign w:val="center"/>
          </w:tcPr>
          <w:p>
            <w:pPr>
              <w:pStyle w:val="11"/>
            </w:pPr>
          </w:p>
        </w:tc>
        <w:tc>
          <w:tcPr>
            <w:tcW w:w="2551" w:type="dxa"/>
            <w:vAlign w:val="center"/>
          </w:tcPr>
          <w:p>
            <w:pPr>
              <w:pStyle w:val="11"/>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126.60</w:t>
            </w:r>
          </w:p>
        </w:tc>
        <w:tc>
          <w:tcPr>
            <w:tcW w:w="2551" w:type="dxa"/>
            <w:vAlign w:val="center"/>
          </w:tcPr>
          <w:p>
            <w:pPr>
              <w:pStyle w:val="11"/>
            </w:pPr>
          </w:p>
        </w:tc>
        <w:tc>
          <w:tcPr>
            <w:tcW w:w="2551" w:type="dxa"/>
            <w:vAlign w:val="center"/>
          </w:tcPr>
          <w:p>
            <w:pPr>
              <w:pStyle w:val="11"/>
            </w:pPr>
            <w:r>
              <w:t>126.60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2137202</w:t>
            </w:r>
          </w:p>
        </w:tc>
        <w:tc>
          <w:tcPr>
            <w:tcW w:w="4535" w:type="dxa"/>
            <w:vAlign w:val="center"/>
          </w:tcPr>
          <w:p>
            <w:pPr>
              <w:pStyle w:val="12"/>
            </w:pPr>
            <w:r>
              <w:t>基础设施建设和经济发展</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0.39</w:t>
            </w:r>
          </w:p>
        </w:tc>
        <w:tc>
          <w:tcPr>
            <w:tcW w:w="2381" w:type="dxa"/>
            <w:vAlign w:val="center"/>
          </w:tcPr>
          <w:p>
            <w:pPr>
              <w:pStyle w:val="15"/>
            </w:pPr>
            <w:r>
              <w:t>0.39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0.39</w:t>
            </w:r>
          </w:p>
        </w:tc>
        <w:tc>
          <w:tcPr>
            <w:tcW w:w="2381" w:type="dxa"/>
            <w:vAlign w:val="center"/>
          </w:tcPr>
          <w:p>
            <w:pPr>
              <w:pStyle w:val="11"/>
            </w:pPr>
            <w:r>
              <w:t>0.39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0.39</w:t>
            </w:r>
          </w:p>
        </w:tc>
        <w:tc>
          <w:tcPr>
            <w:tcW w:w="2381" w:type="dxa"/>
            <w:vAlign w:val="center"/>
          </w:tcPr>
          <w:p>
            <w:pPr>
              <w:pStyle w:val="11"/>
            </w:pPr>
            <w:r>
              <w:t>0.39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秦皇岛北戴河新区大蒲河管理处本级2026年单位预算信息公开情况说明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按照《中华人民共和国预算法》、《地方预决算公开操作规程》和《关于进一步推进预算公开工作的实施意见》规定，现将秦皇岛北戴河新区大蒲河管理处本级2026年单位预算公开如下：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highlight w:val="none"/>
        </w:rPr>
      </w:pPr>
      <w:r>
        <w:rPr>
          <w:rFonts w:ascii="方正楷体_GBK" w:hAnsi="方正楷体_GBK" w:eastAsia="方正楷体_GBK" w:cs="方正楷体_GBK"/>
          <w:b/>
          <w:color w:val="000000"/>
          <w:sz w:val="32"/>
          <w:highlight w:val="none"/>
        </w:rPr>
        <w:t>单位职责：</w:t>
      </w:r>
    </w:p>
    <w:p>
      <w:pPr>
        <w:pStyle w:val="24"/>
      </w:pPr>
      <w:r>
        <w:t>根据《秦皇岛北戴河新区大蒲河管理处职能配置、内设机构和人员编制规定》，秦皇岛北戴河新区大蒲河管理处的主要职责是：</w:t>
      </w:r>
    </w:p>
    <w:p>
      <w:pPr>
        <w:pStyle w:val="24"/>
      </w:pPr>
      <w:r>
        <w:t>（一）负责本区域社会管理、综合治理、普法宣传、信访调解等工作。</w:t>
      </w:r>
    </w:p>
    <w:p>
      <w:pPr>
        <w:pStyle w:val="24"/>
      </w:pPr>
      <w:r>
        <w:t>（二）负责本区域农业、林业、水利、畜牧、渔业管理及统计工作。</w:t>
      </w:r>
    </w:p>
    <w:p>
      <w:pPr>
        <w:pStyle w:val="24"/>
      </w:pPr>
      <w:r>
        <w:t>（三）负责本区域劳动和社会保障、医疗、卫生、卫计、环卫、安全生产等工作。</w:t>
      </w:r>
    </w:p>
    <w:p>
      <w:pPr>
        <w:pStyle w:val="24"/>
      </w:pPr>
      <w:r>
        <w:t>（四）负责本区域基层建设、群众社区文化、娱乐、体育、教育、科普等工作。</w:t>
      </w:r>
    </w:p>
    <w:p>
      <w:pPr>
        <w:pStyle w:val="24"/>
      </w:pPr>
      <w:r>
        <w:t>（五）负责配合有关部门做好防汛、防火、防灾和抢险工作。</w:t>
      </w:r>
    </w:p>
    <w:p>
      <w:pPr>
        <w:pStyle w:val="24"/>
      </w:pPr>
      <w:r>
        <w:t>（六）负责贯彻落实国家、省、市方针、政策和法律法规。</w:t>
      </w:r>
    </w:p>
    <w:p>
      <w:pPr>
        <w:pStyle w:val="24"/>
      </w:pPr>
      <w:r>
        <w:t>（七）负责承办新区党工委、管委会交办的其他工作任务。</w:t>
      </w:r>
    </w:p>
    <w:p>
      <w:pPr>
        <w:pStyle w:val="17"/>
        <w:rPr>
          <w:highlight w:val="red"/>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秦皇岛北戴河新区大蒲河管理处本级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rPr>
          <w:highlight w:val="none"/>
        </w:rPr>
      </w:pPr>
      <w:r>
        <w:rPr>
          <w:rFonts w:ascii="黑体" w:hAnsi="黑体" w:eastAsia="黑体" w:cs="黑体"/>
          <w:color w:val="000000"/>
          <w:sz w:val="32"/>
          <w:highlight w:val="none"/>
        </w:rPr>
        <w:t>二、单位预算安排的总体情况</w:t>
      </w:r>
    </w:p>
    <w:p>
      <w:pPr>
        <w:pStyle w:val="23"/>
      </w:pPr>
      <w:r>
        <w:t>按照预算管理有关规定，目前部门预算的编制实行综合预算管理，即全部收入和支出都反映在预算中。秦皇岛北戴河新区大蒲河管理处机关及所属事业单位的收支包含在部门预算中。</w:t>
      </w:r>
    </w:p>
    <w:p>
      <w:pPr>
        <w:pStyle w:val="23"/>
      </w:pPr>
      <w:r>
        <w:t>1、收入说明</w:t>
      </w:r>
    </w:p>
    <w:p>
      <w:pPr>
        <w:pStyle w:val="23"/>
      </w:pPr>
      <w:r>
        <w:t>反映本部门当年全部收入。2026年预算收入2046.09万元，其中：一般公共预算收入1645.68万元，基金预算收入126.60万元，国有资本经营预算收入0.00万元，财政专户核拨收入0.00万元，单位资金收入0.00万元，上年结转结余273.81万元。</w:t>
      </w:r>
    </w:p>
    <w:p>
      <w:pPr>
        <w:pStyle w:val="23"/>
      </w:pPr>
      <w:r>
        <w:t>2、支出说明</w:t>
      </w:r>
    </w:p>
    <w:p>
      <w:pPr>
        <w:pStyle w:val="23"/>
      </w:pPr>
      <w:r>
        <w:t>收支预算总表支出栏、基本支出表、项目支出表按经济分类和支出功能分类科目编制，反映秦皇岛北戴河新区大蒲河管理处年度部门预算中支出预算的总体情况。2026年支出预算2046.09万元，其中基本支出797.12万元，包括人员经费730.04万元和日常公用经费67.08万元；项目支出1248.97万元，主要为办公用房改造及设备购置经费、北戴河新区印庄村农村饮水置换项目、村党组织书记、村民委员会主任基本补贴等。预计下年使用的单位资金结余0.00万元。</w:t>
      </w:r>
    </w:p>
    <w:p>
      <w:pPr>
        <w:pStyle w:val="23"/>
      </w:pPr>
      <w:r>
        <w:t>3、比上年增减情况</w:t>
      </w:r>
    </w:p>
    <w:p>
      <w:pPr>
        <w:pStyle w:val="23"/>
      </w:pPr>
      <w:r>
        <w:t>2026年预算收支安排2046.09万元，较2025年预算增加74.73万元，其中：基本支出减少93.67万元，主要为本单位本年有退休及调出人员较上年减少了人员经费支出。项目支出增加168.40万元，主要为本单位本年较上年增加了村党组织书记、村民委员会主任基本补贴项目支出。预计下年使用的单位资金结余增加0.00万元。</w:t>
      </w:r>
    </w:p>
    <w:p>
      <w:pPr>
        <w:pStyle w:val="18"/>
        <w:rPr>
          <w:highlight w:val="red"/>
        </w:rPr>
      </w:pPr>
    </w:p>
    <w:p>
      <w:pPr>
        <w:spacing w:before="10" w:after="10"/>
        <w:ind w:firstLine="640"/>
        <w:outlineLvl w:val="5"/>
        <w:rPr>
          <w:highlight w:val="none"/>
        </w:rPr>
      </w:pPr>
      <w:r>
        <w:rPr>
          <w:rFonts w:ascii="黑体" w:hAnsi="黑体" w:eastAsia="黑体" w:cs="黑体"/>
          <w:color w:val="000000"/>
          <w:sz w:val="32"/>
          <w:highlight w:val="none"/>
        </w:rPr>
        <w:t>三、机关运行经费安排情况</w:t>
      </w:r>
    </w:p>
    <w:p>
      <w:pPr>
        <w:pStyle w:val="22"/>
        <w:rPr>
          <w:highlight w:val="red"/>
        </w:rPr>
      </w:pPr>
      <w:r>
        <w:rPr>
          <w:rFonts w:hint="eastAsia"/>
        </w:rPr>
        <w:t>机关运行经费共计安排</w:t>
      </w:r>
      <w:r>
        <w:rPr>
          <w:rFonts w:hint="eastAsia" w:eastAsia="方正仿宋_GBK" w:cs="Times New Roman"/>
          <w:color w:val="000000"/>
          <w:sz w:val="28"/>
          <w:lang w:val="en-US" w:eastAsia="zh-CN"/>
        </w:rPr>
        <w:t>67.08</w:t>
      </w:r>
      <w:r>
        <w:rPr>
          <w:rFonts w:hint="eastAsia"/>
        </w:rPr>
        <w:t xml:space="preserve"> 万元，主要用于保证机关正常运转支的</w:t>
      </w:r>
      <w:r>
        <w:rPr>
          <w:rFonts w:hint="eastAsia"/>
          <w:lang w:val="en-US" w:eastAsia="zh-CN"/>
        </w:rPr>
        <w:t>日常维修、办公用房水电费、办公用房取暖费、办公费、差旅费</w:t>
      </w:r>
      <w:r>
        <w:rPr>
          <w:rFonts w:hint="eastAsia"/>
        </w:rPr>
        <w:t>等支出。</w:t>
      </w:r>
    </w:p>
    <w:p>
      <w:pPr>
        <w:pStyle w:val="19"/>
        <w:rPr>
          <w:highlight w:val="red"/>
        </w:rPr>
      </w:pPr>
    </w:p>
    <w:p>
      <w:pPr>
        <w:spacing w:before="10" w:after="10"/>
        <w:ind w:firstLine="640"/>
        <w:outlineLvl w:val="5"/>
        <w:rPr>
          <w:highlight w:val="red"/>
        </w:rPr>
      </w:pPr>
      <w:r>
        <w:rPr>
          <w:rFonts w:ascii="黑体" w:hAnsi="黑体" w:eastAsia="黑体" w:cs="黑体"/>
          <w:color w:val="000000"/>
          <w:sz w:val="32"/>
          <w:highlight w:val="none"/>
        </w:rPr>
        <w:t>四、财政拨款“三公”经费预算情况及增减变化原因</w:t>
      </w:r>
    </w:p>
    <w:p>
      <w:pPr>
        <w:pStyle w:val="25"/>
      </w:pPr>
      <w:r>
        <w:t>2026年，我</w:t>
      </w:r>
      <w:r>
        <w:rPr>
          <w:rFonts w:hint="eastAsia"/>
          <w:lang w:val="en-US" w:eastAsia="zh-CN"/>
        </w:rPr>
        <w:t>单位</w:t>
      </w:r>
      <w:r>
        <w:t>财政拨款“三公”经费预算安排0.39万元，其中因公出国（境）费0.00万元；公务用车购置及运维费0.00万元（其中：公务用车购置费为0.00万元，公务用车运维费0.00万元)；公务接待费0.39万元。与2025年相比减少0.08万元，增减变化的主要原因是我单位本年度无此项支出计划。</w:t>
      </w:r>
    </w:p>
    <w:p>
      <w:pPr>
        <w:pStyle w:val="20"/>
        <w:rPr>
          <w:highlight w:val="red"/>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numId w:val="0"/>
        </w:numPr>
        <w:spacing w:before="10" w:after="10"/>
        <w:ind w:firstLine="560" w:firstLineChars="200"/>
        <w:outlineLvl w:val="5"/>
      </w:pPr>
      <w:r>
        <w:rPr>
          <w:rFonts w:ascii="方正仿宋_GBK" w:hAnsi="方正仿宋_GBK" w:eastAsia="方正仿宋_GBK" w:cs="方正仿宋_GBK"/>
          <w:b/>
          <w:color w:val="000000"/>
          <w:sz w:val="28"/>
        </w:rPr>
        <w:t>1、墓地日常管理经费绩效目标表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13031326P000003100409</w:t>
            </w:r>
          </w:p>
        </w:tc>
        <w:tc>
          <w:tcPr>
            <w:tcW w:w="2835" w:type="dxa"/>
            <w:vAlign w:val="center"/>
          </w:tcPr>
          <w:p>
            <w:pPr>
              <w:pStyle w:val="10"/>
            </w:pPr>
            <w:r>
              <w:t>项目名称</w:t>
            </w:r>
          </w:p>
        </w:tc>
        <w:tc>
          <w:tcPr>
            <w:tcW w:w="6095" w:type="dxa"/>
            <w:gridSpan w:val="3"/>
            <w:vAlign w:val="center"/>
          </w:tcPr>
          <w:p>
            <w:pPr>
              <w:pStyle w:val="12"/>
            </w:pPr>
            <w:r>
              <w:t>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用于墓地日常管理经费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1.保障墓地安全日常平稳运行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墓地看护人员</w:t>
            </w:r>
          </w:p>
        </w:tc>
        <w:tc>
          <w:tcPr>
            <w:tcW w:w="5386" w:type="dxa"/>
            <w:vAlign w:val="center"/>
          </w:tcPr>
          <w:p>
            <w:pPr>
              <w:pStyle w:val="12"/>
            </w:pPr>
            <w:r>
              <w:t>墓地看护人员</w:t>
            </w:r>
          </w:p>
        </w:tc>
        <w:tc>
          <w:tcPr>
            <w:tcW w:w="2268" w:type="dxa"/>
            <w:vAlign w:val="center"/>
          </w:tcPr>
          <w:p>
            <w:pPr>
              <w:pStyle w:val="12"/>
            </w:pPr>
            <w:r>
              <w:t>5人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墓地清扫比率</w:t>
            </w:r>
          </w:p>
        </w:tc>
        <w:tc>
          <w:tcPr>
            <w:tcW w:w="5386" w:type="dxa"/>
            <w:vAlign w:val="center"/>
          </w:tcPr>
          <w:p>
            <w:pPr>
              <w:pStyle w:val="12"/>
            </w:pPr>
            <w:r>
              <w:t>反应墓地清扫范围占墓地总范围</w:t>
            </w:r>
          </w:p>
        </w:tc>
        <w:tc>
          <w:tcPr>
            <w:tcW w:w="2268" w:type="dxa"/>
            <w:vAlign w:val="center"/>
          </w:tcPr>
          <w:p>
            <w:pPr>
              <w:pStyle w:val="12"/>
            </w:pPr>
            <w:r>
              <w:t>≥85%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按总成本控制</w:t>
            </w:r>
          </w:p>
        </w:tc>
        <w:tc>
          <w:tcPr>
            <w:tcW w:w="5386" w:type="dxa"/>
            <w:vAlign w:val="center"/>
          </w:tcPr>
          <w:p>
            <w:pPr>
              <w:pStyle w:val="12"/>
            </w:pPr>
            <w:r>
              <w:t>按总成本控制</w:t>
            </w:r>
          </w:p>
        </w:tc>
        <w:tc>
          <w:tcPr>
            <w:tcW w:w="2268" w:type="dxa"/>
            <w:vAlign w:val="center"/>
          </w:tcPr>
          <w:p>
            <w:pPr>
              <w:pStyle w:val="12"/>
            </w:pPr>
            <w:r>
              <w:t>≤13万元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维护墓地安全</w:t>
            </w:r>
          </w:p>
        </w:tc>
        <w:tc>
          <w:tcPr>
            <w:tcW w:w="5386" w:type="dxa"/>
            <w:vAlign w:val="center"/>
          </w:tcPr>
          <w:p>
            <w:pPr>
              <w:pStyle w:val="12"/>
            </w:pPr>
            <w:r>
              <w:t>维护墓地安全</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保障墓地辖区干净整洁</w:t>
            </w:r>
          </w:p>
        </w:tc>
        <w:tc>
          <w:tcPr>
            <w:tcW w:w="5386" w:type="dxa"/>
            <w:vAlign w:val="center"/>
          </w:tcPr>
          <w:p>
            <w:pPr>
              <w:pStyle w:val="12"/>
            </w:pPr>
            <w:r>
              <w:t>保障墓地辖区干净整洁</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2、农村清洁取暖协管员补贴资金绩效目标表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13031326P00000310041W</w:t>
            </w:r>
          </w:p>
        </w:tc>
        <w:tc>
          <w:tcPr>
            <w:tcW w:w="2835" w:type="dxa"/>
            <w:vAlign w:val="center"/>
          </w:tcPr>
          <w:p>
            <w:pPr>
              <w:pStyle w:val="10"/>
            </w:pPr>
            <w:r>
              <w:t>项目名称</w:t>
            </w:r>
          </w:p>
        </w:tc>
        <w:tc>
          <w:tcPr>
            <w:tcW w:w="6095" w:type="dxa"/>
            <w:gridSpan w:val="3"/>
            <w:vAlign w:val="center"/>
          </w:tcPr>
          <w:p>
            <w:pPr>
              <w:pStyle w:val="12"/>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w:t>
            </w:r>
          </w:p>
        </w:tc>
        <w:tc>
          <w:tcPr>
            <w:tcW w:w="2835" w:type="dxa"/>
            <w:vAlign w:val="center"/>
          </w:tcPr>
          <w:p>
            <w:pPr>
              <w:pStyle w:val="10"/>
            </w:pPr>
            <w:r>
              <w:t>其中：财政    资金</w:t>
            </w:r>
          </w:p>
        </w:tc>
        <w:tc>
          <w:tcPr>
            <w:tcW w:w="2551" w:type="dxa"/>
            <w:vAlign w:val="center"/>
          </w:tcPr>
          <w:p>
            <w:pPr>
              <w:pStyle w:val="12"/>
            </w:pPr>
            <w:r>
              <w:t>5.10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农村清洁取暖协管员补贴资金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1.设冬季清洁煤取暖燃气协管员，特为其进行资金补贴。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保障行政村数</w:t>
            </w:r>
          </w:p>
        </w:tc>
        <w:tc>
          <w:tcPr>
            <w:tcW w:w="5386" w:type="dxa"/>
            <w:vAlign w:val="center"/>
          </w:tcPr>
          <w:p>
            <w:pPr>
              <w:pStyle w:val="12"/>
            </w:pPr>
            <w:r>
              <w:t>保障行政村数</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规定发放标准</w:t>
            </w:r>
          </w:p>
        </w:tc>
        <w:tc>
          <w:tcPr>
            <w:tcW w:w="5386" w:type="dxa"/>
            <w:vAlign w:val="center"/>
          </w:tcPr>
          <w:p>
            <w:pPr>
              <w:pStyle w:val="12"/>
            </w:pPr>
            <w:r>
              <w:t>规定发放标准</w:t>
            </w:r>
          </w:p>
        </w:tc>
        <w:tc>
          <w:tcPr>
            <w:tcW w:w="2268" w:type="dxa"/>
            <w:vAlign w:val="center"/>
          </w:tcPr>
          <w:p>
            <w:pPr>
              <w:pStyle w:val="12"/>
            </w:pPr>
            <w:r>
              <w:t>200元/月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完成工作需要的资金</w:t>
            </w:r>
          </w:p>
        </w:tc>
        <w:tc>
          <w:tcPr>
            <w:tcW w:w="5386" w:type="dxa"/>
            <w:vAlign w:val="center"/>
          </w:tcPr>
          <w:p>
            <w:pPr>
              <w:pStyle w:val="12"/>
            </w:pPr>
            <w:r>
              <w:t>完成工作需要的资金</w:t>
            </w:r>
          </w:p>
        </w:tc>
        <w:tc>
          <w:tcPr>
            <w:tcW w:w="2268" w:type="dxa"/>
            <w:vAlign w:val="center"/>
          </w:tcPr>
          <w:p>
            <w:pPr>
              <w:pStyle w:val="12"/>
            </w:pPr>
            <w:r>
              <w:t>5.1万元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维护清洁取暖工作正常运行</w:t>
            </w:r>
          </w:p>
        </w:tc>
        <w:tc>
          <w:tcPr>
            <w:tcW w:w="5386" w:type="dxa"/>
            <w:vAlign w:val="center"/>
          </w:tcPr>
          <w:p>
            <w:pPr>
              <w:pStyle w:val="12"/>
            </w:pPr>
            <w:r>
              <w:t>维护清洁取暖工作正常运行</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改善辖区内环境水平</w:t>
            </w:r>
          </w:p>
        </w:tc>
        <w:tc>
          <w:tcPr>
            <w:tcW w:w="5386" w:type="dxa"/>
            <w:vAlign w:val="center"/>
          </w:tcPr>
          <w:p>
            <w:pPr>
              <w:pStyle w:val="12"/>
            </w:pPr>
            <w:r>
              <w:t>改善辖区内环境水平</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长期抢修维护现场秩序</w:t>
            </w:r>
          </w:p>
        </w:tc>
        <w:tc>
          <w:tcPr>
            <w:tcW w:w="5386" w:type="dxa"/>
            <w:vAlign w:val="center"/>
          </w:tcPr>
          <w:p>
            <w:pPr>
              <w:pStyle w:val="12"/>
            </w:pPr>
            <w:r>
              <w:t>长期抢修维护现场秩序</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3、农村事务管理经费绩效目标表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13031326P00000310038A</w:t>
            </w:r>
          </w:p>
        </w:tc>
        <w:tc>
          <w:tcPr>
            <w:tcW w:w="2835" w:type="dxa"/>
            <w:vAlign w:val="center"/>
          </w:tcPr>
          <w:p>
            <w:pPr>
              <w:pStyle w:val="10"/>
            </w:pPr>
            <w:r>
              <w:t>项目名称</w:t>
            </w:r>
          </w:p>
        </w:tc>
        <w:tc>
          <w:tcPr>
            <w:tcW w:w="6095" w:type="dxa"/>
            <w:gridSpan w:val="3"/>
            <w:vAlign w:val="center"/>
          </w:tcPr>
          <w:p>
            <w:pPr>
              <w:pStyle w:val="12"/>
            </w:pPr>
            <w:r>
              <w:t>农村事务管理经费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1.1.提高辖区内居民生活水平，完善基础设施</w:t>
            </w:r>
          </w:p>
          <w:p>
            <w:pPr>
              <w:pStyle w:val="12"/>
            </w:pPr>
            <w:r>
              <w:t>2.改善村容村貌，提升村民居住环境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保障涉及范围</w:t>
            </w:r>
          </w:p>
        </w:tc>
        <w:tc>
          <w:tcPr>
            <w:tcW w:w="5386" w:type="dxa"/>
            <w:vAlign w:val="center"/>
          </w:tcPr>
          <w:p>
            <w:pPr>
              <w:pStyle w:val="12"/>
            </w:pPr>
            <w:r>
              <w:t>保障涉及范围十三个行政村</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各项费用支付的及时率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≤80万元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保障辖区内经济发展</w:t>
            </w:r>
          </w:p>
        </w:tc>
        <w:tc>
          <w:tcPr>
            <w:tcW w:w="5386" w:type="dxa"/>
            <w:vAlign w:val="center"/>
          </w:tcPr>
          <w:p>
            <w:pPr>
              <w:pStyle w:val="12"/>
            </w:pPr>
            <w:r>
              <w:t>保障辖区内经济发展</w:t>
            </w:r>
          </w:p>
        </w:tc>
        <w:tc>
          <w:tcPr>
            <w:tcW w:w="2268" w:type="dxa"/>
            <w:vAlign w:val="center"/>
          </w:tcPr>
          <w:p>
            <w:pPr>
              <w:pStyle w:val="12"/>
            </w:pPr>
            <w:r>
              <w:t>有效保障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改善村民生活环境</w:t>
            </w:r>
          </w:p>
        </w:tc>
        <w:tc>
          <w:tcPr>
            <w:tcW w:w="5386" w:type="dxa"/>
            <w:vAlign w:val="center"/>
          </w:tcPr>
          <w:p>
            <w:pPr>
              <w:pStyle w:val="12"/>
            </w:pPr>
            <w:r>
              <w:t>提升村容村貌，改善村民生活环境</w:t>
            </w:r>
          </w:p>
        </w:tc>
        <w:tc>
          <w:tcPr>
            <w:tcW w:w="2268" w:type="dxa"/>
            <w:vAlign w:val="center"/>
          </w:tcPr>
          <w:p>
            <w:pPr>
              <w:pStyle w:val="12"/>
            </w:pPr>
            <w:r>
              <w:t>日常工作持续有效开展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持续完善公共服务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推动环保事业发展</w:t>
            </w:r>
          </w:p>
        </w:tc>
        <w:tc>
          <w:tcPr>
            <w:tcW w:w="5386" w:type="dxa"/>
            <w:vAlign w:val="center"/>
          </w:tcPr>
          <w:p>
            <w:pPr>
              <w:pStyle w:val="12"/>
            </w:pPr>
            <w:r>
              <w:t>推动辖区内环保事业发展</w:t>
            </w:r>
          </w:p>
        </w:tc>
        <w:tc>
          <w:tcPr>
            <w:tcW w:w="2268" w:type="dxa"/>
            <w:vAlign w:val="center"/>
          </w:tcPr>
          <w:p>
            <w:pPr>
              <w:pStyle w:val="12"/>
            </w:pPr>
            <w:r>
              <w:t>美化生活环境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4、人事代理人员经费绩效目标表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13031326P000002100417</w:t>
            </w:r>
          </w:p>
        </w:tc>
        <w:tc>
          <w:tcPr>
            <w:tcW w:w="2835" w:type="dxa"/>
            <w:vAlign w:val="center"/>
          </w:tcPr>
          <w:p>
            <w:pPr>
              <w:pStyle w:val="10"/>
            </w:pPr>
            <w:r>
              <w:t>项目名称</w:t>
            </w:r>
          </w:p>
        </w:tc>
        <w:tc>
          <w:tcPr>
            <w:tcW w:w="6095" w:type="dxa"/>
            <w:gridSpan w:val="3"/>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62.12</w:t>
            </w:r>
          </w:p>
        </w:tc>
        <w:tc>
          <w:tcPr>
            <w:tcW w:w="2835" w:type="dxa"/>
            <w:vAlign w:val="center"/>
          </w:tcPr>
          <w:p>
            <w:pPr>
              <w:pStyle w:val="10"/>
            </w:pPr>
            <w:r>
              <w:t>其中：财政    资金</w:t>
            </w:r>
          </w:p>
        </w:tc>
        <w:tc>
          <w:tcPr>
            <w:tcW w:w="2551" w:type="dxa"/>
            <w:vAlign w:val="center"/>
          </w:tcPr>
          <w:p>
            <w:pPr>
              <w:pStyle w:val="12"/>
            </w:pPr>
            <w:r>
              <w:t>62.12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人事代理人员经费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1.1.发放人员工资2.缴纳各项社会保险</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保障人员经费的人数</w:t>
            </w:r>
          </w:p>
        </w:tc>
        <w:tc>
          <w:tcPr>
            <w:tcW w:w="2268" w:type="dxa"/>
            <w:vAlign w:val="center"/>
          </w:tcPr>
          <w:p>
            <w:pPr>
              <w:pStyle w:val="12"/>
            </w:pPr>
            <w:r>
              <w:t>4人</w:t>
            </w:r>
          </w:p>
        </w:tc>
        <w:tc>
          <w:tcPr>
            <w:tcW w:w="1276" w:type="dxa"/>
            <w:vAlign w:val="center"/>
          </w:tcPr>
          <w:p>
            <w:pPr>
              <w:pStyle w:val="12"/>
            </w:pPr>
            <w:r>
              <w:t>单位实际在职人数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人员经费发放到位率</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资金支付及时性</w:t>
            </w:r>
          </w:p>
        </w:tc>
        <w:tc>
          <w:tcPr>
            <w:tcW w:w="5386" w:type="dxa"/>
            <w:vAlign w:val="center"/>
          </w:tcPr>
          <w:p>
            <w:pPr>
              <w:pStyle w:val="12"/>
            </w:pPr>
            <w:r>
              <w:t>人事代理人员经费支付的及时程度</w:t>
            </w:r>
          </w:p>
        </w:tc>
        <w:tc>
          <w:tcPr>
            <w:tcW w:w="2268" w:type="dxa"/>
            <w:vAlign w:val="center"/>
          </w:tcPr>
          <w:p>
            <w:pPr>
              <w:pStyle w:val="12"/>
            </w:pPr>
            <w:r>
              <w:t>100%</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人员经费总额</w:t>
            </w:r>
          </w:p>
        </w:tc>
        <w:tc>
          <w:tcPr>
            <w:tcW w:w="5386" w:type="dxa"/>
            <w:vAlign w:val="center"/>
          </w:tcPr>
          <w:p>
            <w:pPr>
              <w:pStyle w:val="12"/>
            </w:pPr>
            <w:r>
              <w:t>本部门人员经费支出总额</w:t>
            </w:r>
          </w:p>
        </w:tc>
        <w:tc>
          <w:tcPr>
            <w:tcW w:w="2268" w:type="dxa"/>
            <w:vAlign w:val="center"/>
          </w:tcPr>
          <w:p>
            <w:pPr>
              <w:pStyle w:val="12"/>
            </w:pPr>
            <w:r>
              <w:t>≤62.12万元</w:t>
            </w:r>
          </w:p>
        </w:tc>
        <w:tc>
          <w:tcPr>
            <w:tcW w:w="1276" w:type="dxa"/>
            <w:vAlign w:val="center"/>
          </w:tcPr>
          <w:p>
            <w:pPr>
              <w:pStyle w:val="12"/>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按照预算指标完成</w:t>
            </w:r>
          </w:p>
        </w:tc>
        <w:tc>
          <w:tcPr>
            <w:tcW w:w="5386" w:type="dxa"/>
            <w:vAlign w:val="center"/>
          </w:tcPr>
          <w:p>
            <w:pPr>
              <w:pStyle w:val="12"/>
            </w:pPr>
            <w:r>
              <w:t>通过科学编制预算，严格遵守各项制度，提高财政资金的使用效率，做到节俭高效</w:t>
            </w:r>
          </w:p>
        </w:tc>
        <w:tc>
          <w:tcPr>
            <w:tcW w:w="2268" w:type="dxa"/>
            <w:vAlign w:val="center"/>
          </w:tcPr>
          <w:p>
            <w:pPr>
              <w:pStyle w:val="12"/>
            </w:pPr>
            <w:r>
              <w:t>提高财政资金的使用效率，做到节俭高效</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w:t>
            </w:r>
          </w:p>
        </w:tc>
        <w:tc>
          <w:tcPr>
            <w:tcW w:w="5386" w:type="dxa"/>
            <w:vAlign w:val="center"/>
          </w:tcPr>
          <w:p>
            <w:pPr>
              <w:pStyle w:val="12"/>
            </w:pPr>
            <w:r>
              <w:t>有效保证业务工作顺利开展</w:t>
            </w:r>
          </w:p>
        </w:tc>
        <w:tc>
          <w:tcPr>
            <w:tcW w:w="2268" w:type="dxa"/>
            <w:vAlign w:val="center"/>
          </w:tcPr>
          <w:p>
            <w:pPr>
              <w:pStyle w:val="12"/>
            </w:pPr>
            <w:r>
              <w:t>有效保证业务工作顺利开展</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促进人事代理人员队伍稳定发展</w:t>
            </w:r>
          </w:p>
        </w:tc>
        <w:tc>
          <w:tcPr>
            <w:tcW w:w="2268" w:type="dxa"/>
            <w:vAlign w:val="center"/>
          </w:tcPr>
          <w:p>
            <w:pPr>
              <w:pStyle w:val="12"/>
            </w:pPr>
            <w:r>
              <w:t>稳步提升</w:t>
            </w:r>
          </w:p>
        </w:tc>
        <w:tc>
          <w:tcPr>
            <w:tcW w:w="1276" w:type="dxa"/>
            <w:vAlign w:val="center"/>
          </w:tcPr>
          <w:p>
            <w:pPr>
              <w:pStyle w:val="12"/>
            </w:pPr>
            <w:r>
              <w:t>工作实际标准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社会调查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13031326P00000310039X</w:t>
            </w:r>
          </w:p>
        </w:tc>
        <w:tc>
          <w:tcPr>
            <w:tcW w:w="2835" w:type="dxa"/>
            <w:vAlign w:val="center"/>
          </w:tcPr>
          <w:p>
            <w:pPr>
              <w:pStyle w:val="10"/>
            </w:pPr>
            <w:r>
              <w:t>项目名称</w:t>
            </w:r>
          </w:p>
        </w:tc>
        <w:tc>
          <w:tcPr>
            <w:tcW w:w="6095" w:type="dxa"/>
            <w:gridSpan w:val="3"/>
            <w:vAlign w:val="center"/>
          </w:tcPr>
          <w:p>
            <w:pPr>
              <w:pStyle w:val="12"/>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1.扎实开展信访矛盾纠纷排查工作，发现矛盾纠纷苗头及时化解。严格按照有关规定使用资金，专款专用，厉行节约。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非法越级上访次数</w:t>
            </w:r>
          </w:p>
        </w:tc>
        <w:tc>
          <w:tcPr>
            <w:tcW w:w="5386" w:type="dxa"/>
            <w:vAlign w:val="center"/>
          </w:tcPr>
          <w:p>
            <w:pPr>
              <w:pStyle w:val="12"/>
            </w:pPr>
            <w:r>
              <w:t>辖区非法越级上访次数</w:t>
            </w:r>
          </w:p>
        </w:tc>
        <w:tc>
          <w:tcPr>
            <w:tcW w:w="2268" w:type="dxa"/>
            <w:vAlign w:val="center"/>
          </w:tcPr>
          <w:p>
            <w:pPr>
              <w:pStyle w:val="12"/>
            </w:pPr>
            <w:r>
              <w:t>0起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信访事项受理及时率</w:t>
            </w:r>
          </w:p>
        </w:tc>
        <w:tc>
          <w:tcPr>
            <w:tcW w:w="5386" w:type="dxa"/>
            <w:vAlign w:val="center"/>
          </w:tcPr>
          <w:p>
            <w:pPr>
              <w:pStyle w:val="12"/>
            </w:pPr>
            <w:r>
              <w:t>信访事项受理及时率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项目预算成本</w:t>
            </w:r>
          </w:p>
        </w:tc>
        <w:tc>
          <w:tcPr>
            <w:tcW w:w="2268" w:type="dxa"/>
            <w:vAlign w:val="center"/>
          </w:tcPr>
          <w:p>
            <w:pPr>
              <w:pStyle w:val="12"/>
            </w:pPr>
            <w:r>
              <w:t>≤10万元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项目持续影响效果</w:t>
            </w:r>
          </w:p>
        </w:tc>
        <w:tc>
          <w:tcPr>
            <w:tcW w:w="5386" w:type="dxa"/>
            <w:vAlign w:val="center"/>
          </w:tcPr>
          <w:p>
            <w:pPr>
              <w:pStyle w:val="12"/>
            </w:pPr>
            <w:r>
              <w:t>群众安全意识、文明意识进一步提高</w:t>
            </w:r>
          </w:p>
        </w:tc>
        <w:tc>
          <w:tcPr>
            <w:tcW w:w="2268" w:type="dxa"/>
            <w:vAlign w:val="center"/>
          </w:tcPr>
          <w:p>
            <w:pPr>
              <w:pStyle w:val="12"/>
            </w:pPr>
            <w:r>
              <w:t>有限</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6、2025-2026年采暖季煤改气运行补贴资金绩效目标表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13031326P00000810143R</w:t>
            </w:r>
          </w:p>
        </w:tc>
        <w:tc>
          <w:tcPr>
            <w:tcW w:w="2835" w:type="dxa"/>
            <w:vAlign w:val="center"/>
          </w:tcPr>
          <w:p>
            <w:pPr>
              <w:pStyle w:val="10"/>
            </w:pPr>
            <w:r>
              <w:t>项目名称</w:t>
            </w:r>
          </w:p>
        </w:tc>
        <w:tc>
          <w:tcPr>
            <w:tcW w:w="6095" w:type="dxa"/>
            <w:gridSpan w:val="3"/>
            <w:vAlign w:val="center"/>
          </w:tcPr>
          <w:p>
            <w:pPr>
              <w:pStyle w:val="12"/>
            </w:pPr>
            <w:r>
              <w:t>2025-2026年采暖季煤改气运行补贴资金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20.43</w:t>
            </w:r>
          </w:p>
        </w:tc>
        <w:tc>
          <w:tcPr>
            <w:tcW w:w="2835" w:type="dxa"/>
            <w:vAlign w:val="center"/>
          </w:tcPr>
          <w:p>
            <w:pPr>
              <w:pStyle w:val="10"/>
            </w:pPr>
            <w:r>
              <w:t>其中：财政    资金</w:t>
            </w:r>
          </w:p>
        </w:tc>
        <w:tc>
          <w:tcPr>
            <w:tcW w:w="2551" w:type="dxa"/>
            <w:vAlign w:val="center"/>
          </w:tcPr>
          <w:p>
            <w:pPr>
              <w:pStyle w:val="12"/>
            </w:pPr>
            <w:r>
              <w:t>20.43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2025-2026年采暖季煤改气运行补助资金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1.用于辖区内冬季清洁取暖运行，厉行节俭，专款专用。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涉及村数</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≤20.43万元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较高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推动环保事业发展</w:t>
            </w:r>
          </w:p>
        </w:tc>
        <w:tc>
          <w:tcPr>
            <w:tcW w:w="5386" w:type="dxa"/>
            <w:vAlign w:val="center"/>
          </w:tcPr>
          <w:p>
            <w:pPr>
              <w:pStyle w:val="12"/>
            </w:pPr>
            <w:r>
              <w:t>推动环保事业发展</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7、2025年农村公益事业建设财政奖补项目（省级资金）绩效目标表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13031325P00G6A011499X</w:t>
            </w:r>
          </w:p>
        </w:tc>
        <w:tc>
          <w:tcPr>
            <w:tcW w:w="2835" w:type="dxa"/>
            <w:vAlign w:val="center"/>
          </w:tcPr>
          <w:p>
            <w:pPr>
              <w:pStyle w:val="10"/>
            </w:pPr>
            <w:r>
              <w:t>项目名称</w:t>
            </w:r>
          </w:p>
        </w:tc>
        <w:tc>
          <w:tcPr>
            <w:tcW w:w="6095" w:type="dxa"/>
            <w:gridSpan w:val="3"/>
            <w:vAlign w:val="center"/>
          </w:tcPr>
          <w:p>
            <w:pPr>
              <w:pStyle w:val="12"/>
            </w:pPr>
            <w:r>
              <w:t>2025年农村公益事业建设财政奖补项目（省级资金）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17.03</w:t>
            </w:r>
          </w:p>
        </w:tc>
        <w:tc>
          <w:tcPr>
            <w:tcW w:w="2835" w:type="dxa"/>
            <w:vAlign w:val="center"/>
          </w:tcPr>
          <w:p>
            <w:pPr>
              <w:pStyle w:val="10"/>
            </w:pPr>
            <w:r>
              <w:t>其中：财政    资金</w:t>
            </w:r>
          </w:p>
        </w:tc>
        <w:tc>
          <w:tcPr>
            <w:tcW w:w="2551" w:type="dxa"/>
            <w:vAlign w:val="center"/>
          </w:tcPr>
          <w:p>
            <w:pPr>
              <w:pStyle w:val="12"/>
            </w:pPr>
            <w:r>
              <w:t>17.03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用于农村公益事业建设。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2500%</w:t>
            </w:r>
          </w:p>
        </w:tc>
        <w:tc>
          <w:tcPr>
            <w:tcW w:w="2551" w:type="dxa"/>
            <w:vAlign w:val="center"/>
          </w:tcPr>
          <w:p>
            <w:pPr>
              <w:pStyle w:val="13"/>
            </w:pPr>
            <w:r>
              <w:t>5000%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周庄村</w:t>
            </w:r>
          </w:p>
        </w:tc>
        <w:tc>
          <w:tcPr>
            <w:tcW w:w="2268" w:type="dxa"/>
            <w:vAlign w:val="center"/>
          </w:tcPr>
          <w:p>
            <w:pPr>
              <w:pStyle w:val="12"/>
            </w:pPr>
            <w:r>
              <w:t>1个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路面硬化工程验收合格率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路面硬化工程完成及时率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≤40万元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提升交通运输能力</w:t>
            </w:r>
          </w:p>
        </w:tc>
        <w:tc>
          <w:tcPr>
            <w:tcW w:w="5386" w:type="dxa"/>
            <w:vAlign w:val="center"/>
          </w:tcPr>
          <w:p>
            <w:pPr>
              <w:pStyle w:val="12"/>
            </w:pPr>
            <w:r>
              <w:t>提升交通运输及道路通行能力</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方便群众出行</w:t>
            </w:r>
          </w:p>
        </w:tc>
        <w:tc>
          <w:tcPr>
            <w:tcW w:w="5386" w:type="dxa"/>
            <w:vAlign w:val="center"/>
          </w:tcPr>
          <w:p>
            <w:pPr>
              <w:pStyle w:val="12"/>
            </w:pPr>
            <w:r>
              <w:t>方便群众安全出行</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8、2025年中央大气污染防治资金（冬季清洁取暖运行补）绩效目标表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13031325P00G6A0117715</w:t>
            </w:r>
          </w:p>
        </w:tc>
        <w:tc>
          <w:tcPr>
            <w:tcW w:w="2835" w:type="dxa"/>
            <w:vAlign w:val="center"/>
          </w:tcPr>
          <w:p>
            <w:pPr>
              <w:pStyle w:val="10"/>
            </w:pPr>
            <w:r>
              <w:t>项目名称</w:t>
            </w:r>
          </w:p>
        </w:tc>
        <w:tc>
          <w:tcPr>
            <w:tcW w:w="6095" w:type="dxa"/>
            <w:gridSpan w:val="3"/>
            <w:vAlign w:val="center"/>
          </w:tcPr>
          <w:p>
            <w:pPr>
              <w:pStyle w:val="12"/>
            </w:pPr>
            <w:r>
              <w:t>2025年中央大气污染防治资金（冬季清洁取暖运行补）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29.89</w:t>
            </w:r>
          </w:p>
        </w:tc>
        <w:tc>
          <w:tcPr>
            <w:tcW w:w="2835" w:type="dxa"/>
            <w:vAlign w:val="center"/>
          </w:tcPr>
          <w:p>
            <w:pPr>
              <w:pStyle w:val="10"/>
            </w:pPr>
            <w:r>
              <w:t>其中：财政    资金</w:t>
            </w:r>
          </w:p>
        </w:tc>
        <w:tc>
          <w:tcPr>
            <w:tcW w:w="2551" w:type="dxa"/>
            <w:vAlign w:val="center"/>
          </w:tcPr>
          <w:p>
            <w:pPr>
              <w:pStyle w:val="12"/>
            </w:pPr>
            <w:r>
              <w:t>29.89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用于辖区内冬季清洁取暖运行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1.用于辖区内冬季清洁取暖运行，厉行节俭，专款专用。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涉及村数</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≤29.89万元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较高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推动环保事业发展</w:t>
            </w:r>
          </w:p>
        </w:tc>
        <w:tc>
          <w:tcPr>
            <w:tcW w:w="5386" w:type="dxa"/>
            <w:vAlign w:val="center"/>
          </w:tcPr>
          <w:p>
            <w:pPr>
              <w:pStyle w:val="12"/>
            </w:pPr>
            <w:r>
              <w:t>推动环保事业发展</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9、2025年中央支持地方公共文化服务体系建设补助资金绩效目标表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13031325P008801112156</w:t>
            </w:r>
          </w:p>
        </w:tc>
        <w:tc>
          <w:tcPr>
            <w:tcW w:w="2835" w:type="dxa"/>
            <w:vAlign w:val="center"/>
          </w:tcPr>
          <w:p>
            <w:pPr>
              <w:pStyle w:val="10"/>
            </w:pPr>
            <w:r>
              <w:t>项目名称</w:t>
            </w:r>
          </w:p>
        </w:tc>
        <w:tc>
          <w:tcPr>
            <w:tcW w:w="6095" w:type="dxa"/>
            <w:gridSpan w:val="3"/>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0.78</w:t>
            </w:r>
          </w:p>
        </w:tc>
        <w:tc>
          <w:tcPr>
            <w:tcW w:w="2835" w:type="dxa"/>
            <w:vAlign w:val="center"/>
          </w:tcPr>
          <w:p>
            <w:pPr>
              <w:pStyle w:val="10"/>
            </w:pPr>
            <w:r>
              <w:t>其中：财政    资金</w:t>
            </w:r>
          </w:p>
        </w:tc>
        <w:tc>
          <w:tcPr>
            <w:tcW w:w="2551" w:type="dxa"/>
            <w:vAlign w:val="center"/>
          </w:tcPr>
          <w:p>
            <w:pPr>
              <w:pStyle w:val="12"/>
            </w:pPr>
            <w:r>
              <w:t>0.78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1.加强基层公共文化服务建设，保障广大群众基本文化权益。厉行节俭，专款专用。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5386" w:type="dxa"/>
            <w:vAlign w:val="center"/>
          </w:tcPr>
          <w:p>
            <w:pPr>
              <w:pStyle w:val="12"/>
            </w:pPr>
            <w:r>
              <w:t>公共文化服务设施覆盖率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5386" w:type="dxa"/>
            <w:vAlign w:val="center"/>
          </w:tcPr>
          <w:p>
            <w:pPr>
              <w:pStyle w:val="12"/>
            </w:pPr>
            <w:r>
              <w:t>群众文化活动参与率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文化活动按期完成率</w:t>
            </w:r>
          </w:p>
        </w:tc>
        <w:tc>
          <w:tcPr>
            <w:tcW w:w="5386" w:type="dxa"/>
            <w:vAlign w:val="center"/>
          </w:tcPr>
          <w:p>
            <w:pPr>
              <w:pStyle w:val="12"/>
            </w:pPr>
            <w:r>
              <w:t>文化活动按期完成率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文化服务活动预算控制数</w:t>
            </w:r>
          </w:p>
        </w:tc>
        <w:tc>
          <w:tcPr>
            <w:tcW w:w="5386" w:type="dxa"/>
            <w:vAlign w:val="center"/>
          </w:tcPr>
          <w:p>
            <w:pPr>
              <w:pStyle w:val="12"/>
            </w:pPr>
            <w:r>
              <w:t>文化服务活动预算控制数</w:t>
            </w:r>
          </w:p>
        </w:tc>
        <w:tc>
          <w:tcPr>
            <w:tcW w:w="2268" w:type="dxa"/>
            <w:vAlign w:val="center"/>
          </w:tcPr>
          <w:p>
            <w:pPr>
              <w:pStyle w:val="12"/>
            </w:pPr>
            <w:r>
              <w:t>≤0.78万元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提升村内经济效益</w:t>
            </w:r>
          </w:p>
        </w:tc>
        <w:tc>
          <w:tcPr>
            <w:tcW w:w="5386" w:type="dxa"/>
            <w:vAlign w:val="center"/>
          </w:tcPr>
          <w:p>
            <w:pPr>
              <w:pStyle w:val="12"/>
            </w:pPr>
            <w:r>
              <w:t>通过开展公共文化服务建设，提升村内经济效益</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对中华传统优秀文化的认知率</w:t>
            </w:r>
          </w:p>
        </w:tc>
        <w:tc>
          <w:tcPr>
            <w:tcW w:w="5386" w:type="dxa"/>
            <w:vAlign w:val="center"/>
          </w:tcPr>
          <w:p>
            <w:pPr>
              <w:pStyle w:val="12"/>
            </w:pPr>
            <w:r>
              <w:t>对中华传统优秀文化的认知有所提高</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传承中华民族传统文化</w:t>
            </w:r>
          </w:p>
        </w:tc>
        <w:tc>
          <w:tcPr>
            <w:tcW w:w="5386" w:type="dxa"/>
            <w:vAlign w:val="center"/>
          </w:tcPr>
          <w:p>
            <w:pPr>
              <w:pStyle w:val="12"/>
            </w:pPr>
            <w:r>
              <w:t>传承中华民族传统文化</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10、办公用房改造及设备购置经费绩效目标表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13031326P00001010136J</w:t>
            </w:r>
          </w:p>
        </w:tc>
        <w:tc>
          <w:tcPr>
            <w:tcW w:w="2835" w:type="dxa"/>
            <w:vAlign w:val="center"/>
          </w:tcPr>
          <w:p>
            <w:pPr>
              <w:pStyle w:val="10"/>
            </w:pPr>
            <w:r>
              <w:t>项目名称</w:t>
            </w:r>
          </w:p>
        </w:tc>
        <w:tc>
          <w:tcPr>
            <w:tcW w:w="6095" w:type="dxa"/>
            <w:gridSpan w:val="3"/>
            <w:vAlign w:val="center"/>
          </w:tcPr>
          <w:p>
            <w:pPr>
              <w:pStyle w:val="12"/>
            </w:pPr>
            <w:r>
              <w:t>办公用房改造及设备购置经费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69.00</w:t>
            </w:r>
          </w:p>
        </w:tc>
        <w:tc>
          <w:tcPr>
            <w:tcW w:w="2835" w:type="dxa"/>
            <w:vAlign w:val="center"/>
          </w:tcPr>
          <w:p>
            <w:pPr>
              <w:pStyle w:val="10"/>
            </w:pPr>
            <w:r>
              <w:t>其中：财政    资金</w:t>
            </w:r>
          </w:p>
        </w:tc>
        <w:tc>
          <w:tcPr>
            <w:tcW w:w="2551" w:type="dxa"/>
            <w:vAlign w:val="center"/>
          </w:tcPr>
          <w:p>
            <w:pPr>
              <w:pStyle w:val="12"/>
            </w:pPr>
            <w:r>
              <w:t>69.00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办公用房改造及设备购置经费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1.切实保障大蒲河管理处办公环境，保障大蒲河管理处日常工作有效运转。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建筑用房面积</w:t>
            </w:r>
          </w:p>
        </w:tc>
        <w:tc>
          <w:tcPr>
            <w:tcW w:w="5386" w:type="dxa"/>
            <w:vAlign w:val="center"/>
          </w:tcPr>
          <w:p>
            <w:pPr>
              <w:pStyle w:val="12"/>
            </w:pPr>
            <w:r>
              <w:t>建筑用房面积</w:t>
            </w:r>
          </w:p>
        </w:tc>
        <w:tc>
          <w:tcPr>
            <w:tcW w:w="2268" w:type="dxa"/>
            <w:vAlign w:val="center"/>
          </w:tcPr>
          <w:p>
            <w:pPr>
              <w:pStyle w:val="12"/>
            </w:pPr>
            <w:r>
              <w:t>1958平方米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办公基础设施、设备运行情况</w:t>
            </w:r>
          </w:p>
        </w:tc>
        <w:tc>
          <w:tcPr>
            <w:tcW w:w="5386" w:type="dxa"/>
            <w:vAlign w:val="center"/>
          </w:tcPr>
          <w:p>
            <w:pPr>
              <w:pStyle w:val="12"/>
            </w:pPr>
            <w:r>
              <w:t>办公基础设施、设备运行情况</w:t>
            </w:r>
          </w:p>
        </w:tc>
        <w:tc>
          <w:tcPr>
            <w:tcW w:w="2268" w:type="dxa"/>
            <w:vAlign w:val="center"/>
          </w:tcPr>
          <w:p>
            <w:pPr>
              <w:pStyle w:val="12"/>
            </w:pPr>
            <w:r>
              <w:t>正常运行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≤69万元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有效控制办公用房的建筑投入，减少财政资金支出压力</w:t>
            </w:r>
          </w:p>
        </w:tc>
        <w:tc>
          <w:tcPr>
            <w:tcW w:w="5386" w:type="dxa"/>
            <w:vAlign w:val="center"/>
          </w:tcPr>
          <w:p>
            <w:pPr>
              <w:pStyle w:val="12"/>
            </w:pPr>
            <w:r>
              <w:t>坚持厉行节俭原则，保障经费合理高效使用</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提升社会效益</w:t>
            </w:r>
          </w:p>
        </w:tc>
        <w:tc>
          <w:tcPr>
            <w:tcW w:w="5386" w:type="dxa"/>
            <w:vAlign w:val="center"/>
          </w:tcPr>
          <w:p>
            <w:pPr>
              <w:pStyle w:val="12"/>
            </w:pPr>
            <w:r>
              <w:t>有利于大蒲河管理处开展工作，提高办公效率</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提高人民群众来访办事满意度，有利于工作开展及辖区稳定</w:t>
            </w:r>
          </w:p>
        </w:tc>
        <w:tc>
          <w:tcPr>
            <w:tcW w:w="5386" w:type="dxa"/>
            <w:vAlign w:val="center"/>
          </w:tcPr>
          <w:p>
            <w:pPr>
              <w:pStyle w:val="12"/>
            </w:pPr>
            <w:r>
              <w:t>提高人民群众来访办事满意度，有利于工作开展及辖区稳定</w:t>
            </w:r>
          </w:p>
        </w:tc>
        <w:tc>
          <w:tcPr>
            <w:tcW w:w="2268" w:type="dxa"/>
            <w:vAlign w:val="center"/>
          </w:tcPr>
          <w:p>
            <w:pPr>
              <w:pStyle w:val="12"/>
            </w:pPr>
            <w:r>
              <w:t>持续发展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入驻办公的干部职工满意度</w:t>
            </w:r>
          </w:p>
        </w:tc>
        <w:tc>
          <w:tcPr>
            <w:tcW w:w="5386" w:type="dxa"/>
            <w:vAlign w:val="center"/>
          </w:tcPr>
          <w:p>
            <w:pPr>
              <w:pStyle w:val="12"/>
            </w:pPr>
            <w:r>
              <w:t>入驻办公的干部职工满意度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11、北戴河新区2024年人居环境整治项目（大蒲河片区）绩效目标表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13031325P00880111246D</w:t>
            </w:r>
          </w:p>
        </w:tc>
        <w:tc>
          <w:tcPr>
            <w:tcW w:w="2835" w:type="dxa"/>
            <w:vAlign w:val="center"/>
          </w:tcPr>
          <w:p>
            <w:pPr>
              <w:pStyle w:val="10"/>
            </w:pPr>
            <w:r>
              <w:t>项目名称</w:t>
            </w:r>
          </w:p>
        </w:tc>
        <w:tc>
          <w:tcPr>
            <w:tcW w:w="6095" w:type="dxa"/>
            <w:gridSpan w:val="3"/>
            <w:vAlign w:val="center"/>
          </w:tcPr>
          <w:p>
            <w:pPr>
              <w:pStyle w:val="12"/>
            </w:pPr>
            <w:r>
              <w:t>北戴河新区2024年人居环境整治项目（大蒲河片区）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北戴河新区2024年人居环境整治项目（大蒲河片区）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大蒲河片区</w:t>
            </w:r>
          </w:p>
        </w:tc>
        <w:tc>
          <w:tcPr>
            <w:tcW w:w="2268" w:type="dxa"/>
            <w:vAlign w:val="center"/>
          </w:tcPr>
          <w:p>
            <w:pPr>
              <w:pStyle w:val="12"/>
            </w:pPr>
            <w:r>
              <w:t>≤13个</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路面硬化工程验收合格率</w:t>
            </w:r>
          </w:p>
        </w:tc>
        <w:tc>
          <w:tcPr>
            <w:tcW w:w="2268" w:type="dxa"/>
            <w:vAlign w:val="center"/>
          </w:tcPr>
          <w:p>
            <w:pPr>
              <w:pStyle w:val="12"/>
            </w:pPr>
            <w:r>
              <w:t>100%</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路面硬化工程完成及时率</w:t>
            </w:r>
          </w:p>
        </w:tc>
        <w:tc>
          <w:tcPr>
            <w:tcW w:w="2268" w:type="dxa"/>
            <w:vAlign w:val="center"/>
          </w:tcPr>
          <w:p>
            <w:pPr>
              <w:pStyle w:val="12"/>
            </w:pPr>
            <w:r>
              <w:t>100%</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≤50万元</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提升交通运输能力</w:t>
            </w:r>
          </w:p>
        </w:tc>
        <w:tc>
          <w:tcPr>
            <w:tcW w:w="5386" w:type="dxa"/>
            <w:vAlign w:val="center"/>
          </w:tcPr>
          <w:p>
            <w:pPr>
              <w:pStyle w:val="12"/>
            </w:pPr>
            <w:r>
              <w:t>提升交通运输及道路通行能力</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方便群众出行</w:t>
            </w:r>
          </w:p>
        </w:tc>
        <w:tc>
          <w:tcPr>
            <w:tcW w:w="5386" w:type="dxa"/>
            <w:vAlign w:val="center"/>
          </w:tcPr>
          <w:p>
            <w:pPr>
              <w:pStyle w:val="12"/>
            </w:pPr>
            <w:r>
              <w:t>方便群众安全出行</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12、北戴河新区印庄村农村饮水置换项目绩效目标表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13031326P00001510034E</w:t>
            </w:r>
          </w:p>
        </w:tc>
        <w:tc>
          <w:tcPr>
            <w:tcW w:w="2835" w:type="dxa"/>
            <w:vAlign w:val="center"/>
          </w:tcPr>
          <w:p>
            <w:pPr>
              <w:pStyle w:val="10"/>
            </w:pPr>
            <w:r>
              <w:t>项目名称</w:t>
            </w:r>
          </w:p>
        </w:tc>
        <w:tc>
          <w:tcPr>
            <w:tcW w:w="6095" w:type="dxa"/>
            <w:gridSpan w:val="3"/>
            <w:vAlign w:val="center"/>
          </w:tcPr>
          <w:p>
            <w:pPr>
              <w:pStyle w:val="12"/>
            </w:pPr>
            <w:r>
              <w:t>北戴河新区印庄村农村饮水置换项目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28.20</w:t>
            </w:r>
          </w:p>
        </w:tc>
        <w:tc>
          <w:tcPr>
            <w:tcW w:w="2835" w:type="dxa"/>
            <w:vAlign w:val="center"/>
          </w:tcPr>
          <w:p>
            <w:pPr>
              <w:pStyle w:val="10"/>
            </w:pPr>
            <w:r>
              <w:t>其中：财政    资金</w:t>
            </w:r>
          </w:p>
        </w:tc>
        <w:tc>
          <w:tcPr>
            <w:tcW w:w="2551" w:type="dxa"/>
            <w:vAlign w:val="center"/>
          </w:tcPr>
          <w:p>
            <w:pPr>
              <w:pStyle w:val="12"/>
            </w:pPr>
            <w:r>
              <w:t>28.20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北戴河新区印庄村农村饮水置换项目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1.保障印庄村水质安全卫生，提升印庄村供水规模化和专业化水平。厉行节俭，专款专用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工程完成率</w:t>
            </w:r>
          </w:p>
        </w:tc>
        <w:tc>
          <w:tcPr>
            <w:tcW w:w="5386" w:type="dxa"/>
            <w:vAlign w:val="center"/>
          </w:tcPr>
          <w:p>
            <w:pPr>
              <w:pStyle w:val="12"/>
            </w:pPr>
            <w:r>
              <w:t>饮水置换项目实际完成情况</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饮水置换项目验收合格率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投入使用时间</w:t>
            </w:r>
          </w:p>
        </w:tc>
        <w:tc>
          <w:tcPr>
            <w:tcW w:w="5386" w:type="dxa"/>
            <w:vAlign w:val="center"/>
          </w:tcPr>
          <w:p>
            <w:pPr>
              <w:pStyle w:val="12"/>
            </w:pPr>
            <w:r>
              <w:t>投入使用时间</w:t>
            </w:r>
          </w:p>
        </w:tc>
        <w:tc>
          <w:tcPr>
            <w:tcW w:w="2268" w:type="dxa"/>
            <w:vAlign w:val="center"/>
          </w:tcPr>
          <w:p>
            <w:pPr>
              <w:pStyle w:val="12"/>
            </w:pPr>
            <w:r>
              <w:t>2022年12月31日之前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总成本不超预算</w:t>
            </w:r>
          </w:p>
        </w:tc>
        <w:tc>
          <w:tcPr>
            <w:tcW w:w="2268" w:type="dxa"/>
            <w:vAlign w:val="center"/>
          </w:tcPr>
          <w:p>
            <w:pPr>
              <w:pStyle w:val="12"/>
            </w:pPr>
            <w:r>
              <w:t>≤28.2万元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w:t>
            </w:r>
          </w:p>
        </w:tc>
        <w:tc>
          <w:tcPr>
            <w:tcW w:w="5386" w:type="dxa"/>
            <w:vAlign w:val="center"/>
          </w:tcPr>
          <w:p>
            <w:pPr>
              <w:pStyle w:val="12"/>
            </w:pPr>
            <w:r>
              <w:t>提升农村供水专业化水平，促进经济发展</w:t>
            </w:r>
          </w:p>
        </w:tc>
        <w:tc>
          <w:tcPr>
            <w:tcW w:w="2268" w:type="dxa"/>
            <w:vAlign w:val="center"/>
          </w:tcPr>
          <w:p>
            <w:pPr>
              <w:pStyle w:val="12"/>
            </w:pPr>
            <w:r>
              <w:t>促进经济发展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改善村内人居环境，提高生活水平和卫生水平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w:t>
            </w:r>
          </w:p>
        </w:tc>
        <w:tc>
          <w:tcPr>
            <w:tcW w:w="5386" w:type="dxa"/>
            <w:vAlign w:val="center"/>
          </w:tcPr>
          <w:p>
            <w:pPr>
              <w:pStyle w:val="12"/>
            </w:pPr>
            <w:r>
              <w:t>加强地下水资源统一管理，保护水资源和生态环境</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w:t>
            </w:r>
          </w:p>
        </w:tc>
        <w:tc>
          <w:tcPr>
            <w:tcW w:w="5386" w:type="dxa"/>
            <w:vAlign w:val="center"/>
          </w:tcPr>
          <w:p>
            <w:pPr>
              <w:pStyle w:val="12"/>
            </w:pPr>
            <w:r>
              <w:t>项目完成后能够长期为村民提供日常饮用水</w:t>
            </w:r>
          </w:p>
        </w:tc>
        <w:tc>
          <w:tcPr>
            <w:tcW w:w="2268" w:type="dxa"/>
            <w:vAlign w:val="center"/>
          </w:tcPr>
          <w:p>
            <w:pPr>
              <w:pStyle w:val="12"/>
            </w:pPr>
            <w:r>
              <w:t>长期有效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13031326P00000610011A</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11.40</w:t>
            </w:r>
          </w:p>
        </w:tc>
        <w:tc>
          <w:tcPr>
            <w:tcW w:w="2835" w:type="dxa"/>
            <w:vAlign w:val="center"/>
          </w:tcPr>
          <w:p>
            <w:pPr>
              <w:pStyle w:val="10"/>
            </w:pPr>
            <w:r>
              <w:t>其中：财政    资金</w:t>
            </w:r>
          </w:p>
        </w:tc>
        <w:tc>
          <w:tcPr>
            <w:tcW w:w="2551" w:type="dxa"/>
            <w:vAlign w:val="center"/>
          </w:tcPr>
          <w:p>
            <w:pPr>
              <w:pStyle w:val="12"/>
            </w:pPr>
            <w:r>
              <w:t>11.40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1.加强党组织建设，巩固党的执政理念，进一步加强党建工作。厉行节俭，专款专用。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涉及村数量</w:t>
            </w:r>
          </w:p>
        </w:tc>
        <w:tc>
          <w:tcPr>
            <w:tcW w:w="5386" w:type="dxa"/>
            <w:vAlign w:val="center"/>
          </w:tcPr>
          <w:p>
            <w:pPr>
              <w:pStyle w:val="12"/>
            </w:pPr>
            <w:r>
              <w:t>涉及行政村数量</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活动有效性</w:t>
            </w:r>
          </w:p>
        </w:tc>
        <w:tc>
          <w:tcPr>
            <w:tcW w:w="5386" w:type="dxa"/>
            <w:vAlign w:val="center"/>
          </w:tcPr>
          <w:p>
            <w:pPr>
              <w:pStyle w:val="12"/>
            </w:pPr>
            <w:r>
              <w:t>党员思想意识提高程度</w:t>
            </w:r>
          </w:p>
        </w:tc>
        <w:tc>
          <w:tcPr>
            <w:tcW w:w="2268" w:type="dxa"/>
            <w:vAlign w:val="center"/>
          </w:tcPr>
          <w:p>
            <w:pPr>
              <w:pStyle w:val="12"/>
            </w:pPr>
            <w:r>
              <w:t>有效提高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≤11.4万元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提升党员工作效率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提升党员素质</w:t>
            </w:r>
          </w:p>
        </w:tc>
        <w:tc>
          <w:tcPr>
            <w:tcW w:w="5386" w:type="dxa"/>
            <w:vAlign w:val="center"/>
          </w:tcPr>
          <w:p>
            <w:pPr>
              <w:pStyle w:val="12"/>
            </w:pPr>
            <w:r>
              <w:t>提升党员素质，提升服务意识</w:t>
            </w:r>
          </w:p>
        </w:tc>
        <w:tc>
          <w:tcPr>
            <w:tcW w:w="2268" w:type="dxa"/>
            <w:vAlign w:val="center"/>
          </w:tcPr>
          <w:p>
            <w:pPr>
              <w:pStyle w:val="12"/>
            </w:pPr>
            <w:r>
              <w:t>提升党员素质</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党员先进性</w:t>
            </w:r>
          </w:p>
        </w:tc>
        <w:tc>
          <w:tcPr>
            <w:tcW w:w="5386" w:type="dxa"/>
            <w:vAlign w:val="center"/>
          </w:tcPr>
          <w:p>
            <w:pPr>
              <w:pStyle w:val="12"/>
            </w:pPr>
            <w:r>
              <w:t>党员素质提高，强化日常学习和服务水平</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13031326P00000610145M</w:t>
            </w:r>
          </w:p>
        </w:tc>
        <w:tc>
          <w:tcPr>
            <w:tcW w:w="2835" w:type="dxa"/>
            <w:vAlign w:val="center"/>
          </w:tcPr>
          <w:p>
            <w:pPr>
              <w:pStyle w:val="10"/>
            </w:pPr>
            <w:r>
              <w:t>项目名称</w:t>
            </w:r>
          </w:p>
        </w:tc>
        <w:tc>
          <w:tcPr>
            <w:tcW w:w="6095" w:type="dxa"/>
            <w:gridSpan w:val="3"/>
            <w:vAlign w:val="center"/>
          </w:tcPr>
          <w:p>
            <w:pPr>
              <w:pStyle w:val="12"/>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村党组织书记、村民委员会主任基本补贴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1.切实保障村干部的合法权益，促进村级组织稳定发展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涉及村数量</w:t>
            </w:r>
          </w:p>
        </w:tc>
        <w:tc>
          <w:tcPr>
            <w:tcW w:w="5386" w:type="dxa"/>
            <w:vAlign w:val="center"/>
          </w:tcPr>
          <w:p>
            <w:pPr>
              <w:pStyle w:val="12"/>
            </w:pPr>
            <w:r>
              <w:t>补助对象数量</w:t>
            </w:r>
          </w:p>
        </w:tc>
        <w:tc>
          <w:tcPr>
            <w:tcW w:w="2268" w:type="dxa"/>
            <w:vAlign w:val="center"/>
          </w:tcPr>
          <w:p>
            <w:pPr>
              <w:pStyle w:val="12"/>
            </w:pPr>
            <w:r>
              <w:t>13个/村</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支出资金合规性</w:t>
            </w:r>
          </w:p>
        </w:tc>
        <w:tc>
          <w:tcPr>
            <w:tcW w:w="5386" w:type="dxa"/>
            <w:vAlign w:val="center"/>
          </w:tcPr>
          <w:p>
            <w:pPr>
              <w:pStyle w:val="12"/>
            </w:pPr>
            <w:r>
              <w:t>严格执行相关法规、制度</w:t>
            </w:r>
          </w:p>
        </w:tc>
        <w:tc>
          <w:tcPr>
            <w:tcW w:w="2268" w:type="dxa"/>
            <w:vAlign w:val="center"/>
          </w:tcPr>
          <w:p>
            <w:pPr>
              <w:pStyle w:val="12"/>
            </w:pPr>
            <w:r>
              <w:t>有效提高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发放资金兑现及时性（%）</w:t>
            </w:r>
          </w:p>
        </w:tc>
        <w:tc>
          <w:tcPr>
            <w:tcW w:w="5386" w:type="dxa"/>
            <w:vAlign w:val="center"/>
          </w:tcPr>
          <w:p>
            <w:pPr>
              <w:pStyle w:val="12"/>
            </w:pPr>
            <w:r>
              <w:t>发放资金兑现及时性（%）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≤65万元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提升村民工作效率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提升村干部生活水平</w:t>
            </w:r>
          </w:p>
        </w:tc>
        <w:tc>
          <w:tcPr>
            <w:tcW w:w="5386" w:type="dxa"/>
            <w:vAlign w:val="center"/>
          </w:tcPr>
          <w:p>
            <w:pPr>
              <w:pStyle w:val="12"/>
            </w:pPr>
            <w:r>
              <w:t>保障人民利益的影响程度</w:t>
            </w:r>
          </w:p>
        </w:tc>
        <w:tc>
          <w:tcPr>
            <w:tcW w:w="2268" w:type="dxa"/>
            <w:vAlign w:val="center"/>
          </w:tcPr>
          <w:p>
            <w:pPr>
              <w:pStyle w:val="12"/>
            </w:pPr>
            <w:r>
              <w:t>提高人民利益</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长期保障村干部利益</w:t>
            </w:r>
          </w:p>
        </w:tc>
        <w:tc>
          <w:tcPr>
            <w:tcW w:w="5386" w:type="dxa"/>
            <w:vAlign w:val="center"/>
          </w:tcPr>
          <w:p>
            <w:pPr>
              <w:pStyle w:val="12"/>
            </w:pPr>
            <w:r>
              <w:t>村干部素质提高，强化日常学习和服务水平</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15、村级办公经费绩效目标表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13031326P00000610010N</w:t>
            </w:r>
          </w:p>
        </w:tc>
        <w:tc>
          <w:tcPr>
            <w:tcW w:w="2835" w:type="dxa"/>
            <w:vAlign w:val="center"/>
          </w:tcPr>
          <w:p>
            <w:pPr>
              <w:pStyle w:val="10"/>
            </w:pPr>
            <w:r>
              <w:t>项目名称</w:t>
            </w:r>
          </w:p>
        </w:tc>
        <w:tc>
          <w:tcPr>
            <w:tcW w:w="6095" w:type="dxa"/>
            <w:gridSpan w:val="3"/>
            <w:vAlign w:val="center"/>
          </w:tcPr>
          <w:p>
            <w:pPr>
              <w:pStyle w:val="12"/>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w:t>
            </w:r>
          </w:p>
        </w:tc>
        <w:tc>
          <w:tcPr>
            <w:tcW w:w="2835" w:type="dxa"/>
            <w:vAlign w:val="center"/>
          </w:tcPr>
          <w:p>
            <w:pPr>
              <w:pStyle w:val="10"/>
            </w:pPr>
            <w:r>
              <w:t>其中：财政    资金</w:t>
            </w:r>
          </w:p>
        </w:tc>
        <w:tc>
          <w:tcPr>
            <w:tcW w:w="2551" w:type="dxa"/>
            <w:vAlign w:val="center"/>
          </w:tcPr>
          <w:p>
            <w:pPr>
              <w:pStyle w:val="12"/>
            </w:pPr>
            <w:r>
              <w:t>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1.切实加强村级办公经费的管理，保障村级组织各项日常工作的有效运转。厉行节俭，专款专用。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涉及村数量</w:t>
            </w:r>
          </w:p>
        </w:tc>
        <w:tc>
          <w:tcPr>
            <w:tcW w:w="5386" w:type="dxa"/>
            <w:vAlign w:val="center"/>
          </w:tcPr>
          <w:p>
            <w:pPr>
              <w:pStyle w:val="12"/>
            </w:pPr>
            <w:r>
              <w:t>涉及村数量</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办公基础设施、设备运行情况</w:t>
            </w:r>
          </w:p>
        </w:tc>
        <w:tc>
          <w:tcPr>
            <w:tcW w:w="5386" w:type="dxa"/>
            <w:vAlign w:val="center"/>
          </w:tcPr>
          <w:p>
            <w:pPr>
              <w:pStyle w:val="12"/>
            </w:pPr>
            <w:r>
              <w:t>办公基础设施、设备运行情况</w:t>
            </w:r>
          </w:p>
        </w:tc>
        <w:tc>
          <w:tcPr>
            <w:tcW w:w="2268" w:type="dxa"/>
            <w:vAlign w:val="center"/>
          </w:tcPr>
          <w:p>
            <w:pPr>
              <w:pStyle w:val="12"/>
            </w:pPr>
            <w:r>
              <w:t>正常运行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各项任务完成及时率（%）</w:t>
            </w:r>
          </w:p>
        </w:tc>
        <w:tc>
          <w:tcPr>
            <w:tcW w:w="5386" w:type="dxa"/>
            <w:vAlign w:val="center"/>
          </w:tcPr>
          <w:p>
            <w:pPr>
              <w:pStyle w:val="12"/>
            </w:pPr>
            <w:r>
              <w:t>各项任务完成及时率（%）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≤7.2万元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坚持厉行节约原则</w:t>
            </w:r>
          </w:p>
        </w:tc>
        <w:tc>
          <w:tcPr>
            <w:tcW w:w="5386" w:type="dxa"/>
            <w:vAlign w:val="center"/>
          </w:tcPr>
          <w:p>
            <w:pPr>
              <w:pStyle w:val="12"/>
            </w:pPr>
            <w:r>
              <w:t>坚持厉行节约原则，保障经费合理高效使用</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提升社会效益</w:t>
            </w:r>
          </w:p>
        </w:tc>
        <w:tc>
          <w:tcPr>
            <w:tcW w:w="5386" w:type="dxa"/>
            <w:vAlign w:val="center"/>
          </w:tcPr>
          <w:p>
            <w:pPr>
              <w:pStyle w:val="12"/>
            </w:pPr>
            <w:r>
              <w:t>有利于村支两委开展工作，提高办公效率</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提供基层村干部的积极性,有利于新农村发展</w:t>
            </w:r>
          </w:p>
        </w:tc>
        <w:tc>
          <w:tcPr>
            <w:tcW w:w="5386" w:type="dxa"/>
            <w:vAlign w:val="center"/>
          </w:tcPr>
          <w:p>
            <w:pPr>
              <w:pStyle w:val="12"/>
            </w:pPr>
            <w:r>
              <w:t>提供基层村干部的积极性,有利于新农村发展</w:t>
            </w:r>
          </w:p>
        </w:tc>
        <w:tc>
          <w:tcPr>
            <w:tcW w:w="2268" w:type="dxa"/>
            <w:vAlign w:val="center"/>
          </w:tcPr>
          <w:p>
            <w:pPr>
              <w:pStyle w:val="12"/>
            </w:pPr>
            <w:r>
              <w:t>持续发展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16、冬季清洁取暖资金（洁净煤补贴）绩效目标表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13031326P000010101376</w:t>
            </w:r>
          </w:p>
        </w:tc>
        <w:tc>
          <w:tcPr>
            <w:tcW w:w="2835" w:type="dxa"/>
            <w:vAlign w:val="center"/>
          </w:tcPr>
          <w:p>
            <w:pPr>
              <w:pStyle w:val="10"/>
            </w:pPr>
            <w:r>
              <w:t>项目名称</w:t>
            </w:r>
          </w:p>
        </w:tc>
        <w:tc>
          <w:tcPr>
            <w:tcW w:w="6095" w:type="dxa"/>
            <w:gridSpan w:val="3"/>
            <w:vAlign w:val="center"/>
          </w:tcPr>
          <w:p>
            <w:pPr>
              <w:pStyle w:val="12"/>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9.20</w:t>
            </w:r>
          </w:p>
        </w:tc>
        <w:tc>
          <w:tcPr>
            <w:tcW w:w="2835" w:type="dxa"/>
            <w:vAlign w:val="center"/>
          </w:tcPr>
          <w:p>
            <w:pPr>
              <w:pStyle w:val="10"/>
            </w:pPr>
            <w:r>
              <w:t>其中：财政    资金</w:t>
            </w:r>
          </w:p>
        </w:tc>
        <w:tc>
          <w:tcPr>
            <w:tcW w:w="2551" w:type="dxa"/>
            <w:vAlign w:val="center"/>
          </w:tcPr>
          <w:p>
            <w:pPr>
              <w:pStyle w:val="12"/>
            </w:pPr>
            <w:r>
              <w:t>9.20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冬季清洁取暖资金（洁净煤补贴）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1.2024年大蒲河管理处计划购买洁净煤75吨，2025年大蒲河管理处计划购买洁净煤40吨，每吨补贴0.08万元。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发放补助人数</w:t>
            </w:r>
          </w:p>
        </w:tc>
        <w:tc>
          <w:tcPr>
            <w:tcW w:w="5386" w:type="dxa"/>
            <w:vAlign w:val="center"/>
          </w:tcPr>
          <w:p>
            <w:pPr>
              <w:pStyle w:val="12"/>
            </w:pPr>
            <w:r>
              <w:t>发放补助人数</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是否全部按规定标准发放</w:t>
            </w:r>
          </w:p>
        </w:tc>
        <w:tc>
          <w:tcPr>
            <w:tcW w:w="5386" w:type="dxa"/>
            <w:vAlign w:val="center"/>
          </w:tcPr>
          <w:p>
            <w:pPr>
              <w:pStyle w:val="12"/>
            </w:pPr>
            <w:r>
              <w:t>按规定标准发放</w:t>
            </w:r>
          </w:p>
        </w:tc>
        <w:tc>
          <w:tcPr>
            <w:tcW w:w="2268" w:type="dxa"/>
            <w:vAlign w:val="center"/>
          </w:tcPr>
          <w:p>
            <w:pPr>
              <w:pStyle w:val="12"/>
            </w:pPr>
            <w:r>
              <w:t>800元/吨</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及时发放补贴</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≤9.2万元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服务的改善与提升</w:t>
            </w:r>
          </w:p>
        </w:tc>
        <w:tc>
          <w:tcPr>
            <w:tcW w:w="5386" w:type="dxa"/>
            <w:vAlign w:val="center"/>
          </w:tcPr>
          <w:p>
            <w:pPr>
              <w:pStyle w:val="12"/>
            </w:pPr>
            <w:r>
              <w:t>服务的改善与提升</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结果准确性</w:t>
            </w:r>
          </w:p>
        </w:tc>
        <w:tc>
          <w:tcPr>
            <w:tcW w:w="5386" w:type="dxa"/>
            <w:vAlign w:val="center"/>
          </w:tcPr>
          <w:p>
            <w:pPr>
              <w:pStyle w:val="12"/>
            </w:pPr>
            <w:r>
              <w:t>结果准确性</w:t>
            </w:r>
          </w:p>
        </w:tc>
        <w:tc>
          <w:tcPr>
            <w:tcW w:w="2268" w:type="dxa"/>
            <w:vAlign w:val="center"/>
          </w:tcPr>
          <w:p>
            <w:pPr>
              <w:pStyle w:val="12"/>
            </w:pPr>
            <w:r>
              <w:t>结果准确</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13031326P00000610012X</w:t>
            </w:r>
          </w:p>
        </w:tc>
        <w:tc>
          <w:tcPr>
            <w:tcW w:w="2835" w:type="dxa"/>
            <w:vAlign w:val="center"/>
          </w:tcPr>
          <w:p>
            <w:pPr>
              <w:pStyle w:val="10"/>
            </w:pPr>
            <w:r>
              <w:t>项目名称</w:t>
            </w:r>
          </w:p>
        </w:tc>
        <w:tc>
          <w:tcPr>
            <w:tcW w:w="6095" w:type="dxa"/>
            <w:gridSpan w:val="3"/>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1.保障基层党组织有效运转，提高村民生活满意度。厉行节俭，专款专用。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保障行政村数</w:t>
            </w:r>
          </w:p>
        </w:tc>
        <w:tc>
          <w:tcPr>
            <w:tcW w:w="5386" w:type="dxa"/>
            <w:vAlign w:val="center"/>
          </w:tcPr>
          <w:p>
            <w:pPr>
              <w:pStyle w:val="12"/>
            </w:pPr>
            <w:r>
              <w:t>保障辖区行政村个数</w:t>
            </w:r>
          </w:p>
        </w:tc>
        <w:tc>
          <w:tcPr>
            <w:tcW w:w="2268" w:type="dxa"/>
            <w:vAlign w:val="center"/>
          </w:tcPr>
          <w:p>
            <w:pPr>
              <w:pStyle w:val="12"/>
            </w:pPr>
            <w:r>
              <w:t>13个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项目提升服务水平</w:t>
            </w:r>
          </w:p>
        </w:tc>
        <w:tc>
          <w:tcPr>
            <w:tcW w:w="5386" w:type="dxa"/>
            <w:vAlign w:val="center"/>
          </w:tcPr>
          <w:p>
            <w:pPr>
              <w:pStyle w:val="12"/>
            </w:pPr>
            <w:r>
              <w:t>党建工作水平及质量提升</w:t>
            </w:r>
          </w:p>
        </w:tc>
        <w:tc>
          <w:tcPr>
            <w:tcW w:w="2268" w:type="dxa"/>
            <w:vAlign w:val="center"/>
          </w:tcPr>
          <w:p>
            <w:pPr>
              <w:pStyle w:val="12"/>
            </w:pPr>
            <w:r>
              <w:t>有效提升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≤65万元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增加村级服务群众收入</w:t>
            </w:r>
          </w:p>
        </w:tc>
        <w:tc>
          <w:tcPr>
            <w:tcW w:w="5386" w:type="dxa"/>
            <w:vAlign w:val="center"/>
          </w:tcPr>
          <w:p>
            <w:pPr>
              <w:pStyle w:val="12"/>
            </w:pPr>
            <w:r>
              <w:t>增加村级收入，完善村级设施建设。</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对群众生活影响</w:t>
            </w:r>
          </w:p>
        </w:tc>
        <w:tc>
          <w:tcPr>
            <w:tcW w:w="5386" w:type="dxa"/>
            <w:vAlign w:val="center"/>
          </w:tcPr>
          <w:p>
            <w:pPr>
              <w:pStyle w:val="12"/>
            </w:pPr>
            <w:r>
              <w:t>提升群众生活质量</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生态环境质量改善</w:t>
            </w:r>
          </w:p>
        </w:tc>
        <w:tc>
          <w:tcPr>
            <w:tcW w:w="5386" w:type="dxa"/>
            <w:vAlign w:val="center"/>
          </w:tcPr>
          <w:p>
            <w:pPr>
              <w:pStyle w:val="12"/>
            </w:pPr>
            <w:r>
              <w:t>改善人居环境</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18、关于提前下达2025年省级乡村振兴专项资金的通知（和美乡村重点村奖补）绩效目标表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13031325P00G6A011444G</w:t>
            </w:r>
          </w:p>
        </w:tc>
        <w:tc>
          <w:tcPr>
            <w:tcW w:w="2835" w:type="dxa"/>
            <w:vAlign w:val="center"/>
          </w:tcPr>
          <w:p>
            <w:pPr>
              <w:pStyle w:val="10"/>
            </w:pPr>
            <w:r>
              <w:t>项目名称</w:t>
            </w:r>
          </w:p>
        </w:tc>
        <w:tc>
          <w:tcPr>
            <w:tcW w:w="6095" w:type="dxa"/>
            <w:gridSpan w:val="3"/>
            <w:vAlign w:val="center"/>
          </w:tcPr>
          <w:p>
            <w:pPr>
              <w:pStyle w:val="12"/>
            </w:pPr>
            <w:r>
              <w:t>关于提前下达2025年省级乡村振兴专项资金的通知（和美乡村重点村奖补）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关于提前下达2025年省级乡村振兴专项资金的通知（和美乡村重点村奖补）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周庄村</w:t>
            </w:r>
          </w:p>
        </w:tc>
        <w:tc>
          <w:tcPr>
            <w:tcW w:w="2268" w:type="dxa"/>
            <w:vAlign w:val="center"/>
          </w:tcPr>
          <w:p>
            <w:pPr>
              <w:pStyle w:val="12"/>
            </w:pPr>
            <w:r>
              <w:t>1个</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路面硬化工程验收合格率</w:t>
            </w:r>
          </w:p>
        </w:tc>
        <w:tc>
          <w:tcPr>
            <w:tcW w:w="2268" w:type="dxa"/>
            <w:vAlign w:val="center"/>
          </w:tcPr>
          <w:p>
            <w:pPr>
              <w:pStyle w:val="12"/>
            </w:pPr>
            <w:r>
              <w:t>100%</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路面硬化工程完成及时率</w:t>
            </w:r>
          </w:p>
        </w:tc>
        <w:tc>
          <w:tcPr>
            <w:tcW w:w="2268" w:type="dxa"/>
            <w:vAlign w:val="center"/>
          </w:tcPr>
          <w:p>
            <w:pPr>
              <w:pStyle w:val="12"/>
            </w:pPr>
            <w:r>
              <w:t>100%</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≤20万元</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提升交通运输能力</w:t>
            </w:r>
          </w:p>
        </w:tc>
        <w:tc>
          <w:tcPr>
            <w:tcW w:w="5386" w:type="dxa"/>
            <w:vAlign w:val="center"/>
          </w:tcPr>
          <w:p>
            <w:pPr>
              <w:pStyle w:val="12"/>
            </w:pPr>
            <w:r>
              <w:t>提升交通运输及道路通行能力</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方便群众出行</w:t>
            </w:r>
          </w:p>
        </w:tc>
        <w:tc>
          <w:tcPr>
            <w:tcW w:w="5386" w:type="dxa"/>
            <w:vAlign w:val="center"/>
          </w:tcPr>
          <w:p>
            <w:pPr>
              <w:pStyle w:val="12"/>
            </w:pPr>
            <w:r>
              <w:t>方便群众安全出行</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19、关于提前下达2025年中央耕地建设与利用资金的通知绩效目标表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13031325P00G6A011534X</w:t>
            </w:r>
          </w:p>
        </w:tc>
        <w:tc>
          <w:tcPr>
            <w:tcW w:w="2835" w:type="dxa"/>
            <w:vAlign w:val="center"/>
          </w:tcPr>
          <w:p>
            <w:pPr>
              <w:pStyle w:val="10"/>
            </w:pPr>
            <w:r>
              <w:t>项目名称</w:t>
            </w:r>
          </w:p>
        </w:tc>
        <w:tc>
          <w:tcPr>
            <w:tcW w:w="6095" w:type="dxa"/>
            <w:gridSpan w:val="3"/>
            <w:vAlign w:val="center"/>
          </w:tcPr>
          <w:p>
            <w:pPr>
              <w:pStyle w:val="12"/>
            </w:pPr>
            <w:r>
              <w:t>关于提前下达2025年中央耕地建设与利用资金的通知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2.35</w:t>
            </w:r>
          </w:p>
        </w:tc>
        <w:tc>
          <w:tcPr>
            <w:tcW w:w="2835" w:type="dxa"/>
            <w:vAlign w:val="center"/>
          </w:tcPr>
          <w:p>
            <w:pPr>
              <w:pStyle w:val="10"/>
            </w:pPr>
            <w:r>
              <w:t>其中：财政    资金</w:t>
            </w:r>
          </w:p>
        </w:tc>
        <w:tc>
          <w:tcPr>
            <w:tcW w:w="2551" w:type="dxa"/>
            <w:vAlign w:val="center"/>
          </w:tcPr>
          <w:p>
            <w:pPr>
              <w:pStyle w:val="12"/>
            </w:pPr>
            <w:r>
              <w:t>2.35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关于提前下达2025年中央耕地建设与利用资金的通知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1.保护耕地地力，保护农民种粮积极性，按时完成补贴发放工作。厉行节俭，专款专用。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耕地地力保护面积</w:t>
            </w:r>
          </w:p>
        </w:tc>
        <w:tc>
          <w:tcPr>
            <w:tcW w:w="5386" w:type="dxa"/>
            <w:vAlign w:val="center"/>
          </w:tcPr>
          <w:p>
            <w:pPr>
              <w:pStyle w:val="12"/>
            </w:pPr>
            <w:r>
              <w:t>耕地地力保护资金项目的补贴面积</w:t>
            </w:r>
          </w:p>
        </w:tc>
        <w:tc>
          <w:tcPr>
            <w:tcW w:w="2268" w:type="dxa"/>
            <w:vAlign w:val="center"/>
          </w:tcPr>
          <w:p>
            <w:pPr>
              <w:pStyle w:val="12"/>
            </w:pPr>
            <w:r>
              <w:t>≤5488.93亩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补贴标准</w:t>
            </w:r>
          </w:p>
        </w:tc>
        <w:tc>
          <w:tcPr>
            <w:tcW w:w="5386" w:type="dxa"/>
            <w:vAlign w:val="center"/>
          </w:tcPr>
          <w:p>
            <w:pPr>
              <w:pStyle w:val="12"/>
            </w:pPr>
            <w:r>
              <w:t>补贴标准</w:t>
            </w:r>
          </w:p>
        </w:tc>
        <w:tc>
          <w:tcPr>
            <w:tcW w:w="2268" w:type="dxa"/>
            <w:vAlign w:val="center"/>
          </w:tcPr>
          <w:p>
            <w:pPr>
              <w:pStyle w:val="12"/>
            </w:pPr>
            <w:r>
              <w:t>78.04元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耕地地力保护补贴发放时限</w:t>
            </w:r>
          </w:p>
        </w:tc>
        <w:tc>
          <w:tcPr>
            <w:tcW w:w="5386" w:type="dxa"/>
            <w:vAlign w:val="center"/>
          </w:tcPr>
          <w:p>
            <w:pPr>
              <w:pStyle w:val="12"/>
            </w:pPr>
            <w:r>
              <w:t>耕地地力保护补贴发放时限</w:t>
            </w:r>
          </w:p>
        </w:tc>
        <w:tc>
          <w:tcPr>
            <w:tcW w:w="2268" w:type="dxa"/>
            <w:vAlign w:val="center"/>
          </w:tcPr>
          <w:p>
            <w:pPr>
              <w:pStyle w:val="12"/>
            </w:pPr>
            <w:r>
              <w:t>2025年6月30前发放</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≤42.83万元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农户财产性收入</w:t>
            </w:r>
          </w:p>
        </w:tc>
        <w:tc>
          <w:tcPr>
            <w:tcW w:w="5386" w:type="dxa"/>
            <w:vAlign w:val="center"/>
          </w:tcPr>
          <w:p>
            <w:pPr>
              <w:pStyle w:val="12"/>
            </w:pPr>
            <w:r>
              <w:t>提升农户财产性收入</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农户种植积极性</w:t>
            </w:r>
          </w:p>
        </w:tc>
        <w:tc>
          <w:tcPr>
            <w:tcW w:w="5386" w:type="dxa"/>
            <w:vAlign w:val="center"/>
          </w:tcPr>
          <w:p>
            <w:pPr>
              <w:pStyle w:val="12"/>
            </w:pPr>
            <w:r>
              <w:t>农户种植积极性有所提升</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提高耕地能力</w:t>
            </w:r>
          </w:p>
        </w:tc>
        <w:tc>
          <w:tcPr>
            <w:tcW w:w="5386" w:type="dxa"/>
            <w:vAlign w:val="center"/>
          </w:tcPr>
          <w:p>
            <w:pPr>
              <w:pStyle w:val="12"/>
            </w:pPr>
            <w:r>
              <w:t>提高耕地能力</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服务的改善</w:t>
            </w:r>
          </w:p>
        </w:tc>
        <w:tc>
          <w:tcPr>
            <w:tcW w:w="5386" w:type="dxa"/>
            <w:vAlign w:val="center"/>
          </w:tcPr>
          <w:p>
            <w:pPr>
              <w:pStyle w:val="12"/>
            </w:pPr>
            <w:r>
              <w:t>服务的改善与提升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享受耕地地力保护补贴的农民满意度</w:t>
            </w:r>
          </w:p>
        </w:tc>
        <w:tc>
          <w:tcPr>
            <w:tcW w:w="5386" w:type="dxa"/>
            <w:vAlign w:val="center"/>
          </w:tcPr>
          <w:p>
            <w:pPr>
              <w:pStyle w:val="12"/>
            </w:pPr>
            <w:r>
              <w:t>享受耕地地力保护补贴的农民满意度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20、关于提前下达2025年中央水库移民扶持基金预算的通知绩效目标表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13031325P00012C10236G</w:t>
            </w:r>
          </w:p>
        </w:tc>
        <w:tc>
          <w:tcPr>
            <w:tcW w:w="2835" w:type="dxa"/>
            <w:vAlign w:val="center"/>
          </w:tcPr>
          <w:p>
            <w:pPr>
              <w:pStyle w:val="10"/>
            </w:pPr>
            <w:r>
              <w:t>项目名称</w:t>
            </w:r>
          </w:p>
        </w:tc>
        <w:tc>
          <w:tcPr>
            <w:tcW w:w="6095" w:type="dxa"/>
            <w:gridSpan w:val="3"/>
            <w:vAlign w:val="center"/>
          </w:tcPr>
          <w:p>
            <w:pPr>
              <w:pStyle w:val="12"/>
            </w:pPr>
            <w:r>
              <w:t>关于提前下达2025年中央水库移民扶持基金预算的通知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0.24</w:t>
            </w:r>
          </w:p>
        </w:tc>
        <w:tc>
          <w:tcPr>
            <w:tcW w:w="2835" w:type="dxa"/>
            <w:vAlign w:val="center"/>
          </w:tcPr>
          <w:p>
            <w:pPr>
              <w:pStyle w:val="10"/>
            </w:pPr>
            <w:r>
              <w:t>其中：财政    资金</w:t>
            </w:r>
          </w:p>
        </w:tc>
        <w:tc>
          <w:tcPr>
            <w:tcW w:w="2551" w:type="dxa"/>
            <w:vAlign w:val="center"/>
          </w:tcPr>
          <w:p>
            <w:pPr>
              <w:pStyle w:val="12"/>
            </w:pPr>
            <w:r>
              <w:t>0.24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用于水库移民扶持基金。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1.提高水库移民户经济收入和生活质量，保障移民户的合法权益。厉行节俭，专款专用。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避险解困移民户数</w:t>
            </w:r>
          </w:p>
        </w:tc>
        <w:tc>
          <w:tcPr>
            <w:tcW w:w="5386" w:type="dxa"/>
            <w:vAlign w:val="center"/>
          </w:tcPr>
          <w:p>
            <w:pPr>
              <w:pStyle w:val="12"/>
            </w:pPr>
            <w:r>
              <w:t>避险解困移民户数</w:t>
            </w:r>
          </w:p>
        </w:tc>
        <w:tc>
          <w:tcPr>
            <w:tcW w:w="2268" w:type="dxa"/>
            <w:vAlign w:val="center"/>
          </w:tcPr>
          <w:p>
            <w:pPr>
              <w:pStyle w:val="12"/>
            </w:pPr>
            <w:r>
              <w:t>172户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截至当年底，项目资金完成率（%）</w:t>
            </w:r>
          </w:p>
        </w:tc>
        <w:tc>
          <w:tcPr>
            <w:tcW w:w="5386" w:type="dxa"/>
            <w:vAlign w:val="center"/>
          </w:tcPr>
          <w:p>
            <w:pPr>
              <w:pStyle w:val="12"/>
            </w:pPr>
            <w:r>
              <w:t>截至当年底，项目资金完成率（%）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≤17.58万元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增加移民人均可支配收入</w:t>
            </w:r>
          </w:p>
        </w:tc>
        <w:tc>
          <w:tcPr>
            <w:tcW w:w="5386" w:type="dxa"/>
            <w:vAlign w:val="center"/>
          </w:tcPr>
          <w:p>
            <w:pPr>
              <w:pStyle w:val="12"/>
            </w:pPr>
            <w:r>
              <w:t>增加移民人均可支配收入</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提升移民区公共服务水平</w:t>
            </w:r>
          </w:p>
        </w:tc>
        <w:tc>
          <w:tcPr>
            <w:tcW w:w="5386" w:type="dxa"/>
            <w:vAlign w:val="center"/>
          </w:tcPr>
          <w:p>
            <w:pPr>
              <w:pStyle w:val="12"/>
            </w:pPr>
            <w:r>
              <w:t>提升移民区公共服务水平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持续提升救助水平</w:t>
            </w:r>
          </w:p>
        </w:tc>
        <w:tc>
          <w:tcPr>
            <w:tcW w:w="5386" w:type="dxa"/>
            <w:vAlign w:val="center"/>
          </w:tcPr>
          <w:p>
            <w:pPr>
              <w:pStyle w:val="12"/>
            </w:pPr>
            <w:r>
              <w:t>持续提升救助水平</w:t>
            </w:r>
          </w:p>
        </w:tc>
        <w:tc>
          <w:tcPr>
            <w:tcW w:w="2268" w:type="dxa"/>
            <w:vAlign w:val="center"/>
          </w:tcPr>
          <w:p>
            <w:pPr>
              <w:pStyle w:val="12"/>
            </w:pPr>
            <w:r>
              <w:t>长期影响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移民对后期扶持政策实施满意度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21、关于提前下达2025年中央水库移民扶持基金预算的通知绩效目标表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13031325P00012C10242X</w:t>
            </w:r>
          </w:p>
        </w:tc>
        <w:tc>
          <w:tcPr>
            <w:tcW w:w="2835" w:type="dxa"/>
            <w:vAlign w:val="center"/>
          </w:tcPr>
          <w:p>
            <w:pPr>
              <w:pStyle w:val="10"/>
            </w:pPr>
            <w:r>
              <w:t>项目名称</w:t>
            </w:r>
          </w:p>
        </w:tc>
        <w:tc>
          <w:tcPr>
            <w:tcW w:w="6095" w:type="dxa"/>
            <w:gridSpan w:val="3"/>
            <w:vAlign w:val="center"/>
          </w:tcPr>
          <w:p>
            <w:pPr>
              <w:pStyle w:val="12"/>
            </w:pPr>
            <w:r>
              <w:t>关于提前下达2025年中央水库移民扶持基金预算的通知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用于水库移民扶持基金。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1.提高水库移民户经济收入和生活质量，保障移民户的合法权益。厉行节俭，专款专用。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避险解困移民人数</w:t>
            </w:r>
          </w:p>
        </w:tc>
        <w:tc>
          <w:tcPr>
            <w:tcW w:w="5386" w:type="dxa"/>
            <w:vAlign w:val="center"/>
          </w:tcPr>
          <w:p>
            <w:pPr>
              <w:pStyle w:val="12"/>
            </w:pPr>
            <w:r>
              <w:t>避险解困移民人数</w:t>
            </w:r>
          </w:p>
        </w:tc>
        <w:tc>
          <w:tcPr>
            <w:tcW w:w="2268" w:type="dxa"/>
            <w:vAlign w:val="center"/>
          </w:tcPr>
          <w:p>
            <w:pPr>
              <w:pStyle w:val="12"/>
            </w:pPr>
            <w:r>
              <w:t>293人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水库移民扶持基金准确发放</w:t>
            </w:r>
          </w:p>
        </w:tc>
        <w:tc>
          <w:tcPr>
            <w:tcW w:w="5386" w:type="dxa"/>
            <w:vAlign w:val="center"/>
          </w:tcPr>
          <w:p>
            <w:pPr>
              <w:pStyle w:val="12"/>
            </w:pPr>
            <w:r>
              <w:t>水库移民扶持基金准确发放</w:t>
            </w:r>
          </w:p>
        </w:tc>
        <w:tc>
          <w:tcPr>
            <w:tcW w:w="2268" w:type="dxa"/>
            <w:vAlign w:val="center"/>
          </w:tcPr>
          <w:p>
            <w:pPr>
              <w:pStyle w:val="12"/>
            </w:pPr>
            <w:r>
              <w:t>准确发放</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资金发放到位及时率</w:t>
            </w:r>
          </w:p>
        </w:tc>
        <w:tc>
          <w:tcPr>
            <w:tcW w:w="5386" w:type="dxa"/>
            <w:vAlign w:val="center"/>
          </w:tcPr>
          <w:p>
            <w:pPr>
              <w:pStyle w:val="12"/>
            </w:pPr>
            <w:r>
              <w:t>资金发放到位及时率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增加移民人均可支配收入</w:t>
            </w:r>
          </w:p>
        </w:tc>
        <w:tc>
          <w:tcPr>
            <w:tcW w:w="5386" w:type="dxa"/>
            <w:vAlign w:val="center"/>
          </w:tcPr>
          <w:p>
            <w:pPr>
              <w:pStyle w:val="12"/>
            </w:pPr>
            <w:r>
              <w:t>增加移民人均可支配收入</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提升移民区公共服务水平</w:t>
            </w:r>
          </w:p>
        </w:tc>
        <w:tc>
          <w:tcPr>
            <w:tcW w:w="5386" w:type="dxa"/>
            <w:vAlign w:val="center"/>
          </w:tcPr>
          <w:p>
            <w:pPr>
              <w:pStyle w:val="12"/>
            </w:pPr>
            <w:r>
              <w:t>提升移民区公共服务水平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持续提升救助水平</w:t>
            </w:r>
          </w:p>
        </w:tc>
        <w:tc>
          <w:tcPr>
            <w:tcW w:w="5386" w:type="dxa"/>
            <w:vAlign w:val="center"/>
          </w:tcPr>
          <w:p>
            <w:pPr>
              <w:pStyle w:val="12"/>
            </w:pPr>
            <w:r>
              <w:t>持续提升救助水平</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移民对后期扶持政策实施满意度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22、农村人居环境整治（农村环卫保洁、河道保洁）资金绩效目标表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13031326P00000610128Q</w:t>
            </w:r>
          </w:p>
        </w:tc>
        <w:tc>
          <w:tcPr>
            <w:tcW w:w="2835" w:type="dxa"/>
            <w:vAlign w:val="center"/>
          </w:tcPr>
          <w:p>
            <w:pPr>
              <w:pStyle w:val="10"/>
            </w:pPr>
            <w:r>
              <w:t>项目名称</w:t>
            </w:r>
          </w:p>
        </w:tc>
        <w:tc>
          <w:tcPr>
            <w:tcW w:w="6095" w:type="dxa"/>
            <w:gridSpan w:val="3"/>
            <w:vAlign w:val="center"/>
          </w:tcPr>
          <w:p>
            <w:pPr>
              <w:pStyle w:val="12"/>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172.00</w:t>
            </w:r>
          </w:p>
        </w:tc>
        <w:tc>
          <w:tcPr>
            <w:tcW w:w="2835" w:type="dxa"/>
            <w:vAlign w:val="center"/>
          </w:tcPr>
          <w:p>
            <w:pPr>
              <w:pStyle w:val="10"/>
            </w:pPr>
            <w:r>
              <w:t>其中：财政    资金</w:t>
            </w:r>
          </w:p>
        </w:tc>
        <w:tc>
          <w:tcPr>
            <w:tcW w:w="2551" w:type="dxa"/>
            <w:vAlign w:val="center"/>
          </w:tcPr>
          <w:p>
            <w:pPr>
              <w:pStyle w:val="12"/>
            </w:pPr>
            <w:r>
              <w:t>172.00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农村人居环境整治（农村环卫保洁、河道保洁）资金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1.进一步加强我辖区农村环境卫生管理，清洁河道卫生，切实改善人居环境。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河道数量</w:t>
            </w:r>
          </w:p>
        </w:tc>
        <w:tc>
          <w:tcPr>
            <w:tcW w:w="5386" w:type="dxa"/>
            <w:vAlign w:val="center"/>
          </w:tcPr>
          <w:p>
            <w:pPr>
              <w:pStyle w:val="12"/>
            </w:pPr>
            <w:r>
              <w:t>需要清洁的河道数量</w:t>
            </w:r>
          </w:p>
        </w:tc>
        <w:tc>
          <w:tcPr>
            <w:tcW w:w="2268" w:type="dxa"/>
            <w:vAlign w:val="center"/>
          </w:tcPr>
          <w:p>
            <w:pPr>
              <w:pStyle w:val="12"/>
            </w:pPr>
            <w:r>
              <w:t>3条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保洁员配备数</w:t>
            </w:r>
          </w:p>
        </w:tc>
        <w:tc>
          <w:tcPr>
            <w:tcW w:w="5386" w:type="dxa"/>
            <w:vAlign w:val="center"/>
          </w:tcPr>
          <w:p>
            <w:pPr>
              <w:pStyle w:val="12"/>
            </w:pPr>
            <w:r>
              <w:t>为清扫河道需要的保洁员人数</w:t>
            </w:r>
          </w:p>
        </w:tc>
        <w:tc>
          <w:tcPr>
            <w:tcW w:w="2268" w:type="dxa"/>
            <w:vAlign w:val="center"/>
          </w:tcPr>
          <w:p>
            <w:pPr>
              <w:pStyle w:val="12"/>
            </w:pPr>
            <w:r>
              <w:t>≥50人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运输设备数量</w:t>
            </w:r>
          </w:p>
        </w:tc>
        <w:tc>
          <w:tcPr>
            <w:tcW w:w="5386" w:type="dxa"/>
            <w:vAlign w:val="center"/>
          </w:tcPr>
          <w:p>
            <w:pPr>
              <w:pStyle w:val="12"/>
            </w:pPr>
            <w:r>
              <w:t>为农村河道保洁需要配备的运输设备</w:t>
            </w:r>
          </w:p>
        </w:tc>
        <w:tc>
          <w:tcPr>
            <w:tcW w:w="2268" w:type="dxa"/>
            <w:vAlign w:val="center"/>
          </w:tcPr>
          <w:p>
            <w:pPr>
              <w:pStyle w:val="12"/>
            </w:pPr>
            <w:r>
              <w:t>6量</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清扫面积</w:t>
            </w:r>
          </w:p>
        </w:tc>
        <w:tc>
          <w:tcPr>
            <w:tcW w:w="5386" w:type="dxa"/>
            <w:vAlign w:val="center"/>
          </w:tcPr>
          <w:p>
            <w:pPr>
              <w:pStyle w:val="12"/>
            </w:pPr>
            <w:r>
              <w:t>需清洁的河道范围，河道两岸各15米</w:t>
            </w:r>
          </w:p>
        </w:tc>
        <w:tc>
          <w:tcPr>
            <w:tcW w:w="2268" w:type="dxa"/>
            <w:vAlign w:val="center"/>
          </w:tcPr>
          <w:p>
            <w:pPr>
              <w:pStyle w:val="12"/>
            </w:pPr>
            <w:r>
              <w:t>15米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人员正常上岗比率</w:t>
            </w:r>
          </w:p>
        </w:tc>
        <w:tc>
          <w:tcPr>
            <w:tcW w:w="5386" w:type="dxa"/>
            <w:vAlign w:val="center"/>
          </w:tcPr>
          <w:p>
            <w:pPr>
              <w:pStyle w:val="12"/>
            </w:pPr>
            <w:r>
              <w:t>清洁河道，服务公司配备的人员正常上岗比率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反映保洁公司清扫服务合格率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反映保洁员清扫及时性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河道保洁项目支出</w:t>
            </w:r>
          </w:p>
        </w:tc>
        <w:tc>
          <w:tcPr>
            <w:tcW w:w="5386" w:type="dxa"/>
            <w:vAlign w:val="center"/>
          </w:tcPr>
          <w:p>
            <w:pPr>
              <w:pStyle w:val="12"/>
            </w:pPr>
            <w:r>
              <w:t>农村人居环境整治河道保洁项目资金支出</w:t>
            </w:r>
          </w:p>
        </w:tc>
        <w:tc>
          <w:tcPr>
            <w:tcW w:w="2268" w:type="dxa"/>
            <w:vAlign w:val="center"/>
          </w:tcPr>
          <w:p>
            <w:pPr>
              <w:pStyle w:val="12"/>
            </w:pPr>
            <w:r>
              <w:t>≤172万元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保持河道清洁</w:t>
            </w:r>
          </w:p>
        </w:tc>
        <w:tc>
          <w:tcPr>
            <w:tcW w:w="5386" w:type="dxa"/>
            <w:vAlign w:val="center"/>
          </w:tcPr>
          <w:p>
            <w:pPr>
              <w:pStyle w:val="12"/>
            </w:pPr>
            <w:r>
              <w:t>长效保持河道清洁，提升村民人居环境</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生态环境明显改善</w:t>
            </w:r>
          </w:p>
        </w:tc>
        <w:tc>
          <w:tcPr>
            <w:tcW w:w="5386" w:type="dxa"/>
            <w:vAlign w:val="center"/>
          </w:tcPr>
          <w:p>
            <w:pPr>
              <w:pStyle w:val="12"/>
            </w:pPr>
            <w:r>
              <w:t>保证河道无漂浮集物，改善水环境</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13031326P000006101442</w:t>
            </w:r>
          </w:p>
        </w:tc>
        <w:tc>
          <w:tcPr>
            <w:tcW w:w="2835" w:type="dxa"/>
            <w:vAlign w:val="center"/>
          </w:tcPr>
          <w:p>
            <w:pPr>
              <w:pStyle w:val="10"/>
            </w:pPr>
            <w:r>
              <w:t>项目名称</w:t>
            </w:r>
          </w:p>
        </w:tc>
        <w:tc>
          <w:tcPr>
            <w:tcW w:w="6095" w:type="dxa"/>
            <w:gridSpan w:val="3"/>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129.00</w:t>
            </w:r>
          </w:p>
        </w:tc>
        <w:tc>
          <w:tcPr>
            <w:tcW w:w="2835" w:type="dxa"/>
            <w:vAlign w:val="center"/>
          </w:tcPr>
          <w:p>
            <w:pPr>
              <w:pStyle w:val="10"/>
            </w:pPr>
            <w:r>
              <w:t>其中：财政    资金</w:t>
            </w:r>
          </w:p>
        </w:tc>
        <w:tc>
          <w:tcPr>
            <w:tcW w:w="2551" w:type="dxa"/>
            <w:vAlign w:val="center"/>
          </w:tcPr>
          <w:p>
            <w:pPr>
              <w:pStyle w:val="12"/>
            </w:pPr>
            <w:r>
              <w:t>129.00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其他村两委干部基本补贴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1.切实保障村干部的合法权益，促进村级组织稳定发展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涉及村数量</w:t>
            </w:r>
          </w:p>
        </w:tc>
        <w:tc>
          <w:tcPr>
            <w:tcW w:w="5386" w:type="dxa"/>
            <w:vAlign w:val="center"/>
          </w:tcPr>
          <w:p>
            <w:pPr>
              <w:pStyle w:val="12"/>
            </w:pPr>
            <w:r>
              <w:t>补助对象数量</w:t>
            </w:r>
          </w:p>
        </w:tc>
        <w:tc>
          <w:tcPr>
            <w:tcW w:w="2268" w:type="dxa"/>
            <w:vAlign w:val="center"/>
          </w:tcPr>
          <w:p>
            <w:pPr>
              <w:pStyle w:val="12"/>
            </w:pPr>
            <w:r>
              <w:t>13个/村</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支出资金合规性</w:t>
            </w:r>
          </w:p>
        </w:tc>
        <w:tc>
          <w:tcPr>
            <w:tcW w:w="5386" w:type="dxa"/>
            <w:vAlign w:val="center"/>
          </w:tcPr>
          <w:p>
            <w:pPr>
              <w:pStyle w:val="12"/>
            </w:pPr>
            <w:r>
              <w:t>严格执行相关法规、制度</w:t>
            </w:r>
          </w:p>
        </w:tc>
        <w:tc>
          <w:tcPr>
            <w:tcW w:w="2268" w:type="dxa"/>
            <w:vAlign w:val="center"/>
          </w:tcPr>
          <w:p>
            <w:pPr>
              <w:pStyle w:val="12"/>
            </w:pPr>
            <w:r>
              <w:t>有效提高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发放资金兑现及时性（%）</w:t>
            </w:r>
          </w:p>
        </w:tc>
        <w:tc>
          <w:tcPr>
            <w:tcW w:w="5386" w:type="dxa"/>
            <w:vAlign w:val="center"/>
          </w:tcPr>
          <w:p>
            <w:pPr>
              <w:pStyle w:val="12"/>
            </w:pPr>
            <w:r>
              <w:t>发放资金兑现及时性（%）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≤129万元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提升工作效率</w:t>
            </w:r>
          </w:p>
        </w:tc>
        <w:tc>
          <w:tcPr>
            <w:tcW w:w="5386" w:type="dxa"/>
            <w:vAlign w:val="center"/>
          </w:tcPr>
          <w:p>
            <w:pPr>
              <w:pStyle w:val="12"/>
            </w:pPr>
            <w:r>
              <w:t>提升工作效率</w:t>
            </w:r>
          </w:p>
        </w:tc>
        <w:tc>
          <w:tcPr>
            <w:tcW w:w="2268" w:type="dxa"/>
            <w:vAlign w:val="center"/>
          </w:tcPr>
          <w:p>
            <w:pPr>
              <w:pStyle w:val="12"/>
            </w:pPr>
            <w:r>
              <w:t>提升村民工作效率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提升村干部生活水平</w:t>
            </w:r>
          </w:p>
        </w:tc>
        <w:tc>
          <w:tcPr>
            <w:tcW w:w="5386" w:type="dxa"/>
            <w:vAlign w:val="center"/>
          </w:tcPr>
          <w:p>
            <w:pPr>
              <w:pStyle w:val="12"/>
            </w:pPr>
            <w:r>
              <w:t>保障人民利益的影响程度</w:t>
            </w:r>
          </w:p>
        </w:tc>
        <w:tc>
          <w:tcPr>
            <w:tcW w:w="2268" w:type="dxa"/>
            <w:vAlign w:val="center"/>
          </w:tcPr>
          <w:p>
            <w:pPr>
              <w:pStyle w:val="12"/>
            </w:pPr>
            <w:r>
              <w:t>提高人民利益</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长期保障村干部利益</w:t>
            </w:r>
          </w:p>
        </w:tc>
        <w:tc>
          <w:tcPr>
            <w:tcW w:w="5386" w:type="dxa"/>
            <w:vAlign w:val="center"/>
          </w:tcPr>
          <w:p>
            <w:pPr>
              <w:pStyle w:val="12"/>
            </w:pPr>
            <w:r>
              <w:t>村干部素质提高，强化日常学习和服务水平</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24、秦财教【2024】625号-提前下达2025年省级公共文化服务体系建设补助资金[一般项目]绩效目标表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13031325P00880111169N</w:t>
            </w:r>
          </w:p>
        </w:tc>
        <w:tc>
          <w:tcPr>
            <w:tcW w:w="2835" w:type="dxa"/>
            <w:vAlign w:val="center"/>
          </w:tcPr>
          <w:p>
            <w:pPr>
              <w:pStyle w:val="10"/>
            </w:pPr>
            <w:r>
              <w:t>项目名称</w:t>
            </w:r>
          </w:p>
        </w:tc>
        <w:tc>
          <w:tcPr>
            <w:tcW w:w="6095" w:type="dxa"/>
            <w:gridSpan w:val="3"/>
            <w:vAlign w:val="center"/>
          </w:tcPr>
          <w:p>
            <w:pPr>
              <w:pStyle w:val="12"/>
            </w:pPr>
            <w:r>
              <w:t>秦财教【2024】625号-提前下达2025年省级公共文化服务体系建设补助资金[一般项目]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0.53</w:t>
            </w:r>
          </w:p>
        </w:tc>
        <w:tc>
          <w:tcPr>
            <w:tcW w:w="2835" w:type="dxa"/>
            <w:vAlign w:val="center"/>
          </w:tcPr>
          <w:p>
            <w:pPr>
              <w:pStyle w:val="10"/>
            </w:pPr>
            <w:r>
              <w:t>其中：财政    资金</w:t>
            </w:r>
          </w:p>
        </w:tc>
        <w:tc>
          <w:tcPr>
            <w:tcW w:w="2551" w:type="dxa"/>
            <w:vAlign w:val="center"/>
          </w:tcPr>
          <w:p>
            <w:pPr>
              <w:pStyle w:val="12"/>
            </w:pPr>
            <w:r>
              <w:t>0.53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用于加强基层公共文化服务建设。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1.加强基层公共文化服务建设，保障广大群众基本文化权益。厉行节俭，专款专用。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5386" w:type="dxa"/>
            <w:vAlign w:val="center"/>
          </w:tcPr>
          <w:p>
            <w:pPr>
              <w:pStyle w:val="12"/>
            </w:pPr>
            <w:r>
              <w:t>公共文化服务设施覆盖率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5386" w:type="dxa"/>
            <w:vAlign w:val="center"/>
          </w:tcPr>
          <w:p>
            <w:pPr>
              <w:pStyle w:val="12"/>
            </w:pPr>
            <w:r>
              <w:t>群众文化活动参与率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文化活动按期完成率</w:t>
            </w:r>
          </w:p>
        </w:tc>
        <w:tc>
          <w:tcPr>
            <w:tcW w:w="5386" w:type="dxa"/>
            <w:vAlign w:val="center"/>
          </w:tcPr>
          <w:p>
            <w:pPr>
              <w:pStyle w:val="12"/>
            </w:pPr>
            <w:r>
              <w:t>文化活动按期完成率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文化服务活动预算控制数</w:t>
            </w:r>
          </w:p>
        </w:tc>
        <w:tc>
          <w:tcPr>
            <w:tcW w:w="5386" w:type="dxa"/>
            <w:vAlign w:val="center"/>
          </w:tcPr>
          <w:p>
            <w:pPr>
              <w:pStyle w:val="12"/>
            </w:pPr>
            <w:r>
              <w:t>文化服务活动预算控制数</w:t>
            </w:r>
          </w:p>
        </w:tc>
        <w:tc>
          <w:tcPr>
            <w:tcW w:w="2268" w:type="dxa"/>
            <w:vAlign w:val="center"/>
          </w:tcPr>
          <w:p>
            <w:pPr>
              <w:pStyle w:val="12"/>
            </w:pPr>
            <w:r>
              <w:t>≤0.53万元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提升村内经济效益</w:t>
            </w:r>
          </w:p>
        </w:tc>
        <w:tc>
          <w:tcPr>
            <w:tcW w:w="5386" w:type="dxa"/>
            <w:vAlign w:val="center"/>
          </w:tcPr>
          <w:p>
            <w:pPr>
              <w:pStyle w:val="12"/>
            </w:pPr>
            <w:r>
              <w:t>通过开展公共文化服务建设，提升村内经济效益</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对中华传统优秀文化的认知率</w:t>
            </w:r>
          </w:p>
        </w:tc>
        <w:tc>
          <w:tcPr>
            <w:tcW w:w="5386" w:type="dxa"/>
            <w:vAlign w:val="center"/>
          </w:tcPr>
          <w:p>
            <w:pPr>
              <w:pStyle w:val="12"/>
            </w:pPr>
            <w:r>
              <w:t>对中华传统优秀文化的认知有所提高</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传承中华民族传统文化</w:t>
            </w:r>
          </w:p>
        </w:tc>
        <w:tc>
          <w:tcPr>
            <w:tcW w:w="5386" w:type="dxa"/>
            <w:vAlign w:val="center"/>
          </w:tcPr>
          <w:p>
            <w:pPr>
              <w:pStyle w:val="12"/>
            </w:pPr>
            <w:r>
              <w:t>传承中华民族传统文化</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25、秦财教【2025】518号提前下达2026年中央支持地方公共文化服务体系建设补助资金绩效目标表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13031326P00000610153A</w:t>
            </w:r>
          </w:p>
        </w:tc>
        <w:tc>
          <w:tcPr>
            <w:tcW w:w="2835" w:type="dxa"/>
            <w:vAlign w:val="center"/>
          </w:tcPr>
          <w:p>
            <w:pPr>
              <w:pStyle w:val="10"/>
            </w:pPr>
            <w:r>
              <w:t>项目名称</w:t>
            </w:r>
          </w:p>
        </w:tc>
        <w:tc>
          <w:tcPr>
            <w:tcW w:w="6095" w:type="dxa"/>
            <w:gridSpan w:val="3"/>
            <w:vAlign w:val="center"/>
          </w:tcPr>
          <w:p>
            <w:pPr>
              <w:pStyle w:val="12"/>
            </w:pPr>
            <w:r>
              <w:t>秦财教【2025】518号提前下达2026年中央支持地方公共文化服务体系建设补助资金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秦财教【2025】518号提前下达2026年中央支持地方公共文化服务体系建设补助资金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1.加强基层公共文化服务建设，保障广大群众基本文化权益。厉行节俭，专款专用。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公共文化服务设施覆盖率</w:t>
            </w:r>
          </w:p>
        </w:tc>
        <w:tc>
          <w:tcPr>
            <w:tcW w:w="5386" w:type="dxa"/>
            <w:vAlign w:val="center"/>
          </w:tcPr>
          <w:p>
            <w:pPr>
              <w:pStyle w:val="12"/>
            </w:pPr>
            <w:r>
              <w:t>公共文化服务设施覆盖率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5386" w:type="dxa"/>
            <w:vAlign w:val="center"/>
          </w:tcPr>
          <w:p>
            <w:pPr>
              <w:pStyle w:val="12"/>
            </w:pPr>
            <w:r>
              <w:t>群众文化活动参与率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文化活动按期完成率</w:t>
            </w:r>
          </w:p>
        </w:tc>
        <w:tc>
          <w:tcPr>
            <w:tcW w:w="5386" w:type="dxa"/>
            <w:vAlign w:val="center"/>
          </w:tcPr>
          <w:p>
            <w:pPr>
              <w:pStyle w:val="12"/>
            </w:pPr>
            <w:r>
              <w:t>文化活动按期完成率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文化服务活动预算控制数</w:t>
            </w:r>
          </w:p>
        </w:tc>
        <w:tc>
          <w:tcPr>
            <w:tcW w:w="5386" w:type="dxa"/>
            <w:vAlign w:val="center"/>
          </w:tcPr>
          <w:p>
            <w:pPr>
              <w:pStyle w:val="12"/>
            </w:pPr>
            <w:r>
              <w:t>文化服务活动预算控制数</w:t>
            </w:r>
          </w:p>
        </w:tc>
        <w:tc>
          <w:tcPr>
            <w:tcW w:w="2268" w:type="dxa"/>
            <w:vAlign w:val="center"/>
          </w:tcPr>
          <w:p>
            <w:pPr>
              <w:pStyle w:val="12"/>
            </w:pPr>
            <w:r>
              <w:t>≤3万元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提升村内经济效益</w:t>
            </w:r>
          </w:p>
        </w:tc>
        <w:tc>
          <w:tcPr>
            <w:tcW w:w="5386" w:type="dxa"/>
            <w:vAlign w:val="center"/>
          </w:tcPr>
          <w:p>
            <w:pPr>
              <w:pStyle w:val="12"/>
            </w:pPr>
            <w:r>
              <w:t>通过开展公共文化服务建设，提升村内经济效益</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对中华传统优秀文化的认知率</w:t>
            </w:r>
          </w:p>
        </w:tc>
        <w:tc>
          <w:tcPr>
            <w:tcW w:w="5386" w:type="dxa"/>
            <w:vAlign w:val="center"/>
          </w:tcPr>
          <w:p>
            <w:pPr>
              <w:pStyle w:val="12"/>
            </w:pPr>
            <w:r>
              <w:t>对中华传统优秀文化的认知有所提高</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传承中华民族传统文化</w:t>
            </w:r>
          </w:p>
        </w:tc>
        <w:tc>
          <w:tcPr>
            <w:tcW w:w="5386" w:type="dxa"/>
            <w:vAlign w:val="center"/>
          </w:tcPr>
          <w:p>
            <w:pPr>
              <w:pStyle w:val="12"/>
            </w:pPr>
            <w:r>
              <w:t>传承中华民族传统文化</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群众对国家基本公共文化服务满意度</w:t>
            </w:r>
          </w:p>
        </w:tc>
        <w:tc>
          <w:tcPr>
            <w:tcW w:w="5386" w:type="dxa"/>
            <w:vAlign w:val="center"/>
          </w:tcPr>
          <w:p>
            <w:pPr>
              <w:pStyle w:val="12"/>
            </w:pPr>
            <w:r>
              <w:t>群众对国家基本公共文化服务满意度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26、秦财教【2025】531号提前下达2026年省级基层三馆一站免费开放运行保障经费绩效目标表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13031326P000006101513</w:t>
            </w:r>
          </w:p>
        </w:tc>
        <w:tc>
          <w:tcPr>
            <w:tcW w:w="2835" w:type="dxa"/>
            <w:vAlign w:val="center"/>
          </w:tcPr>
          <w:p>
            <w:pPr>
              <w:pStyle w:val="10"/>
            </w:pPr>
            <w:r>
              <w:t>项目名称</w:t>
            </w:r>
          </w:p>
        </w:tc>
        <w:tc>
          <w:tcPr>
            <w:tcW w:w="6095" w:type="dxa"/>
            <w:gridSpan w:val="3"/>
            <w:vAlign w:val="center"/>
          </w:tcPr>
          <w:p>
            <w:pPr>
              <w:pStyle w:val="12"/>
            </w:pPr>
            <w:r>
              <w:t>秦财教【2025】531号提前下达2026年省级基层三馆一站免费开放运行保障经费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秦财教【2025】531号提前下达2026年省级基层三馆一站免费开放运行保障经费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1.实施公益文化服务，提升群众的道德水平和艺术修养，保障人民群众基本文化权益。厉行节俭，专款专用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文化馆、站数量</w:t>
            </w:r>
          </w:p>
        </w:tc>
        <w:tc>
          <w:tcPr>
            <w:tcW w:w="5386" w:type="dxa"/>
            <w:vAlign w:val="center"/>
          </w:tcPr>
          <w:p>
            <w:pPr>
              <w:pStyle w:val="12"/>
            </w:pPr>
            <w:r>
              <w:t>乡镇综合文化站个数</w:t>
            </w:r>
          </w:p>
        </w:tc>
        <w:tc>
          <w:tcPr>
            <w:tcW w:w="2268" w:type="dxa"/>
            <w:vAlign w:val="center"/>
          </w:tcPr>
          <w:p>
            <w:pPr>
              <w:pStyle w:val="12"/>
            </w:pPr>
            <w:r>
              <w:t>1个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群众文化活动参与率</w:t>
            </w:r>
          </w:p>
        </w:tc>
        <w:tc>
          <w:tcPr>
            <w:tcW w:w="5386" w:type="dxa"/>
            <w:vAlign w:val="center"/>
          </w:tcPr>
          <w:p>
            <w:pPr>
              <w:pStyle w:val="12"/>
            </w:pPr>
            <w:r>
              <w:t>群众文化活动参与率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≤0.5万元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满足人民日益增长的文化需求</w:t>
            </w:r>
          </w:p>
        </w:tc>
        <w:tc>
          <w:tcPr>
            <w:tcW w:w="5386" w:type="dxa"/>
            <w:vAlign w:val="center"/>
          </w:tcPr>
          <w:p>
            <w:pPr>
              <w:pStyle w:val="12"/>
            </w:pPr>
            <w:r>
              <w:t>满足人民日益增长的文化需求</w:t>
            </w:r>
          </w:p>
        </w:tc>
        <w:tc>
          <w:tcPr>
            <w:tcW w:w="2268" w:type="dxa"/>
            <w:vAlign w:val="center"/>
          </w:tcPr>
          <w:p>
            <w:pPr>
              <w:pStyle w:val="12"/>
            </w:pPr>
            <w:r>
              <w:t>效果显著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提升基本公共文化服务水平</w:t>
            </w:r>
          </w:p>
        </w:tc>
        <w:tc>
          <w:tcPr>
            <w:tcW w:w="5386" w:type="dxa"/>
            <w:vAlign w:val="center"/>
          </w:tcPr>
          <w:p>
            <w:pPr>
              <w:pStyle w:val="12"/>
            </w:pPr>
            <w:r>
              <w:t>提升基本公共文化服务水平</w:t>
            </w:r>
          </w:p>
        </w:tc>
        <w:tc>
          <w:tcPr>
            <w:tcW w:w="2268" w:type="dxa"/>
            <w:vAlign w:val="center"/>
          </w:tcPr>
          <w:p>
            <w:pPr>
              <w:pStyle w:val="12"/>
            </w:pPr>
            <w:r>
              <w:t>长期有效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带动其他消费项目增收情况</w:t>
            </w:r>
          </w:p>
        </w:tc>
        <w:tc>
          <w:tcPr>
            <w:tcW w:w="5386" w:type="dxa"/>
            <w:vAlign w:val="center"/>
          </w:tcPr>
          <w:p>
            <w:pPr>
              <w:pStyle w:val="12"/>
            </w:pPr>
            <w:r>
              <w:t>带动其他消费项目增收情况</w:t>
            </w:r>
          </w:p>
        </w:tc>
        <w:tc>
          <w:tcPr>
            <w:tcW w:w="2268" w:type="dxa"/>
            <w:vAlign w:val="center"/>
          </w:tcPr>
          <w:p>
            <w:pPr>
              <w:pStyle w:val="12"/>
            </w:pPr>
            <w:r>
              <w:t>增长</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27、人居环境整治提升项目资金绩效目标表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13031326P00001510036M</w:t>
            </w:r>
          </w:p>
        </w:tc>
        <w:tc>
          <w:tcPr>
            <w:tcW w:w="2835" w:type="dxa"/>
            <w:vAlign w:val="center"/>
          </w:tcPr>
          <w:p>
            <w:pPr>
              <w:pStyle w:val="10"/>
            </w:pPr>
            <w:r>
              <w:t>项目名称</w:t>
            </w:r>
          </w:p>
        </w:tc>
        <w:tc>
          <w:tcPr>
            <w:tcW w:w="6095" w:type="dxa"/>
            <w:gridSpan w:val="3"/>
            <w:vAlign w:val="center"/>
          </w:tcPr>
          <w:p>
            <w:pPr>
              <w:pStyle w:val="12"/>
            </w:pPr>
            <w:r>
              <w:t>人居环境整治提升项目资金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人居环境整治提升项目资金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1.系统推进、全域施治农村人居环境整治工作，推动农村面貌明显改善。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金庄村</w:t>
            </w:r>
          </w:p>
        </w:tc>
        <w:tc>
          <w:tcPr>
            <w:tcW w:w="2268" w:type="dxa"/>
            <w:vAlign w:val="center"/>
          </w:tcPr>
          <w:p>
            <w:pPr>
              <w:pStyle w:val="12"/>
            </w:pPr>
            <w:r>
              <w:t>1个</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路面硬化工程验收合格率</w:t>
            </w:r>
          </w:p>
        </w:tc>
        <w:tc>
          <w:tcPr>
            <w:tcW w:w="2268" w:type="dxa"/>
            <w:vAlign w:val="center"/>
          </w:tcPr>
          <w:p>
            <w:pPr>
              <w:pStyle w:val="12"/>
            </w:pPr>
            <w:r>
              <w:t>100%</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项目（工程）完成及时率</w:t>
            </w:r>
          </w:p>
        </w:tc>
        <w:tc>
          <w:tcPr>
            <w:tcW w:w="5386" w:type="dxa"/>
            <w:vAlign w:val="center"/>
          </w:tcPr>
          <w:p>
            <w:pPr>
              <w:pStyle w:val="12"/>
            </w:pPr>
            <w:r>
              <w:t>路面硬化工程完成及时率</w:t>
            </w:r>
          </w:p>
        </w:tc>
        <w:tc>
          <w:tcPr>
            <w:tcW w:w="2268" w:type="dxa"/>
            <w:vAlign w:val="center"/>
          </w:tcPr>
          <w:p>
            <w:pPr>
              <w:pStyle w:val="12"/>
            </w:pPr>
            <w:r>
              <w:t>100%</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≤50万元</w:t>
            </w:r>
          </w:p>
        </w:tc>
        <w:tc>
          <w:tcPr>
            <w:tcW w:w="1276" w:type="dxa"/>
            <w:vAlign w:val="center"/>
          </w:tcPr>
          <w:p>
            <w:pPr>
              <w:pStyle w:val="12"/>
            </w:pPr>
            <w:r>
              <w:t>目标计划值、2024年省级乡村振兴（农村人居环境整治）专项实施方案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提升交通运输能力</w:t>
            </w:r>
          </w:p>
        </w:tc>
        <w:tc>
          <w:tcPr>
            <w:tcW w:w="5386" w:type="dxa"/>
            <w:vAlign w:val="center"/>
          </w:tcPr>
          <w:p>
            <w:pPr>
              <w:pStyle w:val="12"/>
            </w:pPr>
            <w:r>
              <w:t>提升交通运输及道路通行能力</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方便群众出行</w:t>
            </w:r>
          </w:p>
        </w:tc>
        <w:tc>
          <w:tcPr>
            <w:tcW w:w="5386" w:type="dxa"/>
            <w:vAlign w:val="center"/>
          </w:tcPr>
          <w:p>
            <w:pPr>
              <w:pStyle w:val="12"/>
            </w:pPr>
            <w:r>
              <w:t>方便群众安全出行</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工程设计使用年限</w:t>
            </w:r>
          </w:p>
        </w:tc>
        <w:tc>
          <w:tcPr>
            <w:tcW w:w="5386" w:type="dxa"/>
            <w:vAlign w:val="center"/>
          </w:tcPr>
          <w:p>
            <w:pPr>
              <w:pStyle w:val="12"/>
            </w:pPr>
            <w:r>
              <w:t>工程设计使用年限</w:t>
            </w:r>
          </w:p>
        </w:tc>
        <w:tc>
          <w:tcPr>
            <w:tcW w:w="2268" w:type="dxa"/>
            <w:vAlign w:val="center"/>
          </w:tcPr>
          <w:p>
            <w:pPr>
              <w:pStyle w:val="12"/>
            </w:pPr>
            <w:r>
              <w:t>≥10年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调研结果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28、提前下达2026年边境地区转移支付预算（秦财预【2025】452号）-116乡道机场路至昌黄路段改造项目绩效目标表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13031326P000008101259</w:t>
            </w:r>
          </w:p>
        </w:tc>
        <w:tc>
          <w:tcPr>
            <w:tcW w:w="2835" w:type="dxa"/>
            <w:vAlign w:val="center"/>
          </w:tcPr>
          <w:p>
            <w:pPr>
              <w:pStyle w:val="10"/>
            </w:pPr>
            <w:r>
              <w:t>项目名称</w:t>
            </w:r>
          </w:p>
        </w:tc>
        <w:tc>
          <w:tcPr>
            <w:tcW w:w="6095" w:type="dxa"/>
            <w:gridSpan w:val="3"/>
            <w:vAlign w:val="center"/>
          </w:tcPr>
          <w:p>
            <w:pPr>
              <w:pStyle w:val="12"/>
            </w:pPr>
            <w:r>
              <w:t>提前下达2026年边境地区转移支付预算（秦财预【2025】452号）-116乡道机场路至昌黄路段改造项目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112.61</w:t>
            </w:r>
          </w:p>
        </w:tc>
        <w:tc>
          <w:tcPr>
            <w:tcW w:w="2835" w:type="dxa"/>
            <w:vAlign w:val="center"/>
          </w:tcPr>
          <w:p>
            <w:pPr>
              <w:pStyle w:val="10"/>
            </w:pPr>
            <w:r>
              <w:t>其中：财政    资金</w:t>
            </w:r>
          </w:p>
        </w:tc>
        <w:tc>
          <w:tcPr>
            <w:tcW w:w="2551" w:type="dxa"/>
            <w:vAlign w:val="center"/>
          </w:tcPr>
          <w:p>
            <w:pPr>
              <w:pStyle w:val="12"/>
            </w:pPr>
            <w:r>
              <w:t>112.61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提前下达2026年边境地区转移支付预算（秦财预【2025】452号）-116乡道机场路至昌黄路段改造项目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1.改善人居环境，提升城市形象，增强基础设施水平，转款专用，带动增收。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改造道路</w:t>
            </w:r>
          </w:p>
        </w:tc>
        <w:tc>
          <w:tcPr>
            <w:tcW w:w="5386" w:type="dxa"/>
            <w:vAlign w:val="center"/>
          </w:tcPr>
          <w:p>
            <w:pPr>
              <w:pStyle w:val="12"/>
            </w:pPr>
            <w:r>
              <w:t>改造道路</w:t>
            </w:r>
          </w:p>
        </w:tc>
        <w:tc>
          <w:tcPr>
            <w:tcW w:w="2268" w:type="dxa"/>
            <w:vAlign w:val="center"/>
          </w:tcPr>
          <w:p>
            <w:pPr>
              <w:pStyle w:val="12"/>
            </w:pPr>
            <w:r>
              <w:t>≤2段</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工期按期完成率</w:t>
            </w:r>
          </w:p>
        </w:tc>
        <w:tc>
          <w:tcPr>
            <w:tcW w:w="5386" w:type="dxa"/>
            <w:vAlign w:val="center"/>
          </w:tcPr>
          <w:p>
            <w:pPr>
              <w:pStyle w:val="12"/>
            </w:pPr>
            <w:r>
              <w:t>工期按期完成率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资金投入总额</w:t>
            </w:r>
          </w:p>
        </w:tc>
        <w:tc>
          <w:tcPr>
            <w:tcW w:w="5386" w:type="dxa"/>
            <w:vAlign w:val="center"/>
          </w:tcPr>
          <w:p>
            <w:pPr>
              <w:pStyle w:val="12"/>
            </w:pPr>
            <w:r>
              <w:t>资金投入总额</w:t>
            </w:r>
          </w:p>
        </w:tc>
        <w:tc>
          <w:tcPr>
            <w:tcW w:w="2268" w:type="dxa"/>
            <w:vAlign w:val="center"/>
          </w:tcPr>
          <w:p>
            <w:pPr>
              <w:pStyle w:val="12"/>
            </w:pPr>
            <w:r>
              <w:t>≤112.61万元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带动就业岗位数量</w:t>
            </w:r>
          </w:p>
        </w:tc>
        <w:tc>
          <w:tcPr>
            <w:tcW w:w="5386" w:type="dxa"/>
            <w:vAlign w:val="center"/>
          </w:tcPr>
          <w:p>
            <w:pPr>
              <w:pStyle w:val="12"/>
            </w:pPr>
            <w:r>
              <w:t>带动就业岗位数量</w:t>
            </w:r>
          </w:p>
        </w:tc>
        <w:tc>
          <w:tcPr>
            <w:tcW w:w="2268" w:type="dxa"/>
            <w:vAlign w:val="center"/>
          </w:tcPr>
          <w:p>
            <w:pPr>
              <w:pStyle w:val="12"/>
            </w:pPr>
            <w:r>
              <w:t>≥36人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解决受益人群出行问题</w:t>
            </w:r>
          </w:p>
        </w:tc>
        <w:tc>
          <w:tcPr>
            <w:tcW w:w="5386" w:type="dxa"/>
            <w:vAlign w:val="center"/>
          </w:tcPr>
          <w:p>
            <w:pPr>
              <w:pStyle w:val="12"/>
            </w:pPr>
            <w:r>
              <w:t>解决受益人群出行问题</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优化人居环境</w:t>
            </w:r>
          </w:p>
        </w:tc>
        <w:tc>
          <w:tcPr>
            <w:tcW w:w="5386" w:type="dxa"/>
            <w:vAlign w:val="center"/>
          </w:tcPr>
          <w:p>
            <w:pPr>
              <w:pStyle w:val="12"/>
            </w:pPr>
            <w:r>
              <w:t>改善人居环境</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保障出行安全，提供便利</w:t>
            </w:r>
          </w:p>
        </w:tc>
        <w:tc>
          <w:tcPr>
            <w:tcW w:w="5386" w:type="dxa"/>
            <w:vAlign w:val="center"/>
          </w:tcPr>
          <w:p>
            <w:pPr>
              <w:pStyle w:val="12"/>
            </w:pPr>
            <w:r>
              <w:t>保障出行安全，提供便利</w:t>
            </w:r>
          </w:p>
        </w:tc>
        <w:tc>
          <w:tcPr>
            <w:tcW w:w="2268" w:type="dxa"/>
            <w:vAlign w:val="center"/>
          </w:tcPr>
          <w:p>
            <w:pPr>
              <w:pStyle w:val="12"/>
            </w:pPr>
            <w:r>
              <w:t>有效提升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≥98%</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29、甜玉米退出企业破拆及清运资金绩效目标表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13031326P000015100352</w:t>
            </w:r>
          </w:p>
        </w:tc>
        <w:tc>
          <w:tcPr>
            <w:tcW w:w="2835" w:type="dxa"/>
            <w:vAlign w:val="center"/>
          </w:tcPr>
          <w:p>
            <w:pPr>
              <w:pStyle w:val="10"/>
            </w:pPr>
            <w:r>
              <w:t>项目名称</w:t>
            </w:r>
          </w:p>
        </w:tc>
        <w:tc>
          <w:tcPr>
            <w:tcW w:w="6095" w:type="dxa"/>
            <w:gridSpan w:val="3"/>
            <w:vAlign w:val="center"/>
          </w:tcPr>
          <w:p>
            <w:pPr>
              <w:pStyle w:val="12"/>
            </w:pPr>
            <w:r>
              <w:t>甜玉米退出企业破拆及清运资金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48.40</w:t>
            </w:r>
          </w:p>
        </w:tc>
        <w:tc>
          <w:tcPr>
            <w:tcW w:w="2835" w:type="dxa"/>
            <w:vAlign w:val="center"/>
          </w:tcPr>
          <w:p>
            <w:pPr>
              <w:pStyle w:val="10"/>
            </w:pPr>
            <w:r>
              <w:t>其中：财政    资金</w:t>
            </w:r>
          </w:p>
        </w:tc>
        <w:tc>
          <w:tcPr>
            <w:tcW w:w="2551" w:type="dxa"/>
            <w:vAlign w:val="center"/>
          </w:tcPr>
          <w:p>
            <w:pPr>
              <w:pStyle w:val="12"/>
            </w:pPr>
            <w:r>
              <w:t>48.40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甜玉米退出企业破拆及清运资金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1.对已征收完成的甜玉米企业厂址内现有建筑物和建筑垃圾的破拆和清运。严格按照有关规定使用资金，专款专用，厉行节约。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项目工程量清单完成率</w:t>
            </w:r>
          </w:p>
        </w:tc>
        <w:tc>
          <w:tcPr>
            <w:tcW w:w="5386" w:type="dxa"/>
            <w:vAlign w:val="center"/>
          </w:tcPr>
          <w:p>
            <w:pPr>
              <w:pStyle w:val="12"/>
            </w:pPr>
            <w:r>
              <w:t>项目工程量清单完成率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甜玉米拆破清运工程质量合格率</w:t>
            </w:r>
          </w:p>
        </w:tc>
        <w:tc>
          <w:tcPr>
            <w:tcW w:w="5386" w:type="dxa"/>
            <w:vAlign w:val="center"/>
          </w:tcPr>
          <w:p>
            <w:pPr>
              <w:pStyle w:val="12"/>
            </w:pPr>
            <w:r>
              <w:t>甜玉米拆破清运工程质量合格率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 xml:space="preserve"> 按照合同要求及时完成</w:t>
            </w:r>
          </w:p>
        </w:tc>
        <w:tc>
          <w:tcPr>
            <w:tcW w:w="5386" w:type="dxa"/>
            <w:vAlign w:val="center"/>
          </w:tcPr>
          <w:p>
            <w:pPr>
              <w:pStyle w:val="12"/>
            </w:pPr>
            <w:r>
              <w:t xml:space="preserve"> 按照合同要求及时完成</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项目实际支出控制在预算内</w:t>
            </w:r>
          </w:p>
        </w:tc>
        <w:tc>
          <w:tcPr>
            <w:tcW w:w="2268" w:type="dxa"/>
            <w:vAlign w:val="center"/>
          </w:tcPr>
          <w:p>
            <w:pPr>
              <w:pStyle w:val="12"/>
            </w:pPr>
            <w:r>
              <w:t>≤48.4万元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项目工程完成情况</w:t>
            </w:r>
          </w:p>
        </w:tc>
        <w:tc>
          <w:tcPr>
            <w:tcW w:w="5386" w:type="dxa"/>
            <w:vAlign w:val="center"/>
          </w:tcPr>
          <w:p>
            <w:pPr>
              <w:pStyle w:val="12"/>
            </w:pPr>
            <w:r>
              <w:t>项目工程完成情况</w:t>
            </w:r>
          </w:p>
        </w:tc>
        <w:tc>
          <w:tcPr>
            <w:tcW w:w="2268" w:type="dxa"/>
            <w:vAlign w:val="center"/>
          </w:tcPr>
          <w:p>
            <w:pPr>
              <w:pStyle w:val="12"/>
            </w:pPr>
            <w:r>
              <w:t>良好</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建设工程质量提高</w:t>
            </w:r>
          </w:p>
        </w:tc>
        <w:tc>
          <w:tcPr>
            <w:tcW w:w="5386" w:type="dxa"/>
            <w:vAlign w:val="center"/>
          </w:tcPr>
          <w:p>
            <w:pPr>
              <w:pStyle w:val="12"/>
            </w:pPr>
            <w:r>
              <w:t>建设工程质量提高</w:t>
            </w:r>
          </w:p>
        </w:tc>
        <w:tc>
          <w:tcPr>
            <w:tcW w:w="2268" w:type="dxa"/>
            <w:vAlign w:val="center"/>
          </w:tcPr>
          <w:p>
            <w:pPr>
              <w:pStyle w:val="12"/>
            </w:pPr>
            <w:r>
              <w:t>有效</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生态环境破坏率</w:t>
            </w:r>
          </w:p>
        </w:tc>
        <w:tc>
          <w:tcPr>
            <w:tcW w:w="5386" w:type="dxa"/>
            <w:vAlign w:val="center"/>
          </w:tcPr>
          <w:p>
            <w:pPr>
              <w:pStyle w:val="12"/>
            </w:pPr>
            <w:r>
              <w:t>对原有生态环境造成不利影响的程度</w:t>
            </w:r>
          </w:p>
        </w:tc>
        <w:tc>
          <w:tcPr>
            <w:tcW w:w="2268" w:type="dxa"/>
            <w:vAlign w:val="center"/>
          </w:tcPr>
          <w:p>
            <w:pPr>
              <w:pStyle w:val="12"/>
            </w:pPr>
            <w:r>
              <w:t>无破坏</w:t>
            </w:r>
          </w:p>
        </w:tc>
        <w:tc>
          <w:tcPr>
            <w:tcW w:w="1276" w:type="dxa"/>
            <w:vAlign w:val="center"/>
          </w:tcPr>
          <w:p>
            <w:pPr>
              <w:pStyle w:val="12"/>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13031326P00000610013H</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1.提高离任村干部基本生活水平，厉行节俭，专款专用。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保障离任村干基本生活</w:t>
            </w:r>
          </w:p>
        </w:tc>
        <w:tc>
          <w:tcPr>
            <w:tcW w:w="5386" w:type="dxa"/>
            <w:vAlign w:val="center"/>
          </w:tcPr>
          <w:p>
            <w:pPr>
              <w:pStyle w:val="12"/>
            </w:pPr>
            <w:r>
              <w:t>奖励、慰问人数</w:t>
            </w:r>
          </w:p>
        </w:tc>
        <w:tc>
          <w:tcPr>
            <w:tcW w:w="2268" w:type="dxa"/>
            <w:vAlign w:val="center"/>
          </w:tcPr>
          <w:p>
            <w:pPr>
              <w:pStyle w:val="12"/>
            </w:pPr>
            <w:r>
              <w:t>≤42人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补助人员合规率</w:t>
            </w:r>
          </w:p>
        </w:tc>
        <w:tc>
          <w:tcPr>
            <w:tcW w:w="5386" w:type="dxa"/>
            <w:vAlign w:val="center"/>
          </w:tcPr>
          <w:p>
            <w:pPr>
              <w:pStyle w:val="12"/>
            </w:pPr>
            <w:r>
              <w:t>补助人员合规率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指标下达及时支付率</w:t>
            </w:r>
          </w:p>
        </w:tc>
        <w:tc>
          <w:tcPr>
            <w:tcW w:w="5386" w:type="dxa"/>
            <w:vAlign w:val="center"/>
          </w:tcPr>
          <w:p>
            <w:pPr>
              <w:pStyle w:val="12"/>
            </w:pPr>
            <w:r>
              <w:t>及时支付情况</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≤14万元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服务质量提升度</w:t>
            </w:r>
          </w:p>
        </w:tc>
        <w:tc>
          <w:tcPr>
            <w:tcW w:w="5386" w:type="dxa"/>
            <w:vAlign w:val="center"/>
          </w:tcPr>
          <w:p>
            <w:pPr>
              <w:pStyle w:val="12"/>
            </w:pPr>
            <w:r>
              <w:t>工作支持率</w:t>
            </w:r>
          </w:p>
        </w:tc>
        <w:tc>
          <w:tcPr>
            <w:tcW w:w="2268" w:type="dxa"/>
            <w:vAlign w:val="center"/>
          </w:tcPr>
          <w:p>
            <w:pPr>
              <w:pStyle w:val="12"/>
            </w:pPr>
            <w:r>
              <w:t>有效提升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长期使用</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离任村干部补贴人员满意度</w:t>
            </w:r>
          </w:p>
        </w:tc>
        <w:tc>
          <w:tcPr>
            <w:tcW w:w="5386" w:type="dxa"/>
            <w:vAlign w:val="center"/>
          </w:tcPr>
          <w:p>
            <w:pPr>
              <w:pStyle w:val="12"/>
            </w:pPr>
            <w:r>
              <w:t>抽查离任干部人员补贴满意度</w:t>
            </w:r>
          </w:p>
        </w:tc>
        <w:tc>
          <w:tcPr>
            <w:tcW w:w="2268" w:type="dxa"/>
            <w:vAlign w:val="center"/>
          </w:tcPr>
          <w:p>
            <w:pPr>
              <w:pStyle w:val="12"/>
            </w:pPr>
            <w:r>
              <w:t>满意度</w:t>
            </w:r>
          </w:p>
        </w:tc>
        <w:tc>
          <w:tcPr>
            <w:tcW w:w="1276" w:type="dxa"/>
            <w:vAlign w:val="center"/>
          </w:tcPr>
          <w:p>
            <w:pPr>
              <w:pStyle w:val="12"/>
            </w:pPr>
            <w:r>
              <w:t>目标计划值</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337001秦皇岛北戴河新区大蒲河管理处本级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284.61</w:t>
            </w:r>
          </w:p>
        </w:tc>
        <w:tc>
          <w:tcPr>
            <w:tcW w:w="964" w:type="dxa"/>
            <w:vAlign w:val="center"/>
          </w:tcPr>
          <w:p>
            <w:pPr>
              <w:pStyle w:val="15"/>
            </w:pPr>
            <w:r>
              <w:t>284.61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秦皇岛北戴河新区大蒲河管理处本级小计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284.61</w:t>
            </w:r>
          </w:p>
        </w:tc>
        <w:tc>
          <w:tcPr>
            <w:tcW w:w="964" w:type="dxa"/>
            <w:vAlign w:val="center"/>
          </w:tcPr>
          <w:p>
            <w:pPr>
              <w:pStyle w:val="15"/>
            </w:pPr>
            <w:r>
              <w:t>284.61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农村人居环境整治（农村环卫保洁、河道保洁）资金</w:t>
            </w:r>
          </w:p>
        </w:tc>
        <w:tc>
          <w:tcPr>
            <w:tcW w:w="964" w:type="dxa"/>
            <w:vAlign w:val="center"/>
          </w:tcPr>
          <w:p>
            <w:pPr>
              <w:pStyle w:val="11"/>
            </w:pPr>
            <w:r>
              <w:t>172.00</w:t>
            </w:r>
          </w:p>
        </w:tc>
        <w:tc>
          <w:tcPr>
            <w:tcW w:w="1134" w:type="dxa"/>
            <w:vAlign w:val="center"/>
          </w:tcPr>
          <w:p>
            <w:pPr>
              <w:pStyle w:val="12"/>
            </w:pPr>
            <w:r>
              <w:t>清扫服务</w:t>
            </w:r>
          </w:p>
        </w:tc>
        <w:tc>
          <w:tcPr>
            <w:tcW w:w="1134" w:type="dxa"/>
            <w:vAlign w:val="center"/>
          </w:tcPr>
          <w:p>
            <w:pPr>
              <w:pStyle w:val="12"/>
            </w:pPr>
            <w:r>
              <w:t>C13050100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172.00</w:t>
            </w:r>
          </w:p>
        </w:tc>
        <w:tc>
          <w:tcPr>
            <w:tcW w:w="964" w:type="dxa"/>
            <w:vAlign w:val="center"/>
          </w:tcPr>
          <w:p>
            <w:pPr>
              <w:pStyle w:val="11"/>
            </w:pPr>
            <w:r>
              <w:t>172.00</w:t>
            </w:r>
          </w:p>
        </w:tc>
        <w:tc>
          <w:tcPr>
            <w:tcW w:w="964" w:type="dxa"/>
            <w:vAlign w:val="center"/>
          </w:tcPr>
          <w:p>
            <w:pPr>
              <w:pStyle w:val="11"/>
            </w:pPr>
            <w:r>
              <w:t>172.00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提前下达2026年边境地区转移支付预算（秦财预【2025】452号）-116乡道机场路至昌黄路段改造项目</w:t>
            </w:r>
          </w:p>
        </w:tc>
        <w:tc>
          <w:tcPr>
            <w:tcW w:w="964" w:type="dxa"/>
            <w:vAlign w:val="center"/>
          </w:tcPr>
          <w:p>
            <w:pPr>
              <w:pStyle w:val="11"/>
            </w:pPr>
            <w:r>
              <w:t>112.61</w:t>
            </w:r>
          </w:p>
        </w:tc>
        <w:tc>
          <w:tcPr>
            <w:tcW w:w="1134" w:type="dxa"/>
            <w:vAlign w:val="center"/>
          </w:tcPr>
          <w:p>
            <w:pPr>
              <w:pStyle w:val="12"/>
            </w:pPr>
            <w:r>
              <w:t>城市道路工程施工</w:t>
            </w:r>
          </w:p>
        </w:tc>
        <w:tc>
          <w:tcPr>
            <w:tcW w:w="1134" w:type="dxa"/>
            <w:vAlign w:val="center"/>
          </w:tcPr>
          <w:p>
            <w:pPr>
              <w:pStyle w:val="12"/>
            </w:pPr>
            <w:r>
              <w:t>B02050000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112.61</w:t>
            </w:r>
          </w:p>
        </w:tc>
        <w:tc>
          <w:tcPr>
            <w:tcW w:w="964" w:type="dxa"/>
            <w:vAlign w:val="center"/>
          </w:tcPr>
          <w:p>
            <w:pPr>
              <w:pStyle w:val="11"/>
            </w:pPr>
            <w:r>
              <w:t>112.61</w:t>
            </w:r>
          </w:p>
        </w:tc>
        <w:tc>
          <w:tcPr>
            <w:tcW w:w="964" w:type="dxa"/>
            <w:vAlign w:val="center"/>
          </w:tcPr>
          <w:p>
            <w:pPr>
              <w:pStyle w:val="11"/>
            </w:pPr>
            <w:r>
              <w:t>112.61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112.61</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rPr>
          <w:highlight w:val="none"/>
        </w:rPr>
      </w:pPr>
      <w:r>
        <w:rPr>
          <w:rFonts w:ascii="黑体" w:hAnsi="黑体" w:eastAsia="黑体" w:cs="黑体"/>
          <w:color w:val="000000"/>
          <w:sz w:val="32"/>
          <w:highlight w:val="none"/>
        </w:rPr>
        <w:t>七、国有资产信息</w:t>
      </w:r>
    </w:p>
    <w:p>
      <w:pPr>
        <w:spacing w:line="500" w:lineRule="exact"/>
        <w:ind w:firstLine="560"/>
        <w:rPr>
          <w:highlight w:val="none"/>
        </w:rPr>
      </w:pPr>
      <w:r>
        <w:rPr>
          <w:rFonts w:eastAsia="方正仿宋_GBK"/>
          <w:color w:val="000000"/>
          <w:sz w:val="28"/>
          <w:highlight w:val="none"/>
        </w:rPr>
        <w:t>秦皇岛北戴河新区大蒲河管理处本级上年末固定资产金额为</w:t>
      </w:r>
      <w:r>
        <w:rPr>
          <w:rFonts w:hint="eastAsia" w:eastAsia="方正仿宋_GBK"/>
          <w:color w:val="000000"/>
          <w:sz w:val="28"/>
          <w:highlight w:val="none"/>
          <w:lang w:val="en-US" w:eastAsia="zh-CN"/>
        </w:rPr>
        <w:t>119.91</w:t>
      </w:r>
      <w:r>
        <w:rPr>
          <w:rFonts w:eastAsia="方正仿宋_GBK"/>
          <w:color w:val="000000"/>
          <w:sz w:val="28"/>
          <w:highlight w:val="none"/>
        </w:rPr>
        <w:t>万元（详见下表）。本年度拟购置固定资产总额为0.00万元，已按要求列入政府采购预算，详见政府采购预算表。</w:t>
      </w:r>
    </w:p>
    <w:p>
      <w:pPr>
        <w:jc w:val="center"/>
        <w:rPr>
          <w:highlight w:val="none"/>
        </w:rPr>
      </w:pPr>
      <w:r>
        <w:rPr>
          <w:rFonts w:ascii="方正小标宋_GBK" w:hAnsi="方正小标宋_GBK" w:eastAsia="方正小标宋_GBK" w:cs="方正小标宋_GBK"/>
          <w:color w:val="000000"/>
          <w:sz w:val="36"/>
          <w:highlight w:val="none"/>
        </w:rPr>
        <w:t>单位固定资产占用情况表</w:t>
      </w:r>
      <w:bookmarkStart w:id="1" w:name="_GoBack"/>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rPr>
                <w:lang w:eastAsia="uk-UA"/>
              </w:rPr>
            </w:pPr>
            <w:r>
              <w:rPr>
                <w:lang w:eastAsia="uk-UA"/>
              </w:rPr>
              <w:t>337秦皇岛北戴河新区大蒲河管理处</w:t>
            </w:r>
          </w:p>
        </w:tc>
        <w:tc>
          <w:tcPr>
            <w:tcW w:w="9866" w:type="dxa"/>
            <w:gridSpan w:val="2"/>
            <w:tcBorders>
              <w:top w:val="single" w:color="FFFFFF" w:sz="6" w:space="0"/>
              <w:left w:val="single" w:color="FFFFFF" w:sz="6" w:space="0"/>
              <w:right w:val="single" w:color="FFFFFF" w:sz="6" w:space="0"/>
            </w:tcBorders>
            <w:vAlign w:val="center"/>
          </w:tcPr>
          <w:p>
            <w:pPr>
              <w:jc w:val="right"/>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截止时间：20</w:t>
            </w:r>
            <w:r>
              <w:rPr>
                <w:rFonts w:hint="eastAsia" w:ascii="方正小标宋_GBK" w:hAnsi="方正小标宋_GBK" w:eastAsia="方正小标宋_GBK" w:cs="方正小标宋_GBK"/>
                <w:sz w:val="24"/>
                <w:szCs w:val="24"/>
                <w:lang w:val="en-US" w:eastAsia="zh-CN" w:bidi="ar-SA"/>
              </w:rPr>
              <w:t>25</w:t>
            </w:r>
            <w:r>
              <w:rPr>
                <w:rFonts w:ascii="方正小标宋_GBK" w:hAnsi="方正小标宋_GBK" w:eastAsia="方正小标宋_GBK" w:cs="方正小标宋_GBK"/>
                <w:sz w:val="24"/>
                <w:szCs w:val="24"/>
                <w:lang w:val="en-US" w:eastAsia="uk-UA" w:bidi="ar-SA"/>
              </w:rP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4933" w:type="dxa"/>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4933" w:type="dxa"/>
            <w:vAlign w:val="center"/>
          </w:tcPr>
          <w:p>
            <w:pPr>
              <w:jc w:val="center"/>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pPr>
              <w:pStyle w:val="12"/>
              <w:jc w:val="center"/>
              <w:rPr>
                <w:lang w:eastAsia="uk-UA"/>
              </w:rPr>
            </w:pPr>
            <w:r>
              <w:rPr>
                <w:rFonts w:hint="eastAsia" w:ascii="Times New Roman" w:hAnsi="Times New Roman" w:eastAsia="方正仿宋_GBK" w:cs="Times New Roman"/>
                <w:b w:val="0"/>
                <w:color w:val="000000"/>
                <w:sz w:val="28"/>
                <w:lang w:eastAsia="uk-UA"/>
              </w:rPr>
              <w:t>资产总额</w:t>
            </w:r>
          </w:p>
        </w:tc>
        <w:tc>
          <w:tcPr>
            <w:tcW w:w="4933" w:type="dxa"/>
            <w:vAlign w:val="center"/>
          </w:tcPr>
          <w:p>
            <w:pPr>
              <w:jc w:val="center"/>
              <w:rPr>
                <w:rFonts w:hint="default" w:ascii="方正书宋_GBK" w:hAnsi="方正书宋_GBK" w:eastAsia="方正书宋_GBK" w:cs="方正书宋_GBK"/>
                <w:sz w:val="21"/>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255</w:t>
            </w:r>
          </w:p>
        </w:tc>
        <w:tc>
          <w:tcPr>
            <w:tcW w:w="4933" w:type="dxa"/>
            <w:vAlign w:val="center"/>
          </w:tcPr>
          <w:p>
            <w:pPr>
              <w:jc w:val="center"/>
              <w:rPr>
                <w:rFonts w:hint="default" w:ascii="方正书宋_GBK" w:hAnsi="方正书宋_GBK" w:eastAsia="方正书宋_GBK" w:cs="方正书宋_GBK"/>
                <w:sz w:val="21"/>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119.91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jc w:val="center"/>
              <w:rPr>
                <w:lang w:eastAsia="uk-UA"/>
              </w:rPr>
            </w:pPr>
            <w:r>
              <w:rPr>
                <w:rFonts w:hint="eastAsia" w:ascii="Times New Roman" w:hAnsi="Times New Roman" w:eastAsia="方正仿宋_GBK" w:cs="Times New Roman"/>
                <w:b w:val="0"/>
                <w:color w:val="000000"/>
                <w:sz w:val="28"/>
                <w:lang w:eastAsia="uk-UA"/>
              </w:rPr>
              <w:t>1、房屋</w:t>
            </w:r>
          </w:p>
        </w:tc>
        <w:tc>
          <w:tcPr>
            <w:tcW w:w="4933" w:type="dxa"/>
            <w:vAlign w:val="center"/>
          </w:tcPr>
          <w:p>
            <w:pPr>
              <w:jc w:val="center"/>
              <w:rPr>
                <w:rFonts w:ascii="方正书宋_GBK" w:hAnsi="方正书宋_GBK" w:eastAsia="方正书宋_GBK" w:cs="方正书宋_GBK"/>
                <w:sz w:val="21"/>
                <w:szCs w:val="24"/>
                <w:lang w:val="en-US" w:eastAsia="uk-UA" w:bidi="ar-SA"/>
              </w:rPr>
            </w:pPr>
            <w:r>
              <w:rPr>
                <w:rFonts w:hint="eastAsia" w:ascii="Times New Roman" w:hAnsi="Times New Roman" w:eastAsia="方正仿宋_GBK" w:cs="Times New Roman"/>
                <w:b w:val="0"/>
                <w:color w:val="000000"/>
                <w:sz w:val="28"/>
                <w:szCs w:val="24"/>
                <w:lang w:val="en-US" w:eastAsia="uk-UA" w:bidi="ar-SA"/>
              </w:rPr>
              <w:t>——</w:t>
            </w:r>
          </w:p>
        </w:tc>
        <w:tc>
          <w:tcPr>
            <w:tcW w:w="4933" w:type="dxa"/>
            <w:vAlign w:val="center"/>
          </w:tcPr>
          <w:p>
            <w:pPr>
              <w:jc w:val="center"/>
              <w:rPr>
                <w:rFonts w:hint="eastAsia" w:ascii="方正书宋_GBK" w:hAnsi="方正书宋_GBK" w:eastAsia="方正书宋_GBK" w:cs="方正书宋_GBK"/>
                <w:sz w:val="21"/>
                <w:szCs w:val="24"/>
                <w:lang w:val="en-US" w:eastAsia="zh-CN" w:bidi="ar-SA"/>
              </w:rPr>
            </w:pPr>
            <w:r>
              <w:rPr>
                <w:rFonts w:hint="eastAsia" w:ascii="Times New Roman" w:hAnsi="Times New Roman" w:eastAsia="方正仿宋_GBK" w:cs="Times New Roman"/>
                <w:b w:val="0"/>
                <w:color w:val="000000"/>
                <w:sz w:val="28"/>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jc w:val="center"/>
              <w:rPr>
                <w:lang w:eastAsia="uk-UA"/>
              </w:rPr>
            </w:pPr>
            <w:r>
              <w:rPr>
                <w:rFonts w:hint="eastAsia" w:ascii="Times New Roman" w:hAnsi="Times New Roman" w:eastAsia="方正仿宋_GBK" w:cs="Times New Roman"/>
                <w:b w:val="0"/>
                <w:color w:val="000000"/>
                <w:sz w:val="28"/>
                <w:lang w:eastAsia="uk-UA"/>
              </w:rPr>
              <w:t>2、车辆（台、辆）</w:t>
            </w:r>
          </w:p>
        </w:tc>
        <w:tc>
          <w:tcPr>
            <w:tcW w:w="4933" w:type="dxa"/>
            <w:vAlign w:val="center"/>
          </w:tcPr>
          <w:p>
            <w:pPr>
              <w:jc w:val="center"/>
              <w:rPr>
                <w:rFonts w:ascii="方正书宋_GBK" w:hAnsi="方正书宋_GBK" w:eastAsia="方正书宋_GBK" w:cs="方正书宋_GBK"/>
                <w:sz w:val="21"/>
                <w:szCs w:val="24"/>
                <w:lang w:val="en-US" w:eastAsia="uk-UA" w:bidi="ar-SA"/>
              </w:rPr>
            </w:pPr>
            <w:r>
              <w:rPr>
                <w:rFonts w:hint="eastAsia" w:ascii="Times New Roman" w:hAnsi="Times New Roman" w:eastAsia="方正仿宋_GBK" w:cs="Times New Roman"/>
                <w:b w:val="0"/>
                <w:color w:val="000000"/>
                <w:sz w:val="28"/>
                <w:szCs w:val="24"/>
                <w:lang w:val="en-US" w:eastAsia="uk-UA" w:bidi="ar-SA"/>
              </w:rPr>
              <w:t>——</w:t>
            </w:r>
          </w:p>
        </w:tc>
        <w:tc>
          <w:tcPr>
            <w:tcW w:w="4933" w:type="dxa"/>
            <w:vAlign w:val="center"/>
          </w:tcPr>
          <w:p>
            <w:pPr>
              <w:jc w:val="center"/>
              <w:rPr>
                <w:rFonts w:hint="eastAsia" w:ascii="方正书宋_GBK" w:hAnsi="方正书宋_GBK" w:eastAsia="方正书宋_GBK" w:cs="方正书宋_GBK"/>
                <w:sz w:val="21"/>
                <w:szCs w:val="24"/>
                <w:lang w:val="en-US" w:eastAsia="zh-CN" w:bidi="ar-SA"/>
              </w:rPr>
            </w:pPr>
            <w:r>
              <w:rPr>
                <w:rFonts w:hint="eastAsia" w:ascii="Times New Roman" w:hAnsi="Times New Roman" w:eastAsia="方正仿宋_GBK" w:cs="Times New Roman"/>
                <w:b w:val="0"/>
                <w:color w:val="000000"/>
                <w:sz w:val="28"/>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4933" w:type="dxa"/>
            <w:vAlign w:val="center"/>
          </w:tcPr>
          <w:p>
            <w:pPr>
              <w:pStyle w:val="12"/>
              <w:jc w:val="center"/>
              <w:rPr>
                <w:lang w:eastAsia="uk-UA"/>
              </w:rPr>
            </w:pPr>
            <w:r>
              <w:rPr>
                <w:rFonts w:hint="eastAsia" w:ascii="Times New Roman" w:hAnsi="Times New Roman" w:eastAsia="方正仿宋_GBK" w:cs="Times New Roman"/>
                <w:b w:val="0"/>
                <w:color w:val="000000"/>
                <w:sz w:val="28"/>
                <w:lang w:eastAsia="uk-UA"/>
              </w:rPr>
              <w:t>3、其他固定资产</w:t>
            </w:r>
          </w:p>
        </w:tc>
        <w:tc>
          <w:tcPr>
            <w:tcW w:w="4933" w:type="dxa"/>
            <w:vAlign w:val="center"/>
          </w:tcPr>
          <w:p>
            <w:pPr>
              <w:jc w:val="center"/>
              <w:rPr>
                <w:rFonts w:hint="default" w:ascii="方正书宋_GBK" w:hAnsi="方正书宋_GBK" w:eastAsia="方正书宋_GBK" w:cs="方正书宋_GBK"/>
                <w:sz w:val="21"/>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255</w:t>
            </w:r>
          </w:p>
        </w:tc>
        <w:tc>
          <w:tcPr>
            <w:tcW w:w="4933" w:type="dxa"/>
            <w:vAlign w:val="center"/>
          </w:tcPr>
          <w:p>
            <w:pPr>
              <w:jc w:val="center"/>
              <w:rPr>
                <w:rFonts w:hint="default" w:ascii="方正书宋_GBK" w:hAnsi="方正书宋_GBK" w:eastAsia="方正书宋_GBK" w:cs="方正书宋_GBK"/>
                <w:sz w:val="21"/>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119.91</w:t>
            </w:r>
          </w:p>
        </w:tc>
      </w:tr>
    </w:tbl>
    <w:p>
      <w:pPr>
        <w:rPr>
          <w:highlight w:val="none"/>
        </w:rPr>
      </w:pPr>
      <w:r>
        <w:rPr>
          <w:rFonts w:eastAsia="方正仿宋_GBK"/>
          <w:color w:val="000000"/>
          <w:sz w:val="32"/>
          <w:highlight w:val="none"/>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Microsoft YaHei UI"/>
    <w:panose1 w:val="00000000000000000000"/>
    <w:charset w:val="86"/>
    <w:family w:val="script"/>
    <w:pitch w:val="default"/>
    <w:sig w:usb0="00000000" w:usb1="00000000" w:usb2="0000001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方正书宋_GBK">
    <w:altName w:val="Microsoft YaHei UI"/>
    <w:panose1 w:val="00000000000000000000"/>
    <w:charset w:val="86"/>
    <w:family w:val="script"/>
    <w:pitch w:val="default"/>
    <w:sig w:usb0="00000000" w:usb1="00000000" w:usb2="00000010" w:usb3="00000000" w:csb0="00040000" w:csb1="00000000"/>
  </w:font>
  <w:font w:name="方正楷体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28925"/>
    <w:multiLevelType w:val="singleLevel"/>
    <w:tmpl w:val="98C2892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43"/>
    <w:rsid w:val="00034B6D"/>
    <w:rsid w:val="001B3E43"/>
    <w:rsid w:val="003060E4"/>
    <w:rsid w:val="00DF3B98"/>
    <w:rsid w:val="2A482E92"/>
    <w:rsid w:val="79026176"/>
    <w:rsid w:val="7F5F37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4">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4496</Words>
  <Characters>25633</Characters>
  <Lines>213</Lines>
  <Paragraphs>60</Paragraphs>
  <TotalTime>2</TotalTime>
  <ScaleCrop>false</ScaleCrop>
  <LinksUpToDate>false</LinksUpToDate>
  <CharactersWithSpaces>30069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2026-03-12T07:19:00Z</dcterms:created>
  <dc:creator>Administrator</dc:creator>
  <cp:lastModifiedBy>XQZW</cp:lastModifiedBy>
  <dcterms:modified xsi:type="dcterms:W3CDTF">2026-03-18T06:52:09Z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832EC5B8842846078C5ED8D889EC1E34</vt:lpwstr>
  </property>
</Properties>
</file>