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一、秦皇岛北戴河新区营商环境和企业服务局本级收支预算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一、秦皇岛北戴河新区营商环境和企业服务局本级收支预算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239.48</w:t>
            </w:r>
          </w:p>
        </w:tc>
        <w:tc>
          <w:tcPr>
            <w:tcW w:w="4535" w:type="dxa"/>
            <w:vAlign w:val="center"/>
          </w:tcPr>
          <w:p>
            <w:pPr>
              <w:pStyle w:val="12"/>
            </w:pPr>
            <w:r>
              <w:t>一、一般公共服务支出</w:t>
            </w:r>
          </w:p>
        </w:tc>
        <w:tc>
          <w:tcPr>
            <w:tcW w:w="2126" w:type="dxa"/>
            <w:vAlign w:val="center"/>
          </w:tcPr>
          <w:p>
            <w:pPr>
              <w:pStyle w:val="11"/>
            </w:pPr>
            <w:r>
              <w:t>188.04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1000.00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1239.48</w:t>
            </w:r>
          </w:p>
        </w:tc>
        <w:tc>
          <w:tcPr>
            <w:tcW w:w="4535" w:type="dxa"/>
            <w:vAlign w:val="center"/>
          </w:tcPr>
          <w:p>
            <w:pPr>
              <w:pStyle w:val="14"/>
            </w:pPr>
            <w:r>
              <w:t>本年支出合计</w:t>
            </w:r>
          </w:p>
        </w:tc>
        <w:tc>
          <w:tcPr>
            <w:tcW w:w="2126" w:type="dxa"/>
            <w:vAlign w:val="center"/>
          </w:tcPr>
          <w:p>
            <w:pPr>
              <w:pStyle w:val="15"/>
            </w:pPr>
            <w:r>
              <w:t>1239.48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1239.48</w:t>
            </w:r>
          </w:p>
        </w:tc>
        <w:tc>
          <w:tcPr>
            <w:tcW w:w="4535" w:type="dxa"/>
            <w:vAlign w:val="center"/>
          </w:tcPr>
          <w:p>
            <w:pPr>
              <w:pStyle w:val="14"/>
            </w:pPr>
            <w:r>
              <w:t>支出总计</w:t>
            </w:r>
          </w:p>
        </w:tc>
        <w:tc>
          <w:tcPr>
            <w:tcW w:w="2126" w:type="dxa"/>
            <w:vAlign w:val="center"/>
          </w:tcPr>
          <w:p>
            <w:pPr>
              <w:pStyle w:val="15"/>
            </w:pPr>
            <w:r>
              <w:t>1239.48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1239.48</w:t>
            </w:r>
          </w:p>
        </w:tc>
        <w:tc>
          <w:tcPr>
            <w:tcW w:w="1134" w:type="dxa"/>
            <w:vAlign w:val="center"/>
          </w:tcPr>
          <w:p>
            <w:pPr>
              <w:pStyle w:val="15"/>
            </w:pPr>
            <w:r>
              <w:t>1239.48</w:t>
            </w:r>
          </w:p>
        </w:tc>
        <w:tc>
          <w:tcPr>
            <w:tcW w:w="1134" w:type="dxa"/>
            <w:vAlign w:val="center"/>
          </w:tcPr>
          <w:p>
            <w:pPr>
              <w:pStyle w:val="15"/>
            </w:pPr>
            <w:r>
              <w:t>1239.48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188.04</w:t>
            </w:r>
          </w:p>
        </w:tc>
        <w:tc>
          <w:tcPr>
            <w:tcW w:w="1134" w:type="dxa"/>
            <w:vAlign w:val="center"/>
          </w:tcPr>
          <w:p>
            <w:pPr>
              <w:pStyle w:val="11"/>
            </w:pPr>
            <w:r>
              <w:t>188.04</w:t>
            </w:r>
          </w:p>
        </w:tc>
        <w:tc>
          <w:tcPr>
            <w:tcW w:w="1134" w:type="dxa"/>
            <w:vAlign w:val="center"/>
          </w:tcPr>
          <w:p>
            <w:pPr>
              <w:pStyle w:val="11"/>
            </w:pPr>
            <w:r>
              <w:t>188.04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188.04</w:t>
            </w:r>
          </w:p>
        </w:tc>
        <w:tc>
          <w:tcPr>
            <w:tcW w:w="1134" w:type="dxa"/>
            <w:vAlign w:val="center"/>
          </w:tcPr>
          <w:p>
            <w:pPr>
              <w:pStyle w:val="11"/>
            </w:pPr>
            <w:r>
              <w:t>188.04</w:t>
            </w:r>
          </w:p>
        </w:tc>
        <w:tc>
          <w:tcPr>
            <w:tcW w:w="1134" w:type="dxa"/>
            <w:vAlign w:val="center"/>
          </w:tcPr>
          <w:p>
            <w:pPr>
              <w:pStyle w:val="11"/>
            </w:pPr>
            <w:r>
              <w:t>188.04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188.04</w:t>
            </w:r>
          </w:p>
        </w:tc>
        <w:tc>
          <w:tcPr>
            <w:tcW w:w="1134" w:type="dxa"/>
            <w:vAlign w:val="center"/>
          </w:tcPr>
          <w:p>
            <w:pPr>
              <w:pStyle w:val="11"/>
            </w:pPr>
            <w:r>
              <w:t>188.04</w:t>
            </w:r>
          </w:p>
        </w:tc>
        <w:tc>
          <w:tcPr>
            <w:tcW w:w="1134" w:type="dxa"/>
            <w:vAlign w:val="center"/>
          </w:tcPr>
          <w:p>
            <w:pPr>
              <w:pStyle w:val="11"/>
            </w:pPr>
            <w:r>
              <w:t>188.04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r>
              <w:t>15.86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16.14</w:t>
            </w:r>
          </w:p>
        </w:tc>
        <w:tc>
          <w:tcPr>
            <w:tcW w:w="1134" w:type="dxa"/>
            <w:vAlign w:val="center"/>
          </w:tcPr>
          <w:p>
            <w:pPr>
              <w:pStyle w:val="11"/>
            </w:pPr>
            <w:r>
              <w:t>16.14</w:t>
            </w:r>
          </w:p>
        </w:tc>
        <w:tc>
          <w:tcPr>
            <w:tcW w:w="1134" w:type="dxa"/>
            <w:vAlign w:val="center"/>
          </w:tcPr>
          <w:p>
            <w:pPr>
              <w:pStyle w:val="11"/>
            </w:pPr>
            <w:r>
              <w:t>16.14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16.14</w:t>
            </w:r>
          </w:p>
        </w:tc>
        <w:tc>
          <w:tcPr>
            <w:tcW w:w="1134" w:type="dxa"/>
            <w:vAlign w:val="center"/>
          </w:tcPr>
          <w:p>
            <w:pPr>
              <w:pStyle w:val="11"/>
            </w:pPr>
            <w:r>
              <w:t>16.14</w:t>
            </w:r>
          </w:p>
        </w:tc>
        <w:tc>
          <w:tcPr>
            <w:tcW w:w="1134" w:type="dxa"/>
            <w:vAlign w:val="center"/>
          </w:tcPr>
          <w:p>
            <w:pPr>
              <w:pStyle w:val="11"/>
            </w:pPr>
            <w:r>
              <w:t>16.14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16.14</w:t>
            </w:r>
          </w:p>
        </w:tc>
        <w:tc>
          <w:tcPr>
            <w:tcW w:w="1134" w:type="dxa"/>
            <w:vAlign w:val="center"/>
          </w:tcPr>
          <w:p>
            <w:pPr>
              <w:pStyle w:val="11"/>
            </w:pPr>
            <w:r>
              <w:t>16.14</w:t>
            </w:r>
          </w:p>
        </w:tc>
        <w:tc>
          <w:tcPr>
            <w:tcW w:w="1134" w:type="dxa"/>
            <w:vAlign w:val="center"/>
          </w:tcPr>
          <w:p>
            <w:pPr>
              <w:pStyle w:val="11"/>
            </w:pPr>
            <w:r>
              <w:t>16.14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1239.48</w:t>
            </w:r>
          </w:p>
        </w:tc>
        <w:tc>
          <w:tcPr>
            <w:tcW w:w="1361" w:type="dxa"/>
            <w:vAlign w:val="center"/>
          </w:tcPr>
          <w:p>
            <w:pPr>
              <w:pStyle w:val="15"/>
            </w:pPr>
            <w:r>
              <w:t>209.48</w:t>
            </w:r>
          </w:p>
        </w:tc>
        <w:tc>
          <w:tcPr>
            <w:tcW w:w="1361" w:type="dxa"/>
            <w:vAlign w:val="center"/>
          </w:tcPr>
          <w:p>
            <w:pPr>
              <w:pStyle w:val="15"/>
            </w:pPr>
            <w:r>
              <w:t>1030.00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188.04</w:t>
            </w:r>
          </w:p>
        </w:tc>
        <w:tc>
          <w:tcPr>
            <w:tcW w:w="1361" w:type="dxa"/>
            <w:vAlign w:val="center"/>
          </w:tcPr>
          <w:p>
            <w:pPr>
              <w:pStyle w:val="11"/>
            </w:pPr>
            <w:r>
              <w:t>158.04</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188.04</w:t>
            </w:r>
          </w:p>
        </w:tc>
        <w:tc>
          <w:tcPr>
            <w:tcW w:w="1361" w:type="dxa"/>
            <w:vAlign w:val="center"/>
          </w:tcPr>
          <w:p>
            <w:pPr>
              <w:pStyle w:val="11"/>
            </w:pPr>
            <w:r>
              <w:t>158.04</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188.04</w:t>
            </w:r>
          </w:p>
        </w:tc>
        <w:tc>
          <w:tcPr>
            <w:tcW w:w="1361" w:type="dxa"/>
            <w:vAlign w:val="center"/>
          </w:tcPr>
          <w:p>
            <w:pPr>
              <w:pStyle w:val="11"/>
            </w:pPr>
            <w:r>
              <w:t>158.04</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19.44</w:t>
            </w:r>
          </w:p>
        </w:tc>
        <w:tc>
          <w:tcPr>
            <w:tcW w:w="1361" w:type="dxa"/>
            <w:vAlign w:val="center"/>
          </w:tcPr>
          <w:p>
            <w:pPr>
              <w:pStyle w:val="11"/>
            </w:pPr>
            <w:r>
              <w:t>19.44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19.44</w:t>
            </w:r>
          </w:p>
        </w:tc>
        <w:tc>
          <w:tcPr>
            <w:tcW w:w="1361" w:type="dxa"/>
            <w:vAlign w:val="center"/>
          </w:tcPr>
          <w:p>
            <w:pPr>
              <w:pStyle w:val="11"/>
            </w:pPr>
            <w:r>
              <w:t>19.44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19.44</w:t>
            </w:r>
          </w:p>
        </w:tc>
        <w:tc>
          <w:tcPr>
            <w:tcW w:w="1361" w:type="dxa"/>
            <w:vAlign w:val="center"/>
          </w:tcPr>
          <w:p>
            <w:pPr>
              <w:pStyle w:val="11"/>
            </w:pPr>
            <w:r>
              <w:t>19.44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15.86</w:t>
            </w:r>
          </w:p>
        </w:tc>
        <w:tc>
          <w:tcPr>
            <w:tcW w:w="1361" w:type="dxa"/>
            <w:vAlign w:val="center"/>
          </w:tcPr>
          <w:p>
            <w:pPr>
              <w:pStyle w:val="11"/>
            </w:pPr>
            <w:r>
              <w:t>15.86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15.86</w:t>
            </w:r>
          </w:p>
        </w:tc>
        <w:tc>
          <w:tcPr>
            <w:tcW w:w="1361" w:type="dxa"/>
            <w:vAlign w:val="center"/>
          </w:tcPr>
          <w:p>
            <w:pPr>
              <w:pStyle w:val="11"/>
            </w:pPr>
            <w:r>
              <w:t>15.86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15.86</w:t>
            </w:r>
          </w:p>
        </w:tc>
        <w:tc>
          <w:tcPr>
            <w:tcW w:w="1361" w:type="dxa"/>
            <w:vAlign w:val="center"/>
          </w:tcPr>
          <w:p>
            <w:pPr>
              <w:pStyle w:val="11"/>
            </w:pPr>
            <w:r>
              <w:t>15.86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16.14</w:t>
            </w:r>
          </w:p>
        </w:tc>
        <w:tc>
          <w:tcPr>
            <w:tcW w:w="1361" w:type="dxa"/>
            <w:vAlign w:val="center"/>
          </w:tcPr>
          <w:p>
            <w:pPr>
              <w:pStyle w:val="11"/>
            </w:pPr>
            <w:r>
              <w:t>16.14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16.14</w:t>
            </w:r>
          </w:p>
        </w:tc>
        <w:tc>
          <w:tcPr>
            <w:tcW w:w="1361" w:type="dxa"/>
            <w:vAlign w:val="center"/>
          </w:tcPr>
          <w:p>
            <w:pPr>
              <w:pStyle w:val="11"/>
            </w:pPr>
            <w:r>
              <w:t>16.14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16.14</w:t>
            </w:r>
          </w:p>
        </w:tc>
        <w:tc>
          <w:tcPr>
            <w:tcW w:w="1361" w:type="dxa"/>
            <w:vAlign w:val="center"/>
          </w:tcPr>
          <w:p>
            <w:pPr>
              <w:pStyle w:val="11"/>
            </w:pPr>
            <w:r>
              <w:t>16.14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239.48</w:t>
            </w:r>
          </w:p>
        </w:tc>
        <w:tc>
          <w:tcPr>
            <w:tcW w:w="3402" w:type="dxa"/>
            <w:vAlign w:val="center"/>
          </w:tcPr>
          <w:p>
            <w:pPr>
              <w:pStyle w:val="12"/>
            </w:pPr>
            <w:r>
              <w:t>一、一般公共服务支出</w:t>
            </w:r>
          </w:p>
        </w:tc>
        <w:tc>
          <w:tcPr>
            <w:tcW w:w="1474" w:type="dxa"/>
            <w:vAlign w:val="center"/>
          </w:tcPr>
          <w:p>
            <w:pPr>
              <w:pStyle w:val="11"/>
            </w:pPr>
            <w:r>
              <w:t>188.04</w:t>
            </w:r>
          </w:p>
        </w:tc>
        <w:tc>
          <w:tcPr>
            <w:tcW w:w="1474" w:type="dxa"/>
            <w:vAlign w:val="center"/>
          </w:tcPr>
          <w:p>
            <w:pPr>
              <w:pStyle w:val="11"/>
            </w:pPr>
            <w:r>
              <w:t>188.04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1000.00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19.44</w:t>
            </w:r>
          </w:p>
        </w:tc>
        <w:tc>
          <w:tcPr>
            <w:tcW w:w="1474" w:type="dxa"/>
            <w:vAlign w:val="center"/>
          </w:tcPr>
          <w:p>
            <w:pPr>
              <w:pStyle w:val="11"/>
            </w:pPr>
            <w:r>
              <w:t>19.44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15.86</w:t>
            </w:r>
          </w:p>
        </w:tc>
        <w:tc>
          <w:tcPr>
            <w:tcW w:w="1474" w:type="dxa"/>
            <w:vAlign w:val="center"/>
          </w:tcPr>
          <w:p>
            <w:pPr>
              <w:pStyle w:val="11"/>
            </w:pPr>
            <w:r>
              <w:t>15.86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1000.00</w:t>
            </w:r>
          </w:p>
        </w:tc>
        <w:tc>
          <w:tcPr>
            <w:tcW w:w="1474" w:type="dxa"/>
            <w:vAlign w:val="center"/>
          </w:tcPr>
          <w:p>
            <w:pPr>
              <w:pStyle w:val="11"/>
            </w:pPr>
          </w:p>
        </w:tc>
        <w:tc>
          <w:tcPr>
            <w:tcW w:w="1474" w:type="dxa"/>
            <w:vAlign w:val="center"/>
          </w:tcPr>
          <w:p>
            <w:pPr>
              <w:pStyle w:val="11"/>
            </w:pPr>
            <w:r>
              <w:t>1000.00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16.14</w:t>
            </w:r>
          </w:p>
        </w:tc>
        <w:tc>
          <w:tcPr>
            <w:tcW w:w="1474" w:type="dxa"/>
            <w:vAlign w:val="center"/>
          </w:tcPr>
          <w:p>
            <w:pPr>
              <w:pStyle w:val="11"/>
            </w:pPr>
            <w:r>
              <w:t>16.14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1239.48</w:t>
            </w:r>
          </w:p>
        </w:tc>
        <w:tc>
          <w:tcPr>
            <w:tcW w:w="3402" w:type="dxa"/>
            <w:vAlign w:val="center"/>
          </w:tcPr>
          <w:p>
            <w:pPr>
              <w:pStyle w:val="14"/>
            </w:pPr>
            <w:r>
              <w:t>本年支出合计</w:t>
            </w:r>
          </w:p>
        </w:tc>
        <w:tc>
          <w:tcPr>
            <w:tcW w:w="1474" w:type="dxa"/>
            <w:vAlign w:val="center"/>
          </w:tcPr>
          <w:p>
            <w:pPr>
              <w:pStyle w:val="15"/>
            </w:pPr>
            <w:r>
              <w:t>1239.48</w:t>
            </w:r>
          </w:p>
        </w:tc>
        <w:tc>
          <w:tcPr>
            <w:tcW w:w="1474" w:type="dxa"/>
            <w:vAlign w:val="center"/>
          </w:tcPr>
          <w:p>
            <w:pPr>
              <w:pStyle w:val="15"/>
            </w:pPr>
            <w:r>
              <w:t>239.48</w:t>
            </w:r>
          </w:p>
        </w:tc>
        <w:tc>
          <w:tcPr>
            <w:tcW w:w="1474" w:type="dxa"/>
            <w:vAlign w:val="center"/>
          </w:tcPr>
          <w:p>
            <w:pPr>
              <w:pStyle w:val="15"/>
            </w:pPr>
            <w:r>
              <w:t>1000.00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1239.48</w:t>
            </w:r>
          </w:p>
        </w:tc>
        <w:tc>
          <w:tcPr>
            <w:tcW w:w="3402" w:type="dxa"/>
            <w:vAlign w:val="center"/>
          </w:tcPr>
          <w:p>
            <w:pPr>
              <w:pStyle w:val="14"/>
            </w:pPr>
            <w:r>
              <w:t>支出总计</w:t>
            </w:r>
          </w:p>
        </w:tc>
        <w:tc>
          <w:tcPr>
            <w:tcW w:w="1474" w:type="dxa"/>
            <w:vAlign w:val="center"/>
          </w:tcPr>
          <w:p>
            <w:pPr>
              <w:pStyle w:val="15"/>
            </w:pPr>
            <w:r>
              <w:t>1239.48</w:t>
            </w:r>
          </w:p>
        </w:tc>
        <w:tc>
          <w:tcPr>
            <w:tcW w:w="1474" w:type="dxa"/>
            <w:vAlign w:val="center"/>
          </w:tcPr>
          <w:p>
            <w:pPr>
              <w:pStyle w:val="15"/>
            </w:pPr>
            <w:r>
              <w:t>239.48</w:t>
            </w:r>
          </w:p>
        </w:tc>
        <w:tc>
          <w:tcPr>
            <w:tcW w:w="1474" w:type="dxa"/>
            <w:vAlign w:val="center"/>
          </w:tcPr>
          <w:p>
            <w:pPr>
              <w:pStyle w:val="15"/>
            </w:pPr>
            <w:r>
              <w:t>1000.00</w:t>
            </w: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239.48</w:t>
            </w:r>
          </w:p>
        </w:tc>
        <w:tc>
          <w:tcPr>
            <w:tcW w:w="2551" w:type="dxa"/>
            <w:vAlign w:val="center"/>
          </w:tcPr>
          <w:p>
            <w:pPr>
              <w:pStyle w:val="15"/>
            </w:pPr>
            <w:r>
              <w:t>209.48</w:t>
            </w: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188.04</w:t>
            </w:r>
          </w:p>
        </w:tc>
        <w:tc>
          <w:tcPr>
            <w:tcW w:w="2551" w:type="dxa"/>
            <w:vAlign w:val="center"/>
          </w:tcPr>
          <w:p>
            <w:pPr>
              <w:pStyle w:val="11"/>
            </w:pPr>
            <w:r>
              <w:t>158.04</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188.04</w:t>
            </w:r>
          </w:p>
        </w:tc>
        <w:tc>
          <w:tcPr>
            <w:tcW w:w="2551" w:type="dxa"/>
            <w:vAlign w:val="center"/>
          </w:tcPr>
          <w:p>
            <w:pPr>
              <w:pStyle w:val="11"/>
            </w:pPr>
            <w:r>
              <w:t>158.04</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188.04</w:t>
            </w:r>
          </w:p>
        </w:tc>
        <w:tc>
          <w:tcPr>
            <w:tcW w:w="2551" w:type="dxa"/>
            <w:vAlign w:val="center"/>
          </w:tcPr>
          <w:p>
            <w:pPr>
              <w:pStyle w:val="11"/>
            </w:pPr>
            <w:r>
              <w:t>158.04</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19.44</w:t>
            </w:r>
          </w:p>
        </w:tc>
        <w:tc>
          <w:tcPr>
            <w:tcW w:w="2551" w:type="dxa"/>
            <w:vAlign w:val="center"/>
          </w:tcPr>
          <w:p>
            <w:pPr>
              <w:pStyle w:val="11"/>
            </w:pPr>
            <w:r>
              <w:t>19.44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19.44</w:t>
            </w:r>
          </w:p>
        </w:tc>
        <w:tc>
          <w:tcPr>
            <w:tcW w:w="2551" w:type="dxa"/>
            <w:vAlign w:val="center"/>
          </w:tcPr>
          <w:p>
            <w:pPr>
              <w:pStyle w:val="11"/>
            </w:pPr>
            <w:r>
              <w:t>19.44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19.44</w:t>
            </w:r>
          </w:p>
        </w:tc>
        <w:tc>
          <w:tcPr>
            <w:tcW w:w="2551" w:type="dxa"/>
            <w:vAlign w:val="center"/>
          </w:tcPr>
          <w:p>
            <w:pPr>
              <w:pStyle w:val="11"/>
            </w:pPr>
            <w:r>
              <w:t>19.44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15.86</w:t>
            </w:r>
          </w:p>
        </w:tc>
        <w:tc>
          <w:tcPr>
            <w:tcW w:w="2551" w:type="dxa"/>
            <w:vAlign w:val="center"/>
          </w:tcPr>
          <w:p>
            <w:pPr>
              <w:pStyle w:val="11"/>
            </w:pPr>
            <w:r>
              <w:t>15.86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15.86</w:t>
            </w:r>
          </w:p>
        </w:tc>
        <w:tc>
          <w:tcPr>
            <w:tcW w:w="2551" w:type="dxa"/>
            <w:vAlign w:val="center"/>
          </w:tcPr>
          <w:p>
            <w:pPr>
              <w:pStyle w:val="11"/>
            </w:pPr>
            <w:r>
              <w:t>15.86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15.86</w:t>
            </w:r>
          </w:p>
        </w:tc>
        <w:tc>
          <w:tcPr>
            <w:tcW w:w="2551" w:type="dxa"/>
            <w:vAlign w:val="center"/>
          </w:tcPr>
          <w:p>
            <w:pPr>
              <w:pStyle w:val="11"/>
            </w:pPr>
            <w:r>
              <w:t>15.86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16.14</w:t>
            </w:r>
          </w:p>
        </w:tc>
        <w:tc>
          <w:tcPr>
            <w:tcW w:w="2551" w:type="dxa"/>
            <w:vAlign w:val="center"/>
          </w:tcPr>
          <w:p>
            <w:pPr>
              <w:pStyle w:val="11"/>
            </w:pPr>
            <w:r>
              <w:t>16.14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16.14</w:t>
            </w:r>
          </w:p>
        </w:tc>
        <w:tc>
          <w:tcPr>
            <w:tcW w:w="2551" w:type="dxa"/>
            <w:vAlign w:val="center"/>
          </w:tcPr>
          <w:p>
            <w:pPr>
              <w:pStyle w:val="11"/>
            </w:pPr>
            <w:r>
              <w:t>16.14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16.14</w:t>
            </w:r>
          </w:p>
        </w:tc>
        <w:tc>
          <w:tcPr>
            <w:tcW w:w="2551" w:type="dxa"/>
            <w:vAlign w:val="center"/>
          </w:tcPr>
          <w:p>
            <w:pPr>
              <w:pStyle w:val="11"/>
            </w:pPr>
            <w:r>
              <w:t>16.14</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209.48</w:t>
            </w:r>
          </w:p>
        </w:tc>
        <w:tc>
          <w:tcPr>
            <w:tcW w:w="2551" w:type="dxa"/>
            <w:vAlign w:val="center"/>
          </w:tcPr>
          <w:p>
            <w:pPr>
              <w:pStyle w:val="15"/>
            </w:pPr>
            <w:r>
              <w:t>195.41</w:t>
            </w:r>
          </w:p>
        </w:tc>
        <w:tc>
          <w:tcPr>
            <w:tcW w:w="2551" w:type="dxa"/>
            <w:vAlign w:val="center"/>
          </w:tcPr>
          <w:p>
            <w:pPr>
              <w:pStyle w:val="15"/>
            </w:pPr>
            <w:r>
              <w:t>14.07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195.41</w:t>
            </w:r>
          </w:p>
        </w:tc>
        <w:tc>
          <w:tcPr>
            <w:tcW w:w="2551" w:type="dxa"/>
            <w:vAlign w:val="center"/>
          </w:tcPr>
          <w:p>
            <w:pPr>
              <w:pStyle w:val="11"/>
            </w:pPr>
            <w:r>
              <w:t>195.41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75.27</w:t>
            </w:r>
          </w:p>
        </w:tc>
        <w:tc>
          <w:tcPr>
            <w:tcW w:w="2551" w:type="dxa"/>
            <w:vAlign w:val="center"/>
          </w:tcPr>
          <w:p>
            <w:pPr>
              <w:pStyle w:val="11"/>
            </w:pPr>
            <w:r>
              <w:t>75.27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8.25</w:t>
            </w:r>
          </w:p>
        </w:tc>
        <w:tc>
          <w:tcPr>
            <w:tcW w:w="2551" w:type="dxa"/>
            <w:vAlign w:val="center"/>
          </w:tcPr>
          <w:p>
            <w:pPr>
              <w:pStyle w:val="11"/>
            </w:pPr>
            <w:r>
              <w:t>8.25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59.25</w:t>
            </w:r>
          </w:p>
        </w:tc>
        <w:tc>
          <w:tcPr>
            <w:tcW w:w="2551" w:type="dxa"/>
            <w:vAlign w:val="center"/>
          </w:tcPr>
          <w:p>
            <w:pPr>
              <w:pStyle w:val="11"/>
            </w:pPr>
            <w:r>
              <w:t>59.25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19.44</w:t>
            </w:r>
          </w:p>
        </w:tc>
        <w:tc>
          <w:tcPr>
            <w:tcW w:w="2551" w:type="dxa"/>
            <w:vAlign w:val="center"/>
          </w:tcPr>
          <w:p>
            <w:pPr>
              <w:pStyle w:val="11"/>
            </w:pPr>
            <w:r>
              <w:t>19.44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8.06</w:t>
            </w:r>
          </w:p>
        </w:tc>
        <w:tc>
          <w:tcPr>
            <w:tcW w:w="2551" w:type="dxa"/>
            <w:vAlign w:val="center"/>
          </w:tcPr>
          <w:p>
            <w:pPr>
              <w:pStyle w:val="11"/>
            </w:pPr>
            <w:r>
              <w:t>8.06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7.80</w:t>
            </w:r>
          </w:p>
        </w:tc>
        <w:tc>
          <w:tcPr>
            <w:tcW w:w="2551" w:type="dxa"/>
            <w:vAlign w:val="center"/>
          </w:tcPr>
          <w:p>
            <w:pPr>
              <w:pStyle w:val="11"/>
            </w:pPr>
            <w:r>
              <w:t>7.80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1.20</w:t>
            </w:r>
          </w:p>
        </w:tc>
        <w:tc>
          <w:tcPr>
            <w:tcW w:w="2551" w:type="dxa"/>
            <w:vAlign w:val="center"/>
          </w:tcPr>
          <w:p>
            <w:pPr>
              <w:pStyle w:val="11"/>
            </w:pPr>
            <w:r>
              <w:t>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16.14</w:t>
            </w:r>
          </w:p>
        </w:tc>
        <w:tc>
          <w:tcPr>
            <w:tcW w:w="2551" w:type="dxa"/>
            <w:vAlign w:val="center"/>
          </w:tcPr>
          <w:p>
            <w:pPr>
              <w:pStyle w:val="11"/>
            </w:pPr>
            <w:r>
              <w:t>16.14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13.55</w:t>
            </w:r>
          </w:p>
        </w:tc>
        <w:tc>
          <w:tcPr>
            <w:tcW w:w="2551" w:type="dxa"/>
            <w:vAlign w:val="center"/>
          </w:tcPr>
          <w:p>
            <w:pPr>
              <w:pStyle w:val="11"/>
            </w:pPr>
          </w:p>
        </w:tc>
        <w:tc>
          <w:tcPr>
            <w:tcW w:w="2551" w:type="dxa"/>
            <w:vAlign w:val="center"/>
          </w:tcPr>
          <w:p>
            <w:pPr>
              <w:pStyle w:val="11"/>
            </w:pPr>
            <w:r>
              <w:t>13.55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3.64</w:t>
            </w:r>
          </w:p>
        </w:tc>
        <w:tc>
          <w:tcPr>
            <w:tcW w:w="2551" w:type="dxa"/>
            <w:vAlign w:val="center"/>
          </w:tcPr>
          <w:p>
            <w:pPr>
              <w:pStyle w:val="11"/>
            </w:pPr>
          </w:p>
        </w:tc>
        <w:tc>
          <w:tcPr>
            <w:tcW w:w="2551" w:type="dxa"/>
            <w:vAlign w:val="center"/>
          </w:tcPr>
          <w:p>
            <w:pPr>
              <w:pStyle w:val="11"/>
            </w:pPr>
            <w:r>
              <w:t>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2.08</w:t>
            </w:r>
          </w:p>
        </w:tc>
        <w:tc>
          <w:tcPr>
            <w:tcW w:w="2551" w:type="dxa"/>
            <w:vAlign w:val="center"/>
          </w:tcPr>
          <w:p>
            <w:pPr>
              <w:pStyle w:val="11"/>
            </w:pPr>
          </w:p>
        </w:tc>
        <w:tc>
          <w:tcPr>
            <w:tcW w:w="2551" w:type="dxa"/>
            <w:vAlign w:val="center"/>
          </w:tcPr>
          <w:p>
            <w:pPr>
              <w:pStyle w:val="11"/>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1.36</w:t>
            </w:r>
          </w:p>
        </w:tc>
        <w:tc>
          <w:tcPr>
            <w:tcW w:w="2551" w:type="dxa"/>
            <w:vAlign w:val="center"/>
          </w:tcPr>
          <w:p>
            <w:pPr>
              <w:pStyle w:val="11"/>
            </w:pPr>
          </w:p>
        </w:tc>
        <w:tc>
          <w:tcPr>
            <w:tcW w:w="2551" w:type="dxa"/>
            <w:vAlign w:val="center"/>
          </w:tcPr>
          <w:p>
            <w:pPr>
              <w:pStyle w:val="11"/>
            </w:pPr>
            <w:r>
              <w:t>1.36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1000.00</w:t>
            </w:r>
          </w:p>
        </w:tc>
        <w:tc>
          <w:tcPr>
            <w:tcW w:w="2551" w:type="dxa"/>
            <w:vAlign w:val="center"/>
          </w:tcPr>
          <w:p>
            <w:pPr>
              <w:pStyle w:val="15"/>
            </w:pPr>
          </w:p>
        </w:tc>
        <w:tc>
          <w:tcPr>
            <w:tcW w:w="2551" w:type="dxa"/>
            <w:vAlign w:val="center"/>
          </w:tcPr>
          <w:p>
            <w:pPr>
              <w:pStyle w:val="15"/>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0.16</w:t>
            </w:r>
          </w:p>
        </w:tc>
        <w:tc>
          <w:tcPr>
            <w:tcW w:w="2381" w:type="dxa"/>
            <w:vAlign w:val="center"/>
          </w:tcPr>
          <w:p>
            <w:pPr>
              <w:pStyle w:val="15"/>
              <w:rPr>
                <w:rFonts w:hint="default" w:eastAsia="方正书宋_GBK"/>
                <w:lang w:val="en-US" w:eastAsia="zh-CN"/>
              </w:rPr>
            </w:pPr>
            <w:r>
              <w:rPr>
                <w:rFonts w:hint="eastAsia"/>
                <w:lang w:val="en-US" w:eastAsia="zh-CN"/>
              </w:rPr>
              <w:t>0.16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0.16</w:t>
            </w:r>
          </w:p>
        </w:tc>
        <w:tc>
          <w:tcPr>
            <w:tcW w:w="2381" w:type="dxa"/>
            <w:vAlign w:val="center"/>
          </w:tcPr>
          <w:p>
            <w:pPr>
              <w:pStyle w:val="11"/>
            </w:pPr>
            <w:r>
              <w:t>0.16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0.16</w:t>
            </w:r>
          </w:p>
        </w:tc>
        <w:tc>
          <w:tcPr>
            <w:tcW w:w="2381" w:type="dxa"/>
            <w:vAlign w:val="center"/>
          </w:tcPr>
          <w:p>
            <w:pPr>
              <w:pStyle w:val="11"/>
            </w:pPr>
            <w:r>
              <w:t>0.16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秦皇岛北戴河新区营商环境和企业服务局本级2026年单位预算信息公开情况说明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按照《中华人民共和国预算法》、《地方预决算公开操作规程》和《关于进一步推进预算公开工作的实施意见》规定，现将秦皇岛北戴河新区营商环境和企业服务局本级2026年单位预算公开如下：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根据《秦皇岛北戴河新区营商环境和企业服务局职能配置、内设机构和人员编制规定》，秦皇岛北戴河新区营商环境和企业服务局的主要职责是：</w:t>
      </w:r>
    </w:p>
    <w:p>
      <w:pPr>
        <w:pStyle w:val="17"/>
      </w:pPr>
      <w:r>
        <w:t>秦皇岛北戴河新区营商环境和企业服务局（简称新区营商服务局）为新区党工委、管委会工作部门，新区营商服务局负责贯彻落实党中央和省市委、新区工委关于优化营商环境和企业服务工作的方针政策和决策部署，坚持和加强党对优化营商环境和企业服务工作的统一领导，主要职责如下：</w:t>
      </w:r>
    </w:p>
    <w:p>
      <w:pPr>
        <w:pStyle w:val="17"/>
      </w:pPr>
      <w:r>
        <w:t>（一）负责拟订和落实优化营商环境、强化企业服务的中长期规划、年度计划和政策措施。</w:t>
      </w:r>
    </w:p>
    <w:p>
      <w:pPr>
        <w:pStyle w:val="17"/>
      </w:pPr>
      <w:r>
        <w:t>（二）负责统筹推动、组织协调、监督指导优化营商环境日常工作。</w:t>
      </w:r>
    </w:p>
    <w:p>
      <w:pPr>
        <w:pStyle w:val="17"/>
      </w:pPr>
      <w:r>
        <w:t>（三）负责建立健全常态化政企沟通机制、经营主体诉求反馈机制并组织实施。</w:t>
      </w:r>
    </w:p>
    <w:p>
      <w:pPr>
        <w:pStyle w:val="17"/>
      </w:pPr>
      <w:r>
        <w:t>（四）负责建立健全营商环境考核体系并组织开展。</w:t>
      </w:r>
    </w:p>
    <w:p>
      <w:pPr>
        <w:pStyle w:val="17"/>
      </w:pPr>
      <w:r>
        <w:t>（五）负责受理、调查、转办、交办、督办损害营商环境行为的投诉举报等工作。</w:t>
      </w:r>
    </w:p>
    <w:p>
      <w:pPr>
        <w:pStyle w:val="17"/>
      </w:pPr>
      <w:r>
        <w:t>（六）负责建立健全重点产业项目服务机制，为项目审批、施工建设、竣工投产等阶段提供领办代办服务。</w:t>
      </w:r>
    </w:p>
    <w:p>
      <w:pPr>
        <w:pStyle w:val="17"/>
      </w:pPr>
      <w:r>
        <w:t>（七）负责协调解决重点产业项目建设过程中的问题和困难。</w:t>
      </w:r>
    </w:p>
    <w:p>
      <w:pPr>
        <w:pStyle w:val="17"/>
      </w:pPr>
      <w:r>
        <w:t>（八）负责重点产业项目信息平台和谋划储备项目库的搭建及运营管理工作。</w:t>
      </w:r>
    </w:p>
    <w:p>
      <w:pPr>
        <w:pStyle w:val="17"/>
      </w:pPr>
      <w:r>
        <w:t>（九）负责为企业提供政策咨询、知识产权、项目创建等服务。</w:t>
      </w:r>
    </w:p>
    <w:p>
      <w:pPr>
        <w:pStyle w:val="17"/>
      </w:pPr>
      <w:r>
        <w:t>（十）承办新区党工委、管委会交办的其他事项。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秦皇岛北戴河新区营商环境和企业服务局本级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1239.48万元，其中：一般公共预算收入239.48万元，基金预算收入1000.00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营商环境和企业服务局本级年度单位预算中支出预算的总体情况。2026年支出预算1239.48万元，其中基本支出209.48万元，包括人员经费195.41万元和日常公用经费14.07万元；项目支出1030.00万元，主要为产业新城开发建设运营资金1000万元和营商环境和企业服务工作经费30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1239.48万元，较2025年预算减少983.69万元，其中：基本支出增加21.31万元，主要为2026年新增事业编制人员1人，基本支出增加。项目支出减少1005.00万元，主要为产业新城开发建设运营资金和营商环境和企业服务工作经费年度预算减少，压缩预算，节约开支。。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bookmarkStart w:id="1" w:name="_GoBack"/>
      <w:r>
        <w:t>2026年，我单位机关运行经费共计安排14.07万元，主要用于日常维修、办公用房水电费、办公用房取暖费、办公用房物业管理费等日常运行支出。</w:t>
      </w:r>
    </w:p>
    <w:bookmarkEnd w:id="1"/>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0.16万元，其中因公出国（境）费0.00万元；公务用车购置及运维费0.00万元（其中：公务用车购置费为0.00万元，公务用车运维费0.00万元)；公务接待费0.16万元。与2025年相比减少0.00万元，增减变化的主要原因是2026年度和2025年度预算持平。</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1、营商环境和企业服务工作经费绩效目标表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13031326P000003100338</w:t>
            </w:r>
          </w:p>
        </w:tc>
        <w:tc>
          <w:tcPr>
            <w:tcW w:w="2835" w:type="dxa"/>
            <w:vAlign w:val="center"/>
          </w:tcPr>
          <w:p>
            <w:pPr>
              <w:pStyle w:val="10"/>
            </w:pPr>
            <w:r>
              <w:t>项目名称</w:t>
            </w:r>
          </w:p>
        </w:tc>
        <w:tc>
          <w:tcPr>
            <w:tcW w:w="6095" w:type="dxa"/>
            <w:gridSpan w:val="3"/>
            <w:vAlign w:val="center"/>
          </w:tcPr>
          <w:p>
            <w:pPr>
              <w:pStyle w:val="12"/>
            </w:pPr>
            <w:r>
              <w:t>营商环境和企业服务工作经费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做好招商引资、保障项目建设、优化营商环境等目标任务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1.做好招商引资、保障项目建设、优化营商环境等目标任务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系统安全运行天数</w:t>
            </w:r>
          </w:p>
        </w:tc>
        <w:tc>
          <w:tcPr>
            <w:tcW w:w="5386" w:type="dxa"/>
            <w:vAlign w:val="center"/>
          </w:tcPr>
          <w:p>
            <w:pPr>
              <w:pStyle w:val="12"/>
            </w:pPr>
            <w:r>
              <w:t>办公等设备正常运行，无故障的天数</w:t>
            </w:r>
          </w:p>
        </w:tc>
        <w:tc>
          <w:tcPr>
            <w:tcW w:w="2268" w:type="dxa"/>
            <w:vAlign w:val="center"/>
          </w:tcPr>
          <w:p>
            <w:pPr>
              <w:pStyle w:val="12"/>
            </w:pPr>
            <w:r>
              <w:t>≤365天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因系统故障影响不能办理业务的天数比率</w:t>
            </w:r>
          </w:p>
        </w:tc>
        <w:tc>
          <w:tcPr>
            <w:tcW w:w="2268" w:type="dxa"/>
            <w:vAlign w:val="center"/>
          </w:tcPr>
          <w:p>
            <w:pPr>
              <w:pStyle w:val="12"/>
            </w:pPr>
            <w:r>
              <w:t>≤1%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公文收发情况</w:t>
            </w:r>
          </w:p>
        </w:tc>
        <w:tc>
          <w:tcPr>
            <w:tcW w:w="5386" w:type="dxa"/>
            <w:vAlign w:val="center"/>
          </w:tcPr>
          <w:p>
            <w:pPr>
              <w:pStyle w:val="12"/>
            </w:pPr>
            <w:r>
              <w:t>反映部门接收公文比率</w:t>
            </w:r>
          </w:p>
        </w:tc>
        <w:tc>
          <w:tcPr>
            <w:tcW w:w="2268" w:type="dxa"/>
            <w:vAlign w:val="center"/>
          </w:tcPr>
          <w:p>
            <w:pPr>
              <w:pStyle w:val="12"/>
            </w:pPr>
            <w:r>
              <w:t>≥96%</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成本控制预算数</w:t>
            </w:r>
          </w:p>
        </w:tc>
        <w:tc>
          <w:tcPr>
            <w:tcW w:w="5386" w:type="dxa"/>
            <w:vAlign w:val="center"/>
          </w:tcPr>
          <w:p>
            <w:pPr>
              <w:pStyle w:val="12"/>
            </w:pPr>
            <w:r>
              <w:t>实际支出金额小于预算控制数</w:t>
            </w:r>
          </w:p>
        </w:tc>
        <w:tc>
          <w:tcPr>
            <w:tcW w:w="2268" w:type="dxa"/>
            <w:vAlign w:val="center"/>
          </w:tcPr>
          <w:p>
            <w:pPr>
              <w:pStyle w:val="12"/>
            </w:pPr>
            <w:r>
              <w:t>≤30万元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营商环境持续优化</w:t>
            </w:r>
          </w:p>
        </w:tc>
        <w:tc>
          <w:tcPr>
            <w:tcW w:w="5386" w:type="dxa"/>
            <w:vAlign w:val="center"/>
          </w:tcPr>
          <w:p>
            <w:pPr>
              <w:pStyle w:val="12"/>
            </w:pPr>
            <w:r>
              <w:t>营商环境逐年提升</w:t>
            </w:r>
          </w:p>
        </w:tc>
        <w:tc>
          <w:tcPr>
            <w:tcW w:w="2268" w:type="dxa"/>
            <w:vAlign w:val="center"/>
          </w:tcPr>
          <w:p>
            <w:pPr>
              <w:pStyle w:val="12"/>
            </w:pPr>
            <w:r>
              <w:t>显著提升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提升经济水平</w:t>
            </w:r>
          </w:p>
        </w:tc>
        <w:tc>
          <w:tcPr>
            <w:tcW w:w="5386" w:type="dxa"/>
            <w:vAlign w:val="center"/>
          </w:tcPr>
          <w:p>
            <w:pPr>
              <w:pStyle w:val="12"/>
            </w:pPr>
            <w:r>
              <w:t>通过招商引资，促进项目落地，带动经济水平</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提升人居环境</w:t>
            </w:r>
          </w:p>
        </w:tc>
        <w:tc>
          <w:tcPr>
            <w:tcW w:w="5386" w:type="dxa"/>
            <w:vAlign w:val="center"/>
          </w:tcPr>
          <w:p>
            <w:pPr>
              <w:pStyle w:val="12"/>
            </w:pPr>
            <w:r>
              <w:t>基础设施配套，人居环境得到提升</w:t>
            </w:r>
          </w:p>
        </w:tc>
        <w:tc>
          <w:tcPr>
            <w:tcW w:w="2268" w:type="dxa"/>
            <w:vAlign w:val="center"/>
          </w:tcPr>
          <w:p>
            <w:pPr>
              <w:pStyle w:val="12"/>
            </w:pPr>
            <w:r>
              <w:t>≥88%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提升工作效率和整体业务水平</w:t>
            </w:r>
          </w:p>
        </w:tc>
        <w:tc>
          <w:tcPr>
            <w:tcW w:w="5386" w:type="dxa"/>
            <w:vAlign w:val="center"/>
          </w:tcPr>
          <w:p>
            <w:pPr>
              <w:pStyle w:val="12"/>
            </w:pPr>
            <w:r>
              <w:t>不断提升干部职工整体业务水平，推动各项工作取得更好成绩</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综合满意度</w:t>
            </w:r>
          </w:p>
        </w:tc>
        <w:tc>
          <w:tcPr>
            <w:tcW w:w="5386" w:type="dxa"/>
            <w:vAlign w:val="center"/>
          </w:tcPr>
          <w:p>
            <w:pPr>
              <w:pStyle w:val="12"/>
            </w:pPr>
            <w:r>
              <w:t>被调查单位或群体对本单位工作的满意程度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2、产业新城开发建设运营资金绩效目标表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13031326P000013100220</w:t>
            </w:r>
          </w:p>
        </w:tc>
        <w:tc>
          <w:tcPr>
            <w:tcW w:w="2835" w:type="dxa"/>
            <w:vAlign w:val="center"/>
          </w:tcPr>
          <w:p>
            <w:pPr>
              <w:pStyle w:val="10"/>
            </w:pPr>
            <w:r>
              <w:t>项目名称</w:t>
            </w:r>
          </w:p>
        </w:tc>
        <w:tc>
          <w:tcPr>
            <w:tcW w:w="6095" w:type="dxa"/>
            <w:gridSpan w:val="3"/>
            <w:vAlign w:val="center"/>
          </w:tcPr>
          <w:p>
            <w:pPr>
              <w:pStyle w:val="12"/>
            </w:pPr>
            <w:r>
              <w:t>产业新城开发建设运营资金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由社会资本方负责开展基础设施建设、运营、维护，公共设施建设，土地整理投资，产业发展服务及其他咨询服务；</w:t>
            </w:r>
          </w:p>
          <w:p>
            <w:pPr>
              <w:pStyle w:val="12"/>
            </w:pPr>
            <w:r>
              <w:t>推进合作区域内规划编制调整、收储征用土地补偿、建设工程项目实施；</w:t>
            </w:r>
          </w:p>
          <w:p>
            <w:pPr>
              <w:pStyle w:val="12"/>
            </w:pPr>
            <w:r>
              <w:t>完善中心片区路网建设，水电暖等配套设施建设，环境改造提升，提升产业新城城市和产业形象。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1.改善生态环境，完善城市功能，提高人民幸福生活指数</w:t>
            </w:r>
          </w:p>
          <w:p>
            <w:pPr>
              <w:pStyle w:val="12"/>
            </w:pPr>
            <w:r>
              <w:t>2.完善城市公共基础设施配套，保障城市良好运转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固定投资额</w:t>
            </w:r>
          </w:p>
        </w:tc>
        <w:tc>
          <w:tcPr>
            <w:tcW w:w="5386" w:type="dxa"/>
            <w:vAlign w:val="center"/>
          </w:tcPr>
          <w:p>
            <w:pPr>
              <w:pStyle w:val="12"/>
            </w:pPr>
            <w:r>
              <w:t>基础设施项目投资额</w:t>
            </w:r>
          </w:p>
        </w:tc>
        <w:tc>
          <w:tcPr>
            <w:tcW w:w="2268" w:type="dxa"/>
            <w:vAlign w:val="center"/>
          </w:tcPr>
          <w:p>
            <w:pPr>
              <w:pStyle w:val="12"/>
            </w:pPr>
            <w:r>
              <w:t>≥1000万元</w:t>
            </w:r>
          </w:p>
        </w:tc>
        <w:tc>
          <w:tcPr>
            <w:tcW w:w="1276" w:type="dxa"/>
            <w:vAlign w:val="center"/>
          </w:tcPr>
          <w:p>
            <w:pPr>
              <w:pStyle w:val="12"/>
            </w:pPr>
            <w:r>
              <w:t>实际投资额</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道路、管网、绿化等基础设施与公建设施项目</w:t>
            </w:r>
          </w:p>
        </w:tc>
        <w:tc>
          <w:tcPr>
            <w:tcW w:w="2268" w:type="dxa"/>
            <w:vAlign w:val="center"/>
          </w:tcPr>
          <w:p>
            <w:pPr>
              <w:pStyle w:val="12"/>
            </w:pPr>
            <w:r>
              <w:t>≥2个</w:t>
            </w:r>
          </w:p>
        </w:tc>
        <w:tc>
          <w:tcPr>
            <w:tcW w:w="1276" w:type="dxa"/>
            <w:vAlign w:val="center"/>
          </w:tcPr>
          <w:p>
            <w:pPr>
              <w:pStyle w:val="12"/>
            </w:pPr>
          </w:p>
          <w:p>
            <w:pPr>
              <w:pStyle w:val="12"/>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公建设施服务人数</w:t>
            </w:r>
          </w:p>
        </w:tc>
        <w:tc>
          <w:tcPr>
            <w:tcW w:w="5386" w:type="dxa"/>
            <w:vAlign w:val="center"/>
          </w:tcPr>
          <w:p>
            <w:pPr>
              <w:pStyle w:val="12"/>
            </w:pPr>
            <w:r>
              <w:t>现有公共设施建筑服务群众人次</w:t>
            </w:r>
          </w:p>
        </w:tc>
        <w:tc>
          <w:tcPr>
            <w:tcW w:w="2268" w:type="dxa"/>
            <w:vAlign w:val="center"/>
          </w:tcPr>
          <w:p>
            <w:pPr>
              <w:pStyle w:val="12"/>
            </w:pPr>
            <w:r>
              <w:t>≥3000人次</w:t>
            </w:r>
          </w:p>
        </w:tc>
        <w:tc>
          <w:tcPr>
            <w:tcW w:w="1276" w:type="dxa"/>
            <w:vAlign w:val="center"/>
          </w:tcPr>
          <w:p>
            <w:pPr>
              <w:pStyle w:val="12"/>
            </w:pPr>
          </w:p>
          <w:p>
            <w:pPr>
              <w:pStyle w:val="12"/>
            </w:pPr>
            <w:r>
              <w:t>实际数量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项目建设完工率</w:t>
            </w:r>
          </w:p>
        </w:tc>
        <w:tc>
          <w:tcPr>
            <w:tcW w:w="5386" w:type="dxa"/>
            <w:vAlign w:val="center"/>
          </w:tcPr>
          <w:p>
            <w:pPr>
              <w:pStyle w:val="12"/>
            </w:pPr>
            <w:r>
              <w:t>开工项目完工比例</w:t>
            </w:r>
          </w:p>
        </w:tc>
        <w:tc>
          <w:tcPr>
            <w:tcW w:w="2268" w:type="dxa"/>
            <w:vAlign w:val="center"/>
          </w:tcPr>
          <w:p>
            <w:pPr>
              <w:pStyle w:val="12"/>
            </w:pPr>
            <w:r>
              <w:t>≥90百分比</w:t>
            </w:r>
          </w:p>
        </w:tc>
        <w:tc>
          <w:tcPr>
            <w:tcW w:w="1276" w:type="dxa"/>
            <w:vAlign w:val="center"/>
          </w:tcPr>
          <w:p>
            <w:pPr>
              <w:pStyle w:val="12"/>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项目建设合格率</w:t>
            </w:r>
          </w:p>
        </w:tc>
        <w:tc>
          <w:tcPr>
            <w:tcW w:w="5386" w:type="dxa"/>
            <w:vAlign w:val="center"/>
          </w:tcPr>
          <w:p>
            <w:pPr>
              <w:pStyle w:val="12"/>
            </w:pPr>
            <w:r>
              <w:t>项目建设质量合格比例</w:t>
            </w:r>
          </w:p>
        </w:tc>
        <w:tc>
          <w:tcPr>
            <w:tcW w:w="2268" w:type="dxa"/>
            <w:vAlign w:val="center"/>
          </w:tcPr>
          <w:p>
            <w:pPr>
              <w:pStyle w:val="12"/>
            </w:pPr>
            <w:r>
              <w:t>≥100百分比</w:t>
            </w:r>
          </w:p>
        </w:tc>
        <w:tc>
          <w:tcPr>
            <w:tcW w:w="1276" w:type="dxa"/>
            <w:vAlign w:val="center"/>
          </w:tcPr>
          <w:p>
            <w:pPr>
              <w:pStyle w:val="12"/>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域内新增税收</w:t>
            </w:r>
          </w:p>
        </w:tc>
        <w:tc>
          <w:tcPr>
            <w:tcW w:w="5386" w:type="dxa"/>
            <w:vAlign w:val="center"/>
          </w:tcPr>
          <w:p>
            <w:pPr>
              <w:pStyle w:val="12"/>
            </w:pPr>
            <w:r>
              <w:t>企业缴纳的税款</w:t>
            </w:r>
          </w:p>
        </w:tc>
        <w:tc>
          <w:tcPr>
            <w:tcW w:w="2268" w:type="dxa"/>
            <w:vAlign w:val="center"/>
          </w:tcPr>
          <w:p>
            <w:pPr>
              <w:pStyle w:val="12"/>
            </w:pPr>
            <w:r>
              <w:t>≥1000万元</w:t>
            </w:r>
          </w:p>
        </w:tc>
        <w:tc>
          <w:tcPr>
            <w:tcW w:w="1276" w:type="dxa"/>
            <w:vAlign w:val="center"/>
          </w:tcPr>
          <w:p>
            <w:pPr>
              <w:pStyle w:val="12"/>
            </w:pPr>
            <w:r>
              <w:t>税收收入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城市环境</w:t>
            </w:r>
          </w:p>
        </w:tc>
        <w:tc>
          <w:tcPr>
            <w:tcW w:w="5386" w:type="dxa"/>
            <w:vAlign w:val="center"/>
          </w:tcPr>
          <w:p>
            <w:pPr>
              <w:pStyle w:val="12"/>
            </w:pPr>
            <w:r>
              <w:t>道路绿化等环境提升数量</w:t>
            </w:r>
          </w:p>
        </w:tc>
        <w:tc>
          <w:tcPr>
            <w:tcW w:w="2268" w:type="dxa"/>
            <w:vAlign w:val="center"/>
          </w:tcPr>
          <w:p>
            <w:pPr>
              <w:pStyle w:val="12"/>
            </w:pPr>
            <w:r>
              <w:t>≥2000平米</w:t>
            </w:r>
          </w:p>
        </w:tc>
        <w:tc>
          <w:tcPr>
            <w:tcW w:w="1276" w:type="dxa"/>
            <w:vAlign w:val="center"/>
          </w:tcPr>
          <w:p>
            <w:pPr>
              <w:pStyle w:val="12"/>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≥95%</w:t>
            </w:r>
          </w:p>
        </w:tc>
        <w:tc>
          <w:tcPr>
            <w:tcW w:w="1276" w:type="dxa"/>
            <w:vAlign w:val="center"/>
          </w:tcPr>
          <w:p>
            <w:pPr>
              <w:pStyle w:val="12"/>
            </w:pPr>
            <w:r>
              <w:t>走访调查、电话咨询</w:t>
            </w:r>
          </w:p>
          <w:p>
            <w:pPr>
              <w:pStyle w:val="12"/>
            </w:pP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1.89</w:t>
            </w:r>
          </w:p>
        </w:tc>
        <w:tc>
          <w:tcPr>
            <w:tcW w:w="964" w:type="dxa"/>
            <w:vAlign w:val="center"/>
          </w:tcPr>
          <w:p>
            <w:pPr>
              <w:pStyle w:val="15"/>
            </w:pPr>
            <w:r>
              <w:t>1.89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秦皇岛北戴河新区营商环境和企业服务局本级小计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1.89</w:t>
            </w:r>
          </w:p>
        </w:tc>
        <w:tc>
          <w:tcPr>
            <w:tcW w:w="964" w:type="dxa"/>
            <w:vAlign w:val="center"/>
          </w:tcPr>
          <w:p>
            <w:pPr>
              <w:pStyle w:val="15"/>
            </w:pPr>
            <w:r>
              <w:t>1.89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7.31</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项</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6.76</w:t>
            </w:r>
          </w:p>
        </w:tc>
        <w:tc>
          <w:tcPr>
            <w:tcW w:w="1134" w:type="dxa"/>
            <w:vAlign w:val="center"/>
          </w:tcPr>
          <w:p>
            <w:pPr>
              <w:pStyle w:val="12"/>
            </w:pPr>
            <w:r>
              <w:t>其他输入输出设备</w:t>
            </w:r>
          </w:p>
        </w:tc>
        <w:tc>
          <w:tcPr>
            <w:tcW w:w="1134" w:type="dxa"/>
            <w:vAlign w:val="center"/>
          </w:tcPr>
          <w:p>
            <w:pPr>
              <w:pStyle w:val="12"/>
            </w:pPr>
            <w:r>
              <w:t>A02021199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6.76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100</w:t>
            </w:r>
          </w:p>
        </w:tc>
        <w:tc>
          <w:tcPr>
            <w:tcW w:w="850" w:type="dxa"/>
            <w:vAlign w:val="center"/>
          </w:tcPr>
          <w:p>
            <w:pPr>
              <w:pStyle w:val="11"/>
            </w:pPr>
            <w:r>
              <w:t>0.00</w:t>
            </w:r>
          </w:p>
        </w:tc>
        <w:tc>
          <w:tcPr>
            <w:tcW w:w="964" w:type="dxa"/>
            <w:vAlign w:val="center"/>
          </w:tcPr>
          <w:p>
            <w:pPr>
              <w:pStyle w:val="11"/>
            </w:pPr>
            <w:r>
              <w:t>0.17</w:t>
            </w:r>
          </w:p>
        </w:tc>
        <w:tc>
          <w:tcPr>
            <w:tcW w:w="964" w:type="dxa"/>
            <w:vAlign w:val="center"/>
          </w:tcPr>
          <w:p>
            <w:pPr>
              <w:pStyle w:val="11"/>
            </w:pPr>
            <w:r>
              <w:t>0.17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6.76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0.52</w:t>
            </w:r>
          </w:p>
        </w:tc>
        <w:tc>
          <w:tcPr>
            <w:tcW w:w="964" w:type="dxa"/>
            <w:vAlign w:val="center"/>
          </w:tcPr>
          <w:p>
            <w:pPr>
              <w:pStyle w:val="11"/>
            </w:pPr>
            <w:r>
              <w:t>0.52</w:t>
            </w:r>
          </w:p>
        </w:tc>
        <w:tc>
          <w:tcPr>
            <w:tcW w:w="964" w:type="dxa"/>
            <w:vAlign w:val="center"/>
          </w:tcPr>
          <w:p>
            <w:pPr>
              <w:pStyle w:val="11"/>
            </w:pPr>
            <w:r>
              <w:t>0.52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秦皇岛北戴河新区营商环境和企业服务局本级上年末固定资产金额为3.32万元（详见下表）。本年度拟购置固定资产总额为0.00万元，已按要求列入政府采购预算，详见政府采购预算表。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236001秦皇岛北戴河新区营商环境和企业服务局本级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14</w:t>
            </w:r>
          </w:p>
        </w:tc>
        <w:tc>
          <w:tcPr>
            <w:tcW w:w="2835" w:type="dxa"/>
            <w:vAlign w:val="center"/>
          </w:tcPr>
          <w:p>
            <w:pPr>
              <w:pStyle w:val="11"/>
            </w:pPr>
            <w:r>
              <w:t>3.32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E4BDC"/>
    <w:rsid w:val="55FC13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2026-03-16T10:16:00Z</dcterms:created>
  <dc:creator>Administrator</dc:creator>
  <cp:lastModifiedBy>XQZW</cp:lastModifiedBy>
  <dcterms:modified xsi:type="dcterms:W3CDTF">2026-03-16T08:19:40Z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