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4"/>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4"/>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4"/>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4"/>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4"/>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4"/>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4"/>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4"/>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4"/>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4"/>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4"/>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4"/>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4"/>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pPr>
        <w:pStyle w:val="4"/>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pPr>
        <w:pStyle w:val="4"/>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pPr>
        <w:pStyle w:val="4"/>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322秦皇岛北戴河新区招商和投资促进局</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918.68</w:t>
            </w:r>
          </w:p>
        </w:tc>
        <w:tc>
          <w:tcPr>
            <w:tcW w:w="4535" w:type="dxa"/>
            <w:vAlign w:val="center"/>
          </w:tcPr>
          <w:p>
            <w:pPr>
              <w:pStyle w:val="14"/>
            </w:pPr>
            <w:r>
              <w:t>一、一般公共服务支出</w:t>
            </w:r>
          </w:p>
        </w:tc>
        <w:tc>
          <w:tcPr>
            <w:tcW w:w="2126" w:type="dxa"/>
            <w:vAlign w:val="center"/>
          </w:tcPr>
          <w:p>
            <w:pPr>
              <w:pStyle w:val="13"/>
            </w:pPr>
            <w:r>
              <w:t>755.12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70.67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918.68</w:t>
            </w:r>
          </w:p>
        </w:tc>
        <w:tc>
          <w:tcPr>
            <w:tcW w:w="4535" w:type="dxa"/>
            <w:vAlign w:val="center"/>
          </w:tcPr>
          <w:p>
            <w:pPr>
              <w:pStyle w:val="16"/>
            </w:pPr>
            <w:r>
              <w:t>本年支出合计</w:t>
            </w:r>
          </w:p>
        </w:tc>
        <w:tc>
          <w:tcPr>
            <w:tcW w:w="2126" w:type="dxa"/>
            <w:vAlign w:val="center"/>
          </w:tcPr>
          <w:p>
            <w:pPr>
              <w:pStyle w:val="17"/>
            </w:pPr>
            <w:r>
              <w:t>918.68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918.68</w:t>
            </w:r>
          </w:p>
        </w:tc>
        <w:tc>
          <w:tcPr>
            <w:tcW w:w="4535" w:type="dxa"/>
            <w:vAlign w:val="center"/>
          </w:tcPr>
          <w:p>
            <w:pPr>
              <w:pStyle w:val="16"/>
            </w:pPr>
            <w:r>
              <w:t>支出总计</w:t>
            </w:r>
          </w:p>
        </w:tc>
        <w:tc>
          <w:tcPr>
            <w:tcW w:w="2126" w:type="dxa"/>
            <w:vAlign w:val="center"/>
          </w:tcPr>
          <w:p>
            <w:pPr>
              <w:pStyle w:val="17"/>
            </w:pPr>
            <w:r>
              <w:t>918.68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322秦皇岛北戴河新区招商和投资促进局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918.68</w:t>
            </w:r>
          </w:p>
        </w:tc>
        <w:tc>
          <w:tcPr>
            <w:tcW w:w="1134" w:type="dxa"/>
            <w:vAlign w:val="center"/>
          </w:tcPr>
          <w:p>
            <w:pPr>
              <w:pStyle w:val="17"/>
            </w:pPr>
            <w:r>
              <w:t>918.68</w:t>
            </w:r>
          </w:p>
        </w:tc>
        <w:tc>
          <w:tcPr>
            <w:tcW w:w="1134" w:type="dxa"/>
            <w:vAlign w:val="center"/>
          </w:tcPr>
          <w:p>
            <w:pPr>
              <w:pStyle w:val="17"/>
            </w:pPr>
            <w:r>
              <w:t>918.68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755.12</w:t>
            </w:r>
          </w:p>
        </w:tc>
        <w:tc>
          <w:tcPr>
            <w:tcW w:w="1134" w:type="dxa"/>
            <w:vAlign w:val="center"/>
          </w:tcPr>
          <w:p>
            <w:pPr>
              <w:pStyle w:val="13"/>
            </w:pPr>
            <w:r>
              <w:t>755.12</w:t>
            </w:r>
          </w:p>
        </w:tc>
        <w:tc>
          <w:tcPr>
            <w:tcW w:w="1134" w:type="dxa"/>
            <w:vAlign w:val="center"/>
          </w:tcPr>
          <w:p>
            <w:pPr>
              <w:pStyle w:val="13"/>
            </w:pPr>
            <w:r>
              <w:t>755.12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755.12</w:t>
            </w:r>
          </w:p>
        </w:tc>
        <w:tc>
          <w:tcPr>
            <w:tcW w:w="1134" w:type="dxa"/>
            <w:vAlign w:val="center"/>
          </w:tcPr>
          <w:p>
            <w:pPr>
              <w:pStyle w:val="13"/>
            </w:pPr>
            <w:r>
              <w:t>755.12</w:t>
            </w:r>
          </w:p>
        </w:tc>
        <w:tc>
          <w:tcPr>
            <w:tcW w:w="1134" w:type="dxa"/>
            <w:vAlign w:val="center"/>
          </w:tcPr>
          <w:p>
            <w:pPr>
              <w:pStyle w:val="13"/>
            </w:pPr>
            <w:r>
              <w:t>755.12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2011301</w:t>
            </w:r>
          </w:p>
        </w:tc>
        <w:tc>
          <w:tcPr>
            <w:tcW w:w="1559" w:type="dxa"/>
            <w:vAlign w:val="center"/>
          </w:tcPr>
          <w:p>
            <w:pPr>
              <w:pStyle w:val="14"/>
            </w:pPr>
            <w:r>
              <w:t>行政运行</w:t>
            </w:r>
          </w:p>
        </w:tc>
        <w:tc>
          <w:tcPr>
            <w:tcW w:w="1134" w:type="dxa"/>
            <w:vAlign w:val="center"/>
          </w:tcPr>
          <w:p>
            <w:pPr>
              <w:pStyle w:val="13"/>
            </w:pPr>
            <w:r>
              <w:t>446.12</w:t>
            </w:r>
          </w:p>
        </w:tc>
        <w:tc>
          <w:tcPr>
            <w:tcW w:w="1134" w:type="dxa"/>
            <w:vAlign w:val="center"/>
          </w:tcPr>
          <w:p>
            <w:pPr>
              <w:pStyle w:val="13"/>
            </w:pPr>
            <w:r>
              <w:t>446.12</w:t>
            </w:r>
          </w:p>
        </w:tc>
        <w:tc>
          <w:tcPr>
            <w:tcW w:w="1134" w:type="dxa"/>
            <w:vAlign w:val="center"/>
          </w:tcPr>
          <w:p>
            <w:pPr>
              <w:pStyle w:val="13"/>
            </w:pPr>
            <w:r>
              <w:t>446.12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2011308</w:t>
            </w:r>
          </w:p>
        </w:tc>
        <w:tc>
          <w:tcPr>
            <w:tcW w:w="1559" w:type="dxa"/>
            <w:vAlign w:val="center"/>
          </w:tcPr>
          <w:p>
            <w:pPr>
              <w:pStyle w:val="14"/>
            </w:pPr>
            <w:r>
              <w:t>招商引资</w:t>
            </w:r>
          </w:p>
        </w:tc>
        <w:tc>
          <w:tcPr>
            <w:tcW w:w="1134" w:type="dxa"/>
            <w:vAlign w:val="center"/>
          </w:tcPr>
          <w:p>
            <w:pPr>
              <w:pStyle w:val="13"/>
            </w:pPr>
            <w:r>
              <w:t>309.00</w:t>
            </w:r>
          </w:p>
        </w:tc>
        <w:tc>
          <w:tcPr>
            <w:tcW w:w="1134" w:type="dxa"/>
            <w:vAlign w:val="center"/>
          </w:tcPr>
          <w:p>
            <w:pPr>
              <w:pStyle w:val="13"/>
            </w:pPr>
            <w:r>
              <w:t>309.00</w:t>
            </w:r>
          </w:p>
        </w:tc>
        <w:tc>
          <w:tcPr>
            <w:tcW w:w="1134" w:type="dxa"/>
            <w:vAlign w:val="center"/>
          </w:tcPr>
          <w:p>
            <w:pPr>
              <w:pStyle w:val="13"/>
            </w:pPr>
            <w:r>
              <w:t>309.00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70.67</w:t>
            </w:r>
          </w:p>
        </w:tc>
        <w:tc>
          <w:tcPr>
            <w:tcW w:w="1134" w:type="dxa"/>
            <w:vAlign w:val="center"/>
          </w:tcPr>
          <w:p>
            <w:pPr>
              <w:pStyle w:val="13"/>
            </w:pPr>
            <w:r>
              <w:t>70.67</w:t>
            </w:r>
          </w:p>
        </w:tc>
        <w:tc>
          <w:tcPr>
            <w:tcW w:w="1134" w:type="dxa"/>
            <w:vAlign w:val="center"/>
          </w:tcPr>
          <w:p>
            <w:pPr>
              <w:pStyle w:val="13"/>
            </w:pPr>
            <w:r>
              <w:t>70.67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70.67</w:t>
            </w:r>
          </w:p>
        </w:tc>
        <w:tc>
          <w:tcPr>
            <w:tcW w:w="1134" w:type="dxa"/>
            <w:vAlign w:val="center"/>
          </w:tcPr>
          <w:p>
            <w:pPr>
              <w:pStyle w:val="13"/>
            </w:pPr>
            <w:r>
              <w:t>70.67</w:t>
            </w:r>
          </w:p>
        </w:tc>
        <w:tc>
          <w:tcPr>
            <w:tcW w:w="1134" w:type="dxa"/>
            <w:vAlign w:val="center"/>
          </w:tcPr>
          <w:p>
            <w:pPr>
              <w:pStyle w:val="13"/>
            </w:pPr>
            <w:r>
              <w:t>70.67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8.15</w:t>
            </w:r>
          </w:p>
        </w:tc>
        <w:tc>
          <w:tcPr>
            <w:tcW w:w="1134" w:type="dxa"/>
            <w:vAlign w:val="center"/>
          </w:tcPr>
          <w:p>
            <w:pPr>
              <w:pStyle w:val="13"/>
            </w:pPr>
            <w:r>
              <w:t>8.15</w:t>
            </w:r>
          </w:p>
        </w:tc>
        <w:tc>
          <w:tcPr>
            <w:tcW w:w="1134" w:type="dxa"/>
            <w:vAlign w:val="center"/>
          </w:tcPr>
          <w:p>
            <w:pPr>
              <w:pStyle w:val="13"/>
            </w:pPr>
            <w:r>
              <w:t>8.15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56.66</w:t>
            </w:r>
          </w:p>
        </w:tc>
        <w:tc>
          <w:tcPr>
            <w:tcW w:w="1134" w:type="dxa"/>
            <w:vAlign w:val="center"/>
          </w:tcPr>
          <w:p>
            <w:pPr>
              <w:pStyle w:val="13"/>
            </w:pPr>
            <w:r>
              <w:t>56.66</w:t>
            </w:r>
          </w:p>
        </w:tc>
        <w:tc>
          <w:tcPr>
            <w:tcW w:w="1134" w:type="dxa"/>
            <w:vAlign w:val="center"/>
          </w:tcPr>
          <w:p>
            <w:pPr>
              <w:pStyle w:val="13"/>
            </w:pPr>
            <w:r>
              <w:t>56.66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5.85</w:t>
            </w:r>
          </w:p>
        </w:tc>
        <w:tc>
          <w:tcPr>
            <w:tcW w:w="1134" w:type="dxa"/>
            <w:vAlign w:val="center"/>
          </w:tcPr>
          <w:p>
            <w:pPr>
              <w:pStyle w:val="13"/>
            </w:pPr>
            <w:r>
              <w:t>5.85</w:t>
            </w:r>
          </w:p>
        </w:tc>
        <w:tc>
          <w:tcPr>
            <w:tcW w:w="1134" w:type="dxa"/>
            <w:vAlign w:val="center"/>
          </w:tcPr>
          <w:p>
            <w:pPr>
              <w:pStyle w:val="13"/>
            </w:pPr>
            <w:r>
              <w:t>5.85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46.92</w:t>
            </w:r>
          </w:p>
        </w:tc>
        <w:tc>
          <w:tcPr>
            <w:tcW w:w="1134" w:type="dxa"/>
            <w:vAlign w:val="center"/>
          </w:tcPr>
          <w:p>
            <w:pPr>
              <w:pStyle w:val="13"/>
            </w:pPr>
            <w:r>
              <w:t>46.92</w:t>
            </w:r>
          </w:p>
        </w:tc>
        <w:tc>
          <w:tcPr>
            <w:tcW w:w="1134" w:type="dxa"/>
            <w:vAlign w:val="center"/>
          </w:tcPr>
          <w:p>
            <w:pPr>
              <w:pStyle w:val="13"/>
            </w:pPr>
            <w:r>
              <w:t>46.92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46.92</w:t>
            </w:r>
          </w:p>
        </w:tc>
        <w:tc>
          <w:tcPr>
            <w:tcW w:w="1134" w:type="dxa"/>
            <w:vAlign w:val="center"/>
          </w:tcPr>
          <w:p>
            <w:pPr>
              <w:pStyle w:val="13"/>
            </w:pPr>
            <w:r>
              <w:t>46.92</w:t>
            </w:r>
          </w:p>
        </w:tc>
        <w:tc>
          <w:tcPr>
            <w:tcW w:w="1134" w:type="dxa"/>
            <w:vAlign w:val="center"/>
          </w:tcPr>
          <w:p>
            <w:pPr>
              <w:pStyle w:val="13"/>
            </w:pPr>
            <w:r>
              <w:t>46.92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46.92</w:t>
            </w:r>
          </w:p>
        </w:tc>
        <w:tc>
          <w:tcPr>
            <w:tcW w:w="1134" w:type="dxa"/>
            <w:vAlign w:val="center"/>
          </w:tcPr>
          <w:p>
            <w:pPr>
              <w:pStyle w:val="13"/>
            </w:pPr>
            <w:r>
              <w:t>46.92</w:t>
            </w:r>
          </w:p>
        </w:tc>
        <w:tc>
          <w:tcPr>
            <w:tcW w:w="1134" w:type="dxa"/>
            <w:vAlign w:val="center"/>
          </w:tcPr>
          <w:p>
            <w:pPr>
              <w:pStyle w:val="13"/>
            </w:pPr>
            <w:r>
              <w:t>46.92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45.98</w:t>
            </w:r>
          </w:p>
        </w:tc>
        <w:tc>
          <w:tcPr>
            <w:tcW w:w="1134" w:type="dxa"/>
            <w:vAlign w:val="center"/>
          </w:tcPr>
          <w:p>
            <w:pPr>
              <w:pStyle w:val="13"/>
            </w:pPr>
            <w:r>
              <w:t>45.98</w:t>
            </w:r>
          </w:p>
        </w:tc>
        <w:tc>
          <w:tcPr>
            <w:tcW w:w="1134" w:type="dxa"/>
            <w:vAlign w:val="center"/>
          </w:tcPr>
          <w:p>
            <w:pPr>
              <w:pStyle w:val="13"/>
            </w:pPr>
            <w:r>
              <w:t>45.98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45.98</w:t>
            </w:r>
          </w:p>
        </w:tc>
        <w:tc>
          <w:tcPr>
            <w:tcW w:w="1134" w:type="dxa"/>
            <w:vAlign w:val="center"/>
          </w:tcPr>
          <w:p>
            <w:pPr>
              <w:pStyle w:val="13"/>
            </w:pPr>
            <w:r>
              <w:t>45.98</w:t>
            </w:r>
          </w:p>
        </w:tc>
        <w:tc>
          <w:tcPr>
            <w:tcW w:w="1134" w:type="dxa"/>
            <w:vAlign w:val="center"/>
          </w:tcPr>
          <w:p>
            <w:pPr>
              <w:pStyle w:val="13"/>
            </w:pPr>
            <w:r>
              <w:t>45.98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45.98</w:t>
            </w:r>
          </w:p>
        </w:tc>
        <w:tc>
          <w:tcPr>
            <w:tcW w:w="1134" w:type="dxa"/>
            <w:vAlign w:val="center"/>
          </w:tcPr>
          <w:p>
            <w:pPr>
              <w:pStyle w:val="13"/>
            </w:pPr>
            <w:r>
              <w:t>45.98</w:t>
            </w:r>
          </w:p>
        </w:tc>
        <w:tc>
          <w:tcPr>
            <w:tcW w:w="1134" w:type="dxa"/>
            <w:vAlign w:val="center"/>
          </w:tcPr>
          <w:p>
            <w:pPr>
              <w:pStyle w:val="13"/>
            </w:pPr>
            <w:r>
              <w:t>45.98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322秦皇岛北戴河新区招商和投资促进局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918.68</w:t>
            </w:r>
          </w:p>
        </w:tc>
        <w:tc>
          <w:tcPr>
            <w:tcW w:w="1361" w:type="dxa"/>
            <w:vAlign w:val="center"/>
          </w:tcPr>
          <w:p>
            <w:pPr>
              <w:pStyle w:val="17"/>
            </w:pPr>
            <w:r>
              <w:t>609.68</w:t>
            </w:r>
          </w:p>
        </w:tc>
        <w:tc>
          <w:tcPr>
            <w:tcW w:w="1361" w:type="dxa"/>
            <w:vAlign w:val="center"/>
          </w:tcPr>
          <w:p>
            <w:pPr>
              <w:pStyle w:val="17"/>
            </w:pPr>
            <w:r>
              <w:t>309.00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755.12</w:t>
            </w:r>
          </w:p>
        </w:tc>
        <w:tc>
          <w:tcPr>
            <w:tcW w:w="1361" w:type="dxa"/>
            <w:vAlign w:val="center"/>
          </w:tcPr>
          <w:p>
            <w:pPr>
              <w:pStyle w:val="13"/>
            </w:pPr>
            <w:r>
              <w:t>446.12</w:t>
            </w:r>
          </w:p>
        </w:tc>
        <w:tc>
          <w:tcPr>
            <w:tcW w:w="1361" w:type="dxa"/>
            <w:vAlign w:val="center"/>
          </w:tcPr>
          <w:p>
            <w:pPr>
              <w:pStyle w:val="13"/>
            </w:pPr>
            <w:r>
              <w:t>309.00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755.12</w:t>
            </w:r>
          </w:p>
        </w:tc>
        <w:tc>
          <w:tcPr>
            <w:tcW w:w="1361" w:type="dxa"/>
            <w:vAlign w:val="center"/>
          </w:tcPr>
          <w:p>
            <w:pPr>
              <w:pStyle w:val="13"/>
            </w:pPr>
            <w:r>
              <w:t>446.12</w:t>
            </w:r>
          </w:p>
        </w:tc>
        <w:tc>
          <w:tcPr>
            <w:tcW w:w="1361" w:type="dxa"/>
            <w:vAlign w:val="center"/>
          </w:tcPr>
          <w:p>
            <w:pPr>
              <w:pStyle w:val="13"/>
            </w:pPr>
            <w:r>
              <w:t>309.00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2011301</w:t>
            </w:r>
          </w:p>
        </w:tc>
        <w:tc>
          <w:tcPr>
            <w:tcW w:w="4535" w:type="dxa"/>
            <w:vAlign w:val="center"/>
          </w:tcPr>
          <w:p>
            <w:pPr>
              <w:pStyle w:val="14"/>
            </w:pPr>
            <w:r>
              <w:t>行政运行</w:t>
            </w:r>
          </w:p>
        </w:tc>
        <w:tc>
          <w:tcPr>
            <w:tcW w:w="1361" w:type="dxa"/>
            <w:vAlign w:val="center"/>
          </w:tcPr>
          <w:p>
            <w:pPr>
              <w:pStyle w:val="13"/>
            </w:pPr>
            <w:r>
              <w:t>446.12</w:t>
            </w:r>
          </w:p>
        </w:tc>
        <w:tc>
          <w:tcPr>
            <w:tcW w:w="1361" w:type="dxa"/>
            <w:vAlign w:val="center"/>
          </w:tcPr>
          <w:p>
            <w:pPr>
              <w:pStyle w:val="13"/>
            </w:pPr>
            <w:r>
              <w:t>446.12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2011308</w:t>
            </w:r>
          </w:p>
        </w:tc>
        <w:tc>
          <w:tcPr>
            <w:tcW w:w="4535" w:type="dxa"/>
            <w:vAlign w:val="center"/>
          </w:tcPr>
          <w:p>
            <w:pPr>
              <w:pStyle w:val="14"/>
            </w:pPr>
            <w:r>
              <w:t>招商引资</w:t>
            </w:r>
          </w:p>
        </w:tc>
        <w:tc>
          <w:tcPr>
            <w:tcW w:w="1361" w:type="dxa"/>
            <w:vAlign w:val="center"/>
          </w:tcPr>
          <w:p>
            <w:pPr>
              <w:pStyle w:val="13"/>
            </w:pPr>
            <w:r>
              <w:t>309.00</w:t>
            </w:r>
          </w:p>
        </w:tc>
        <w:tc>
          <w:tcPr>
            <w:tcW w:w="1361" w:type="dxa"/>
            <w:vAlign w:val="center"/>
          </w:tcPr>
          <w:p>
            <w:pPr>
              <w:pStyle w:val="13"/>
            </w:pPr>
          </w:p>
        </w:tc>
        <w:tc>
          <w:tcPr>
            <w:tcW w:w="1361" w:type="dxa"/>
            <w:vAlign w:val="center"/>
          </w:tcPr>
          <w:p>
            <w:pPr>
              <w:pStyle w:val="13"/>
            </w:pPr>
            <w:r>
              <w:t>309.00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70.67</w:t>
            </w:r>
          </w:p>
        </w:tc>
        <w:tc>
          <w:tcPr>
            <w:tcW w:w="1361" w:type="dxa"/>
            <w:vAlign w:val="center"/>
          </w:tcPr>
          <w:p>
            <w:pPr>
              <w:pStyle w:val="13"/>
            </w:pPr>
            <w:r>
              <w:t>70.67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70.67</w:t>
            </w:r>
          </w:p>
        </w:tc>
        <w:tc>
          <w:tcPr>
            <w:tcW w:w="1361" w:type="dxa"/>
            <w:vAlign w:val="center"/>
          </w:tcPr>
          <w:p>
            <w:pPr>
              <w:pStyle w:val="13"/>
            </w:pPr>
            <w:r>
              <w:t>70.67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8.15</w:t>
            </w:r>
          </w:p>
        </w:tc>
        <w:tc>
          <w:tcPr>
            <w:tcW w:w="1361" w:type="dxa"/>
            <w:vAlign w:val="center"/>
          </w:tcPr>
          <w:p>
            <w:pPr>
              <w:pStyle w:val="13"/>
            </w:pPr>
            <w:r>
              <w:t>8.15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56.66</w:t>
            </w:r>
          </w:p>
        </w:tc>
        <w:tc>
          <w:tcPr>
            <w:tcW w:w="1361" w:type="dxa"/>
            <w:vAlign w:val="center"/>
          </w:tcPr>
          <w:p>
            <w:pPr>
              <w:pStyle w:val="13"/>
            </w:pPr>
            <w:r>
              <w:t>56.66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5.85</w:t>
            </w:r>
          </w:p>
        </w:tc>
        <w:tc>
          <w:tcPr>
            <w:tcW w:w="1361" w:type="dxa"/>
            <w:vAlign w:val="center"/>
          </w:tcPr>
          <w:p>
            <w:pPr>
              <w:pStyle w:val="13"/>
            </w:pPr>
            <w:r>
              <w:t>5.85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46.92</w:t>
            </w:r>
          </w:p>
        </w:tc>
        <w:tc>
          <w:tcPr>
            <w:tcW w:w="1361" w:type="dxa"/>
            <w:vAlign w:val="center"/>
          </w:tcPr>
          <w:p>
            <w:pPr>
              <w:pStyle w:val="13"/>
            </w:pPr>
            <w:r>
              <w:t>46.92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46.92</w:t>
            </w:r>
          </w:p>
        </w:tc>
        <w:tc>
          <w:tcPr>
            <w:tcW w:w="1361" w:type="dxa"/>
            <w:vAlign w:val="center"/>
          </w:tcPr>
          <w:p>
            <w:pPr>
              <w:pStyle w:val="13"/>
            </w:pPr>
            <w:r>
              <w:t>46.92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46.92</w:t>
            </w:r>
          </w:p>
        </w:tc>
        <w:tc>
          <w:tcPr>
            <w:tcW w:w="1361" w:type="dxa"/>
            <w:vAlign w:val="center"/>
          </w:tcPr>
          <w:p>
            <w:pPr>
              <w:pStyle w:val="13"/>
            </w:pPr>
            <w:r>
              <w:t>46.92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45.98</w:t>
            </w:r>
          </w:p>
        </w:tc>
        <w:tc>
          <w:tcPr>
            <w:tcW w:w="1361" w:type="dxa"/>
            <w:vAlign w:val="center"/>
          </w:tcPr>
          <w:p>
            <w:pPr>
              <w:pStyle w:val="13"/>
            </w:pPr>
            <w:r>
              <w:t>45.98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45.98</w:t>
            </w:r>
          </w:p>
        </w:tc>
        <w:tc>
          <w:tcPr>
            <w:tcW w:w="1361" w:type="dxa"/>
            <w:vAlign w:val="center"/>
          </w:tcPr>
          <w:p>
            <w:pPr>
              <w:pStyle w:val="13"/>
            </w:pPr>
            <w:r>
              <w:t>45.98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45.98</w:t>
            </w:r>
          </w:p>
        </w:tc>
        <w:tc>
          <w:tcPr>
            <w:tcW w:w="1361" w:type="dxa"/>
            <w:vAlign w:val="center"/>
          </w:tcPr>
          <w:p>
            <w:pPr>
              <w:pStyle w:val="13"/>
            </w:pPr>
            <w:r>
              <w:t>45.98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322秦皇岛北戴河新区招商和投资促进局</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918.68</w:t>
            </w:r>
          </w:p>
        </w:tc>
        <w:tc>
          <w:tcPr>
            <w:tcW w:w="3402" w:type="dxa"/>
            <w:vAlign w:val="center"/>
          </w:tcPr>
          <w:p>
            <w:pPr>
              <w:pStyle w:val="14"/>
            </w:pPr>
            <w:r>
              <w:t>一、一般公共服务支出</w:t>
            </w:r>
          </w:p>
        </w:tc>
        <w:tc>
          <w:tcPr>
            <w:tcW w:w="1474" w:type="dxa"/>
            <w:vAlign w:val="center"/>
          </w:tcPr>
          <w:p>
            <w:pPr>
              <w:pStyle w:val="13"/>
            </w:pPr>
            <w:r>
              <w:t>755.12</w:t>
            </w:r>
          </w:p>
        </w:tc>
        <w:tc>
          <w:tcPr>
            <w:tcW w:w="1474" w:type="dxa"/>
            <w:vAlign w:val="center"/>
          </w:tcPr>
          <w:p>
            <w:pPr>
              <w:pStyle w:val="13"/>
            </w:pPr>
            <w:r>
              <w:t>755.12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70.67</w:t>
            </w:r>
          </w:p>
        </w:tc>
        <w:tc>
          <w:tcPr>
            <w:tcW w:w="1474" w:type="dxa"/>
            <w:vAlign w:val="center"/>
          </w:tcPr>
          <w:p>
            <w:pPr>
              <w:pStyle w:val="13"/>
            </w:pPr>
            <w:r>
              <w:t>70.67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46.92</w:t>
            </w:r>
          </w:p>
        </w:tc>
        <w:tc>
          <w:tcPr>
            <w:tcW w:w="1474" w:type="dxa"/>
            <w:vAlign w:val="center"/>
          </w:tcPr>
          <w:p>
            <w:pPr>
              <w:pStyle w:val="13"/>
            </w:pPr>
            <w:r>
              <w:t>46.92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45.98</w:t>
            </w:r>
          </w:p>
        </w:tc>
        <w:tc>
          <w:tcPr>
            <w:tcW w:w="1474" w:type="dxa"/>
            <w:vAlign w:val="center"/>
          </w:tcPr>
          <w:p>
            <w:pPr>
              <w:pStyle w:val="13"/>
            </w:pPr>
            <w:r>
              <w:t>45.98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918.68</w:t>
            </w:r>
          </w:p>
        </w:tc>
        <w:tc>
          <w:tcPr>
            <w:tcW w:w="3402" w:type="dxa"/>
            <w:vAlign w:val="center"/>
          </w:tcPr>
          <w:p>
            <w:pPr>
              <w:pStyle w:val="16"/>
            </w:pPr>
            <w:r>
              <w:t>本年支出合计</w:t>
            </w:r>
          </w:p>
        </w:tc>
        <w:tc>
          <w:tcPr>
            <w:tcW w:w="1474" w:type="dxa"/>
            <w:vAlign w:val="center"/>
          </w:tcPr>
          <w:p>
            <w:pPr>
              <w:pStyle w:val="17"/>
            </w:pPr>
            <w:r>
              <w:t>918.68</w:t>
            </w:r>
          </w:p>
        </w:tc>
        <w:tc>
          <w:tcPr>
            <w:tcW w:w="1474" w:type="dxa"/>
            <w:vAlign w:val="center"/>
          </w:tcPr>
          <w:p>
            <w:pPr>
              <w:pStyle w:val="17"/>
            </w:pPr>
            <w:r>
              <w:t>918.68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918.68</w:t>
            </w:r>
          </w:p>
        </w:tc>
        <w:tc>
          <w:tcPr>
            <w:tcW w:w="3402" w:type="dxa"/>
            <w:vAlign w:val="center"/>
          </w:tcPr>
          <w:p>
            <w:pPr>
              <w:pStyle w:val="16"/>
            </w:pPr>
            <w:r>
              <w:t>支出总计</w:t>
            </w:r>
          </w:p>
        </w:tc>
        <w:tc>
          <w:tcPr>
            <w:tcW w:w="1474" w:type="dxa"/>
            <w:vAlign w:val="center"/>
          </w:tcPr>
          <w:p>
            <w:pPr>
              <w:pStyle w:val="17"/>
            </w:pPr>
            <w:r>
              <w:t>918.68</w:t>
            </w:r>
          </w:p>
        </w:tc>
        <w:tc>
          <w:tcPr>
            <w:tcW w:w="1474" w:type="dxa"/>
            <w:vAlign w:val="center"/>
          </w:tcPr>
          <w:p>
            <w:pPr>
              <w:pStyle w:val="17"/>
            </w:pPr>
            <w:r>
              <w:t>918.68</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322秦皇岛北戴河新区招商和投资促进局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918.68</w:t>
            </w:r>
          </w:p>
        </w:tc>
        <w:tc>
          <w:tcPr>
            <w:tcW w:w="2551" w:type="dxa"/>
            <w:vAlign w:val="center"/>
          </w:tcPr>
          <w:p>
            <w:pPr>
              <w:pStyle w:val="17"/>
            </w:pPr>
            <w:r>
              <w:t>609.68</w:t>
            </w:r>
          </w:p>
        </w:tc>
        <w:tc>
          <w:tcPr>
            <w:tcW w:w="2551" w:type="dxa"/>
            <w:vAlign w:val="center"/>
          </w:tcPr>
          <w:p>
            <w:pPr>
              <w:pStyle w:val="17"/>
            </w:pPr>
            <w:r>
              <w:t>309.00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755.12</w:t>
            </w:r>
          </w:p>
        </w:tc>
        <w:tc>
          <w:tcPr>
            <w:tcW w:w="2551" w:type="dxa"/>
            <w:vAlign w:val="center"/>
          </w:tcPr>
          <w:p>
            <w:pPr>
              <w:pStyle w:val="13"/>
            </w:pPr>
            <w:r>
              <w:t>446.12</w:t>
            </w:r>
          </w:p>
        </w:tc>
        <w:tc>
          <w:tcPr>
            <w:tcW w:w="2551" w:type="dxa"/>
            <w:vAlign w:val="center"/>
          </w:tcPr>
          <w:p>
            <w:pPr>
              <w:pStyle w:val="13"/>
            </w:pPr>
            <w:r>
              <w:t>309.00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755.12</w:t>
            </w:r>
          </w:p>
        </w:tc>
        <w:tc>
          <w:tcPr>
            <w:tcW w:w="2551" w:type="dxa"/>
            <w:vAlign w:val="center"/>
          </w:tcPr>
          <w:p>
            <w:pPr>
              <w:pStyle w:val="13"/>
            </w:pPr>
            <w:r>
              <w:t>446.12</w:t>
            </w:r>
          </w:p>
        </w:tc>
        <w:tc>
          <w:tcPr>
            <w:tcW w:w="2551" w:type="dxa"/>
            <w:vAlign w:val="center"/>
          </w:tcPr>
          <w:p>
            <w:pPr>
              <w:pStyle w:val="13"/>
            </w:pPr>
            <w:r>
              <w:t>309.00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2011301</w:t>
            </w:r>
          </w:p>
        </w:tc>
        <w:tc>
          <w:tcPr>
            <w:tcW w:w="4535" w:type="dxa"/>
            <w:vAlign w:val="center"/>
          </w:tcPr>
          <w:p>
            <w:pPr>
              <w:pStyle w:val="14"/>
            </w:pPr>
            <w:r>
              <w:t>行政运行</w:t>
            </w:r>
          </w:p>
        </w:tc>
        <w:tc>
          <w:tcPr>
            <w:tcW w:w="2551" w:type="dxa"/>
            <w:vAlign w:val="center"/>
          </w:tcPr>
          <w:p>
            <w:pPr>
              <w:pStyle w:val="13"/>
            </w:pPr>
            <w:r>
              <w:t>446.12</w:t>
            </w:r>
          </w:p>
        </w:tc>
        <w:tc>
          <w:tcPr>
            <w:tcW w:w="2551" w:type="dxa"/>
            <w:vAlign w:val="center"/>
          </w:tcPr>
          <w:p>
            <w:pPr>
              <w:pStyle w:val="13"/>
            </w:pPr>
            <w:r>
              <w:t>446.12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2011308</w:t>
            </w:r>
          </w:p>
        </w:tc>
        <w:tc>
          <w:tcPr>
            <w:tcW w:w="4535" w:type="dxa"/>
            <w:vAlign w:val="center"/>
          </w:tcPr>
          <w:p>
            <w:pPr>
              <w:pStyle w:val="14"/>
            </w:pPr>
            <w:r>
              <w:t>招商引资</w:t>
            </w:r>
          </w:p>
        </w:tc>
        <w:tc>
          <w:tcPr>
            <w:tcW w:w="2551" w:type="dxa"/>
            <w:vAlign w:val="center"/>
          </w:tcPr>
          <w:p>
            <w:pPr>
              <w:pStyle w:val="13"/>
            </w:pPr>
            <w:r>
              <w:t>309.00</w:t>
            </w:r>
          </w:p>
        </w:tc>
        <w:tc>
          <w:tcPr>
            <w:tcW w:w="2551" w:type="dxa"/>
            <w:vAlign w:val="center"/>
          </w:tcPr>
          <w:p>
            <w:pPr>
              <w:pStyle w:val="13"/>
            </w:pPr>
          </w:p>
        </w:tc>
        <w:tc>
          <w:tcPr>
            <w:tcW w:w="2551" w:type="dxa"/>
            <w:vAlign w:val="center"/>
          </w:tcPr>
          <w:p>
            <w:pPr>
              <w:pStyle w:val="13"/>
            </w:pPr>
            <w:r>
              <w:t>309.00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70.67</w:t>
            </w:r>
          </w:p>
        </w:tc>
        <w:tc>
          <w:tcPr>
            <w:tcW w:w="2551" w:type="dxa"/>
            <w:vAlign w:val="center"/>
          </w:tcPr>
          <w:p>
            <w:pPr>
              <w:pStyle w:val="13"/>
            </w:pPr>
            <w:r>
              <w:t>70.67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70.67</w:t>
            </w:r>
          </w:p>
        </w:tc>
        <w:tc>
          <w:tcPr>
            <w:tcW w:w="2551" w:type="dxa"/>
            <w:vAlign w:val="center"/>
          </w:tcPr>
          <w:p>
            <w:pPr>
              <w:pStyle w:val="13"/>
            </w:pPr>
            <w:r>
              <w:t>70.67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8.15</w:t>
            </w:r>
          </w:p>
        </w:tc>
        <w:tc>
          <w:tcPr>
            <w:tcW w:w="2551" w:type="dxa"/>
            <w:vAlign w:val="center"/>
          </w:tcPr>
          <w:p>
            <w:pPr>
              <w:pStyle w:val="13"/>
            </w:pPr>
            <w:r>
              <w:t>8.15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56.66</w:t>
            </w:r>
          </w:p>
        </w:tc>
        <w:tc>
          <w:tcPr>
            <w:tcW w:w="2551" w:type="dxa"/>
            <w:vAlign w:val="center"/>
          </w:tcPr>
          <w:p>
            <w:pPr>
              <w:pStyle w:val="13"/>
            </w:pPr>
            <w:r>
              <w:t>56.66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5.85</w:t>
            </w:r>
          </w:p>
        </w:tc>
        <w:tc>
          <w:tcPr>
            <w:tcW w:w="2551" w:type="dxa"/>
            <w:vAlign w:val="center"/>
          </w:tcPr>
          <w:p>
            <w:pPr>
              <w:pStyle w:val="13"/>
            </w:pPr>
            <w:r>
              <w:t>5.85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46.92</w:t>
            </w:r>
          </w:p>
        </w:tc>
        <w:tc>
          <w:tcPr>
            <w:tcW w:w="2551" w:type="dxa"/>
            <w:vAlign w:val="center"/>
          </w:tcPr>
          <w:p>
            <w:pPr>
              <w:pStyle w:val="13"/>
            </w:pPr>
            <w:r>
              <w:t>46.92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46.92</w:t>
            </w:r>
          </w:p>
        </w:tc>
        <w:tc>
          <w:tcPr>
            <w:tcW w:w="2551" w:type="dxa"/>
            <w:vAlign w:val="center"/>
          </w:tcPr>
          <w:p>
            <w:pPr>
              <w:pStyle w:val="13"/>
            </w:pPr>
            <w:r>
              <w:t>46.92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46.92</w:t>
            </w:r>
          </w:p>
        </w:tc>
        <w:tc>
          <w:tcPr>
            <w:tcW w:w="2551" w:type="dxa"/>
            <w:vAlign w:val="center"/>
          </w:tcPr>
          <w:p>
            <w:pPr>
              <w:pStyle w:val="13"/>
            </w:pPr>
            <w:r>
              <w:t>46.92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45.98</w:t>
            </w:r>
          </w:p>
        </w:tc>
        <w:tc>
          <w:tcPr>
            <w:tcW w:w="2551" w:type="dxa"/>
            <w:vAlign w:val="center"/>
          </w:tcPr>
          <w:p>
            <w:pPr>
              <w:pStyle w:val="13"/>
            </w:pPr>
            <w:r>
              <w:t>45.98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45.98</w:t>
            </w:r>
          </w:p>
        </w:tc>
        <w:tc>
          <w:tcPr>
            <w:tcW w:w="2551" w:type="dxa"/>
            <w:vAlign w:val="center"/>
          </w:tcPr>
          <w:p>
            <w:pPr>
              <w:pStyle w:val="13"/>
            </w:pPr>
            <w:r>
              <w:t>45.98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45.98</w:t>
            </w:r>
          </w:p>
        </w:tc>
        <w:tc>
          <w:tcPr>
            <w:tcW w:w="2551" w:type="dxa"/>
            <w:vAlign w:val="center"/>
          </w:tcPr>
          <w:p>
            <w:pPr>
              <w:pStyle w:val="13"/>
            </w:pPr>
            <w:r>
              <w:t>45.98</w:t>
            </w:r>
          </w:p>
        </w:tc>
        <w:tc>
          <w:tcPr>
            <w:tcW w:w="2551" w:type="dxa"/>
            <w:vAlign w:val="center"/>
          </w:tcPr>
          <w:p>
            <w:pPr>
              <w:pStyle w:val="13"/>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322秦皇岛北戴河新区招商和投资促进局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609.68</w:t>
            </w:r>
          </w:p>
        </w:tc>
        <w:tc>
          <w:tcPr>
            <w:tcW w:w="2551" w:type="dxa"/>
            <w:vAlign w:val="center"/>
          </w:tcPr>
          <w:p>
            <w:pPr>
              <w:pStyle w:val="17"/>
            </w:pPr>
            <w:r>
              <w:t>573.22</w:t>
            </w:r>
          </w:p>
        </w:tc>
        <w:tc>
          <w:tcPr>
            <w:tcW w:w="2551" w:type="dxa"/>
            <w:vAlign w:val="center"/>
          </w:tcPr>
          <w:p>
            <w:pPr>
              <w:pStyle w:val="17"/>
            </w:pPr>
            <w:r>
              <w:t>36.46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565.35</w:t>
            </w:r>
          </w:p>
        </w:tc>
        <w:tc>
          <w:tcPr>
            <w:tcW w:w="2551" w:type="dxa"/>
            <w:vAlign w:val="center"/>
          </w:tcPr>
          <w:p>
            <w:pPr>
              <w:pStyle w:val="13"/>
            </w:pPr>
            <w:r>
              <w:t>565.35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4"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204.65</w:t>
            </w:r>
          </w:p>
        </w:tc>
        <w:tc>
          <w:tcPr>
            <w:tcW w:w="2551" w:type="dxa"/>
            <w:vAlign w:val="center"/>
          </w:tcPr>
          <w:p>
            <w:pPr>
              <w:pStyle w:val="13"/>
            </w:pPr>
            <w:r>
              <w:t>204.65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36.14</w:t>
            </w:r>
          </w:p>
        </w:tc>
        <w:tc>
          <w:tcPr>
            <w:tcW w:w="2551" w:type="dxa"/>
            <w:vAlign w:val="center"/>
          </w:tcPr>
          <w:p>
            <w:pPr>
              <w:pStyle w:val="13"/>
            </w:pPr>
            <w:r>
              <w:t>36.14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12.52</w:t>
            </w:r>
          </w:p>
        </w:tc>
        <w:tc>
          <w:tcPr>
            <w:tcW w:w="2551" w:type="dxa"/>
            <w:vAlign w:val="center"/>
          </w:tcPr>
          <w:p>
            <w:pPr>
              <w:pStyle w:val="13"/>
            </w:pPr>
            <w:r>
              <w:t>12.52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153.31</w:t>
            </w:r>
          </w:p>
        </w:tc>
        <w:tc>
          <w:tcPr>
            <w:tcW w:w="2551" w:type="dxa"/>
            <w:vAlign w:val="center"/>
          </w:tcPr>
          <w:p>
            <w:pPr>
              <w:pStyle w:val="13"/>
            </w:pPr>
            <w:r>
              <w:t>153.31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56.66</w:t>
            </w:r>
          </w:p>
        </w:tc>
        <w:tc>
          <w:tcPr>
            <w:tcW w:w="2551" w:type="dxa"/>
            <w:vAlign w:val="center"/>
          </w:tcPr>
          <w:p>
            <w:pPr>
              <w:pStyle w:val="13"/>
            </w:pPr>
            <w:r>
              <w:t>56.66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5.85</w:t>
            </w:r>
          </w:p>
        </w:tc>
        <w:tc>
          <w:tcPr>
            <w:tcW w:w="2551" w:type="dxa"/>
            <w:vAlign w:val="center"/>
          </w:tcPr>
          <w:p>
            <w:pPr>
              <w:pStyle w:val="13"/>
            </w:pPr>
            <w:r>
              <w:t>5.85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24.31</w:t>
            </w:r>
          </w:p>
        </w:tc>
        <w:tc>
          <w:tcPr>
            <w:tcW w:w="2551" w:type="dxa"/>
            <w:vAlign w:val="center"/>
          </w:tcPr>
          <w:p>
            <w:pPr>
              <w:pStyle w:val="13"/>
            </w:pPr>
            <w:r>
              <w:t>24.31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22.61</w:t>
            </w:r>
          </w:p>
        </w:tc>
        <w:tc>
          <w:tcPr>
            <w:tcW w:w="2551" w:type="dxa"/>
            <w:vAlign w:val="center"/>
          </w:tcPr>
          <w:p>
            <w:pPr>
              <w:pStyle w:val="13"/>
            </w:pPr>
            <w:r>
              <w:t>22.61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3.32</w:t>
            </w:r>
          </w:p>
        </w:tc>
        <w:tc>
          <w:tcPr>
            <w:tcW w:w="2551" w:type="dxa"/>
            <w:vAlign w:val="center"/>
          </w:tcPr>
          <w:p>
            <w:pPr>
              <w:pStyle w:val="13"/>
            </w:pPr>
            <w:r>
              <w:t>3.32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45.98</w:t>
            </w:r>
          </w:p>
        </w:tc>
        <w:tc>
          <w:tcPr>
            <w:tcW w:w="2551" w:type="dxa"/>
            <w:vAlign w:val="center"/>
          </w:tcPr>
          <w:p>
            <w:pPr>
              <w:pStyle w:val="13"/>
            </w:pPr>
            <w:r>
              <w:t>45.98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35.22</w:t>
            </w:r>
          </w:p>
        </w:tc>
        <w:tc>
          <w:tcPr>
            <w:tcW w:w="2551" w:type="dxa"/>
            <w:vAlign w:val="center"/>
          </w:tcPr>
          <w:p>
            <w:pPr>
              <w:pStyle w:val="13"/>
            </w:pPr>
          </w:p>
        </w:tc>
        <w:tc>
          <w:tcPr>
            <w:tcW w:w="2551" w:type="dxa"/>
            <w:vAlign w:val="center"/>
          </w:tcPr>
          <w:p>
            <w:pPr>
              <w:pStyle w:val="13"/>
            </w:pPr>
            <w:r>
              <w:t>35.22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8.68</w:t>
            </w:r>
          </w:p>
        </w:tc>
        <w:tc>
          <w:tcPr>
            <w:tcW w:w="2551" w:type="dxa"/>
            <w:vAlign w:val="center"/>
          </w:tcPr>
          <w:p>
            <w:pPr>
              <w:pStyle w:val="13"/>
            </w:pPr>
          </w:p>
        </w:tc>
        <w:tc>
          <w:tcPr>
            <w:tcW w:w="2551" w:type="dxa"/>
            <w:vAlign w:val="center"/>
          </w:tcPr>
          <w:p>
            <w:pPr>
              <w:pStyle w:val="13"/>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1.24</w:t>
            </w:r>
          </w:p>
        </w:tc>
        <w:tc>
          <w:tcPr>
            <w:tcW w:w="2551" w:type="dxa"/>
            <w:vAlign w:val="center"/>
          </w:tcPr>
          <w:p>
            <w:pPr>
              <w:pStyle w:val="13"/>
            </w:pPr>
          </w:p>
        </w:tc>
        <w:tc>
          <w:tcPr>
            <w:tcW w:w="2551" w:type="dxa"/>
            <w:vAlign w:val="center"/>
          </w:tcPr>
          <w:p>
            <w:pPr>
              <w:pStyle w:val="13"/>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2.64</w:t>
            </w:r>
          </w:p>
        </w:tc>
        <w:tc>
          <w:tcPr>
            <w:tcW w:w="2551" w:type="dxa"/>
            <w:vAlign w:val="center"/>
          </w:tcPr>
          <w:p>
            <w:pPr>
              <w:pStyle w:val="13"/>
            </w:pPr>
          </w:p>
        </w:tc>
        <w:tc>
          <w:tcPr>
            <w:tcW w:w="2551" w:type="dxa"/>
            <w:vAlign w:val="center"/>
          </w:tcPr>
          <w:p>
            <w:pPr>
              <w:pStyle w:val="13"/>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4.96</w:t>
            </w:r>
          </w:p>
        </w:tc>
        <w:tc>
          <w:tcPr>
            <w:tcW w:w="2551" w:type="dxa"/>
            <w:vAlign w:val="center"/>
          </w:tcPr>
          <w:p>
            <w:pPr>
              <w:pStyle w:val="13"/>
            </w:pPr>
          </w:p>
        </w:tc>
        <w:tc>
          <w:tcPr>
            <w:tcW w:w="2551" w:type="dxa"/>
            <w:vAlign w:val="center"/>
          </w:tcPr>
          <w:p>
            <w:pPr>
              <w:pStyle w:val="13"/>
            </w:pPr>
            <w:r>
              <w:t>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4.30</w:t>
            </w:r>
          </w:p>
        </w:tc>
        <w:tc>
          <w:tcPr>
            <w:tcW w:w="2551" w:type="dxa"/>
            <w:vAlign w:val="center"/>
          </w:tcPr>
          <w:p>
            <w:pPr>
              <w:pStyle w:val="13"/>
            </w:pPr>
          </w:p>
        </w:tc>
        <w:tc>
          <w:tcPr>
            <w:tcW w:w="2551" w:type="dxa"/>
            <w:vAlign w:val="center"/>
          </w:tcPr>
          <w:p>
            <w:pPr>
              <w:pStyle w:val="13"/>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2.29</w:t>
            </w:r>
          </w:p>
        </w:tc>
        <w:tc>
          <w:tcPr>
            <w:tcW w:w="2551" w:type="dxa"/>
            <w:vAlign w:val="center"/>
          </w:tcPr>
          <w:p>
            <w:pPr>
              <w:pStyle w:val="13"/>
            </w:pPr>
          </w:p>
        </w:tc>
        <w:tc>
          <w:tcPr>
            <w:tcW w:w="2551" w:type="dxa"/>
            <w:vAlign w:val="center"/>
          </w:tcPr>
          <w:p>
            <w:pPr>
              <w:pStyle w:val="13"/>
            </w:pPr>
            <w:r>
              <w:t>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0.36</w:t>
            </w:r>
          </w:p>
        </w:tc>
        <w:tc>
          <w:tcPr>
            <w:tcW w:w="2551" w:type="dxa"/>
            <w:vAlign w:val="center"/>
          </w:tcPr>
          <w:p>
            <w:pPr>
              <w:pStyle w:val="13"/>
            </w:pPr>
          </w:p>
        </w:tc>
        <w:tc>
          <w:tcPr>
            <w:tcW w:w="2551" w:type="dxa"/>
            <w:vAlign w:val="center"/>
          </w:tcPr>
          <w:p>
            <w:pPr>
              <w:pStyle w:val="13"/>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4.58</w:t>
            </w:r>
          </w:p>
        </w:tc>
        <w:tc>
          <w:tcPr>
            <w:tcW w:w="2551" w:type="dxa"/>
            <w:vAlign w:val="center"/>
          </w:tcPr>
          <w:p>
            <w:pPr>
              <w:pStyle w:val="13"/>
            </w:pPr>
          </w:p>
        </w:tc>
        <w:tc>
          <w:tcPr>
            <w:tcW w:w="2551" w:type="dxa"/>
            <w:vAlign w:val="center"/>
          </w:tcPr>
          <w:p>
            <w:pPr>
              <w:pStyle w:val="13"/>
            </w:pPr>
            <w:r>
              <w:t>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3.18</w:t>
            </w:r>
          </w:p>
        </w:tc>
        <w:tc>
          <w:tcPr>
            <w:tcW w:w="2551" w:type="dxa"/>
            <w:vAlign w:val="center"/>
          </w:tcPr>
          <w:p>
            <w:pPr>
              <w:pStyle w:val="13"/>
            </w:pPr>
          </w:p>
        </w:tc>
        <w:tc>
          <w:tcPr>
            <w:tcW w:w="2551" w:type="dxa"/>
            <w:vAlign w:val="center"/>
          </w:tcPr>
          <w:p>
            <w:pPr>
              <w:pStyle w:val="13"/>
            </w:pPr>
            <w:r>
              <w:t>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7.87</w:t>
            </w:r>
          </w:p>
        </w:tc>
        <w:tc>
          <w:tcPr>
            <w:tcW w:w="2551" w:type="dxa"/>
            <w:vAlign w:val="center"/>
          </w:tcPr>
          <w:p>
            <w:pPr>
              <w:pStyle w:val="13"/>
            </w:pPr>
            <w:r>
              <w:t>7.87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7.87</w:t>
            </w:r>
          </w:p>
        </w:tc>
        <w:tc>
          <w:tcPr>
            <w:tcW w:w="2551" w:type="dxa"/>
            <w:vAlign w:val="center"/>
          </w:tcPr>
          <w:p>
            <w:pPr>
              <w:pStyle w:val="13"/>
            </w:pPr>
            <w:r>
              <w:t>7.87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1.24</w:t>
            </w:r>
          </w:p>
        </w:tc>
        <w:tc>
          <w:tcPr>
            <w:tcW w:w="2551" w:type="dxa"/>
            <w:vAlign w:val="center"/>
          </w:tcPr>
          <w:p>
            <w:pPr>
              <w:pStyle w:val="13"/>
            </w:pPr>
          </w:p>
        </w:tc>
        <w:tc>
          <w:tcPr>
            <w:tcW w:w="2551" w:type="dxa"/>
            <w:vAlign w:val="center"/>
          </w:tcPr>
          <w:p>
            <w:pPr>
              <w:pStyle w:val="13"/>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1.24</w:t>
            </w:r>
          </w:p>
        </w:tc>
        <w:tc>
          <w:tcPr>
            <w:tcW w:w="2551" w:type="dxa"/>
            <w:vAlign w:val="center"/>
          </w:tcPr>
          <w:p>
            <w:pPr>
              <w:pStyle w:val="13"/>
            </w:pPr>
          </w:p>
        </w:tc>
        <w:tc>
          <w:tcPr>
            <w:tcW w:w="2551" w:type="dxa"/>
            <w:vAlign w:val="center"/>
          </w:tcPr>
          <w:p>
            <w:pPr>
              <w:pStyle w:val="13"/>
            </w:pPr>
            <w:r>
              <w:t>1.24</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322秦皇岛北戴河新区招商和投资促进局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322秦皇岛北戴河新区招商和投资促进局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322秦皇岛北戴河新区招商和投资促进局</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rPr>
                <w:rFonts w:hint="default" w:eastAsia="方正书宋_GBK"/>
                <w:highlight w:val="none"/>
                <w:lang w:val="en-US" w:eastAsia="zh-CN"/>
              </w:rPr>
            </w:pPr>
            <w:r>
              <w:rPr>
                <w:rFonts w:hint="eastAsia"/>
                <w:highlight w:val="none"/>
                <w:lang w:val="en-US" w:eastAsia="zh-CN"/>
              </w:rPr>
              <w:t>40.36</w:t>
            </w:r>
          </w:p>
        </w:tc>
        <w:tc>
          <w:tcPr>
            <w:tcW w:w="2381" w:type="dxa"/>
            <w:vAlign w:val="center"/>
          </w:tcPr>
          <w:p>
            <w:pPr>
              <w:pStyle w:val="17"/>
              <w:rPr>
                <w:rFonts w:hint="default" w:eastAsia="方正书宋_GBK"/>
                <w:highlight w:val="none"/>
                <w:lang w:val="en-US" w:eastAsia="zh-CN"/>
              </w:rPr>
            </w:pPr>
            <w:r>
              <w:rPr>
                <w:rFonts w:hint="eastAsia"/>
                <w:highlight w:val="none"/>
                <w:lang w:val="en-US" w:eastAsia="zh-CN"/>
              </w:rPr>
              <w:t>40.36</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40.36</w:t>
            </w:r>
          </w:p>
        </w:tc>
        <w:tc>
          <w:tcPr>
            <w:tcW w:w="2381" w:type="dxa"/>
            <w:vAlign w:val="center"/>
          </w:tcPr>
          <w:p>
            <w:pPr>
              <w:pStyle w:val="13"/>
            </w:pPr>
            <w:r>
              <w:t>40.36</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40.36</w:t>
            </w:r>
          </w:p>
        </w:tc>
        <w:tc>
          <w:tcPr>
            <w:tcW w:w="2381" w:type="dxa"/>
            <w:vAlign w:val="center"/>
          </w:tcPr>
          <w:p>
            <w:pPr>
              <w:pStyle w:val="13"/>
            </w:pPr>
            <w:r>
              <w:t>40.36</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秦皇岛北戴河新区招商和投资促进局2026年部门预算信息公开情况说明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秦皇岛北戴河新区招商和投资促进局2026年部门预算信息公开情况说明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按照《中华人民共和国预算法》、《地方预决算公开操作规程》和《关于进一步推进预算公开工作的实施意见》规定，现将秦皇岛北戴河新区招商和投资促进局2026年部门预算公开如下：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新区招商局贯彻落实党中央和省市委、新区工委关于招商工作的方针政策和决策部署，坚持和加强党对招商工作的集中统一领导，主要职责是：</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（一）负责拟</w:t>
      </w:r>
      <w:r>
        <w:rPr>
          <w:rFonts w:hint="eastAsia" w:ascii="Times New Roman" w:hAnsi="Times New Roman" w:eastAsia="方正仿宋_GBK" w:cs="Times New Roman"/>
          <w:color w:val="000000"/>
          <w:sz w:val="28"/>
          <w:lang w:eastAsia="zh-CN"/>
        </w:rPr>
        <w:t>订</w:t>
      </w:r>
      <w:r>
        <w:rPr>
          <w:rFonts w:ascii="Times New Roman" w:hAnsi="Times New Roman" w:eastAsia="方正仿宋_GBK" w:cs="Times New Roman"/>
          <w:color w:val="000000"/>
          <w:sz w:val="28"/>
        </w:rPr>
        <w:t>招商引资战略、中长期规划、方针政策及招商引资工作流程、服务规范，建立健全招商引资综合考核评价体系。</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（二）负责编制并实施招商引资工作目标和年度招商工作计划。</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（三）负责统筹招商引资工作，组织招商工作相关会议，会同有关部门做好招商项目签约工作。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（四）负责驻外招商联络机构的管理工作。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（五）负责</w:t>
      </w:r>
      <w:r>
        <w:rPr>
          <w:rFonts w:hint="eastAsia" w:ascii="Times New Roman" w:hAnsi="Times New Roman" w:eastAsia="方正仿宋_GBK" w:cs="Times New Roman"/>
          <w:color w:val="000000"/>
          <w:sz w:val="28"/>
          <w:lang w:eastAsia="zh-CN"/>
        </w:rPr>
        <w:t>党工委、管委会</w:t>
      </w:r>
      <w:r>
        <w:rPr>
          <w:rFonts w:ascii="Times New Roman" w:hAnsi="Times New Roman" w:eastAsia="方正仿宋_GBK" w:cs="Times New Roman"/>
          <w:color w:val="000000"/>
          <w:sz w:val="28"/>
        </w:rPr>
        <w:t>招商引资任务推进落实工作。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（六）负责侨梦苑（侨商产业聚集区）工作。</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七</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负责北戴河新区贸促会工作。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八</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承办新区党工委、管委会交办的其他事项</w:t>
      </w:r>
      <w:r>
        <w:rPr>
          <w:rFonts w:ascii="Times New Roman" w:hAnsi="Times New Roman" w:eastAsia="方正仿宋_GBK" w:cs="Times New Roman"/>
          <w:color w:val="000000"/>
          <w:sz w:val="28"/>
        </w:rPr>
        <w:t>。</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秦皇岛北戴河新区招商和投资促进局本级</w:t>
            </w:r>
          </w:p>
        </w:tc>
        <w:tc>
          <w:tcPr>
            <w:tcW w:w="1843" w:type="dxa"/>
            <w:vAlign w:val="center"/>
          </w:tcPr>
          <w:p>
            <w:pPr>
              <w:pStyle w:val="15"/>
            </w:pPr>
            <w:r>
              <w:t>行政</w:t>
            </w:r>
          </w:p>
        </w:tc>
        <w:tc>
          <w:tcPr>
            <w:tcW w:w="2126" w:type="dxa"/>
            <w:vAlign w:val="center"/>
          </w:tcPr>
          <w:p>
            <w:pPr>
              <w:pStyle w:val="15"/>
            </w:pPr>
            <w:r>
              <w:t>副处（县）级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w:t>
      </w:r>
      <w:r>
        <w:rPr>
          <w:rFonts w:hint="eastAsia" w:ascii="Times New Roman" w:hAnsi="Times New Roman" w:eastAsia="方正仿宋_GBK" w:cs="Times New Roman"/>
          <w:b w:val="0"/>
          <w:color w:val="000000"/>
          <w:sz w:val="28"/>
          <w:lang w:val="en-US" w:eastAsia="zh-CN"/>
        </w:rPr>
        <w:t>部门</w:t>
      </w:r>
      <w:r>
        <w:rPr>
          <w:rFonts w:ascii="Times New Roman" w:hAnsi="Times New Roman" w:eastAsia="方正仿宋_GBK" w:cs="Times New Roman"/>
          <w:b w:val="0"/>
          <w:color w:val="000000"/>
          <w:sz w:val="28"/>
        </w:rPr>
        <w:t>预算的编制实行综合预算管理，即全部收入和支出都反映在预算中。</w:t>
      </w:r>
    </w:p>
    <w:p>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val="en-US" w:eastAsia="zh-CN"/>
        </w:rPr>
        <w:t>一</w:t>
      </w:r>
      <w:r>
        <w:rPr>
          <w:rFonts w:hint="eastAsia" w:ascii="Times New Roman" w:hAnsi="Times New Roman" w:eastAsia="方正仿宋_GBK" w:cs="Times New Roman"/>
          <w:b w:val="0"/>
          <w:color w:val="000000"/>
          <w:sz w:val="28"/>
          <w:lang w:eastAsia="zh-CN"/>
        </w:rPr>
        <w:t>）</w:t>
      </w:r>
      <w:r>
        <w:rPr>
          <w:rFonts w:hint="default" w:ascii="Times New Roman" w:hAnsi="Times New Roman" w:eastAsia="方正仿宋_GBK" w:cs="Times New Roman"/>
          <w:b w:val="0"/>
          <w:color w:val="000000"/>
          <w:sz w:val="28"/>
        </w:rPr>
        <w:t>收入说明</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反映本</w:t>
      </w:r>
      <w:r>
        <w:rPr>
          <w:rFonts w:hint="eastAsia" w:ascii="Times New Roman" w:hAnsi="Times New Roman" w:eastAsia="方正仿宋_GBK" w:cs="Times New Roman"/>
          <w:b w:val="0"/>
          <w:color w:val="000000"/>
          <w:sz w:val="28"/>
          <w:lang w:val="en-US" w:eastAsia="zh-CN"/>
        </w:rPr>
        <w:t>部门</w:t>
      </w:r>
      <w:r>
        <w:rPr>
          <w:rFonts w:ascii="Times New Roman" w:hAnsi="Times New Roman" w:eastAsia="方正仿宋_GBK" w:cs="Times New Roman"/>
          <w:b w:val="0"/>
          <w:color w:val="000000"/>
          <w:sz w:val="28"/>
        </w:rPr>
        <w:t>当年全部收入。</w:t>
      </w:r>
      <w:r>
        <w:rPr>
          <w:rFonts w:hint="eastAsia" w:ascii="Times New Roman" w:hAnsi="Times New Roman" w:eastAsia="方正仿宋_GBK" w:cs="Times New Roman"/>
          <w:b w:val="0"/>
          <w:color w:val="000000"/>
          <w:sz w:val="28"/>
          <w:lang w:eastAsia="zh-CN"/>
        </w:rPr>
        <w:t>202</w:t>
      </w:r>
      <w:r>
        <w:rPr>
          <w:rFonts w:hint="eastAsia" w:ascii="Times New Roman" w:hAnsi="Times New Roman" w:eastAsia="方正仿宋_GBK" w:cs="Times New Roman"/>
          <w:b w:val="0"/>
          <w:color w:val="000000"/>
          <w:sz w:val="28"/>
          <w:lang w:val="en-US" w:eastAsia="zh-CN"/>
        </w:rPr>
        <w:t>6</w:t>
      </w:r>
      <w:r>
        <w:rPr>
          <w:rFonts w:hint="eastAsia" w:ascii="Times New Roman" w:hAnsi="Times New Roman" w:eastAsia="方正仿宋_GBK" w:cs="Times New Roman"/>
          <w:b w:val="0"/>
          <w:color w:val="000000"/>
          <w:sz w:val="28"/>
          <w:lang w:eastAsia="zh-CN"/>
        </w:rPr>
        <w:t>年</w:t>
      </w:r>
      <w:r>
        <w:rPr>
          <w:rFonts w:hint="default" w:ascii="Times New Roman" w:hAnsi="Times New Roman" w:eastAsia="方正仿宋_GBK" w:cs="Times New Roman"/>
          <w:b w:val="0"/>
          <w:color w:val="000000"/>
          <w:sz w:val="28"/>
        </w:rPr>
        <w:t>预算收入</w:t>
      </w:r>
      <w:r>
        <w:rPr>
          <w:rFonts w:hint="eastAsia" w:ascii="Times New Roman" w:hAnsi="Times New Roman" w:eastAsia="方正仿宋_GBK" w:cs="Times New Roman"/>
          <w:b w:val="0"/>
          <w:color w:val="000000"/>
          <w:sz w:val="28"/>
          <w:lang w:val="en-US" w:eastAsia="zh-CN"/>
        </w:rPr>
        <w:t>918.68</w:t>
      </w:r>
      <w:r>
        <w:rPr>
          <w:rFonts w:hint="default" w:ascii="Times New Roman" w:hAnsi="Times New Roman" w:eastAsia="方正仿宋_GBK" w:cs="Times New Roman"/>
          <w:b w:val="0"/>
          <w:color w:val="000000"/>
          <w:sz w:val="28"/>
        </w:rPr>
        <w:t>万元，一般公共预算拨款</w:t>
      </w:r>
      <w:r>
        <w:rPr>
          <w:rFonts w:hint="eastAsia" w:ascii="Times New Roman" w:hAnsi="Times New Roman" w:eastAsia="方正仿宋_GBK" w:cs="Times New Roman"/>
          <w:b w:val="0"/>
          <w:color w:val="000000"/>
          <w:sz w:val="28"/>
          <w:lang w:val="en-US" w:eastAsia="zh-CN"/>
        </w:rPr>
        <w:t>918.68</w:t>
      </w:r>
      <w:r>
        <w:rPr>
          <w:rFonts w:hint="default"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lang w:eastAsia="zh-CN"/>
        </w:rPr>
        <w:t>、</w:t>
      </w:r>
      <w:r>
        <w:rPr>
          <w:rFonts w:ascii="Times New Roman" w:hAnsi="Times New Roman" w:eastAsia="方正仿宋_GBK" w:cs="Times New Roman"/>
          <w:b w:val="0"/>
          <w:color w:val="000000"/>
          <w:sz w:val="28"/>
        </w:rPr>
        <w:t>政府性基金预算拨款收入</w:t>
      </w:r>
      <w:r>
        <w:rPr>
          <w:rFonts w:hint="eastAsia" w:ascii="Times New Roman" w:hAnsi="Times New Roman" w:eastAsia="方正仿宋_GBK" w:cs="Times New Roman"/>
          <w:b w:val="0"/>
          <w:color w:val="000000"/>
          <w:sz w:val="28"/>
          <w:lang w:val="en-US" w:eastAsia="zh-CN"/>
        </w:rPr>
        <w:t>0万元、</w:t>
      </w:r>
      <w:r>
        <w:rPr>
          <w:rFonts w:ascii="Times New Roman" w:hAnsi="Times New Roman" w:eastAsia="方正仿宋_GBK" w:cs="Times New Roman"/>
          <w:b w:val="0"/>
          <w:color w:val="000000"/>
          <w:sz w:val="28"/>
        </w:rPr>
        <w:t>国有资本经营预算拨款收入</w:t>
      </w:r>
      <w:r>
        <w:rPr>
          <w:rFonts w:hint="eastAsia" w:ascii="Times New Roman" w:hAnsi="Times New Roman" w:eastAsia="方正仿宋_GBK" w:cs="Times New Roman"/>
          <w:b w:val="0"/>
          <w:color w:val="000000"/>
          <w:sz w:val="28"/>
          <w:lang w:val="en-US" w:eastAsia="zh-CN"/>
        </w:rPr>
        <w:t>0万元、</w:t>
      </w:r>
      <w:r>
        <w:rPr>
          <w:rFonts w:ascii="Times New Roman" w:hAnsi="Times New Roman" w:eastAsia="方正仿宋_GBK" w:cs="Times New Roman"/>
          <w:b w:val="0"/>
          <w:color w:val="000000"/>
          <w:sz w:val="28"/>
        </w:rPr>
        <w:t>财政专户管理资金收入</w:t>
      </w:r>
      <w:r>
        <w:rPr>
          <w:rFonts w:hint="eastAsia" w:ascii="Times New Roman" w:hAnsi="Times New Roman" w:eastAsia="方正仿宋_GBK" w:cs="Times New Roman"/>
          <w:b w:val="0"/>
          <w:color w:val="000000"/>
          <w:sz w:val="28"/>
          <w:lang w:val="en-US" w:eastAsia="zh-CN"/>
        </w:rPr>
        <w:t>0万元、</w:t>
      </w:r>
      <w:r>
        <w:rPr>
          <w:rFonts w:ascii="Times New Roman" w:hAnsi="Times New Roman" w:eastAsia="方正仿宋_GBK" w:cs="Times New Roman"/>
          <w:b w:val="0"/>
          <w:color w:val="000000"/>
          <w:sz w:val="28"/>
        </w:rPr>
        <w:t>单位资金</w:t>
      </w:r>
      <w:r>
        <w:rPr>
          <w:rFonts w:hint="eastAsia" w:ascii="Times New Roman" w:hAnsi="Times New Roman" w:eastAsia="方正仿宋_GBK" w:cs="Times New Roman"/>
          <w:b w:val="0"/>
          <w:color w:val="000000"/>
          <w:sz w:val="28"/>
          <w:lang w:val="en-US" w:eastAsia="zh-CN"/>
        </w:rPr>
        <w:t>收入0万元</w:t>
      </w:r>
      <w:r>
        <w:rPr>
          <w:rFonts w:hint="default" w:ascii="Times New Roman" w:hAnsi="Times New Roman" w:eastAsia="方正仿宋_GBK" w:cs="Times New Roman"/>
          <w:b w:val="0"/>
          <w:color w:val="000000"/>
          <w:sz w:val="28"/>
        </w:rPr>
        <w:t>。</w:t>
      </w:r>
    </w:p>
    <w:p>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val="en-US" w:eastAsia="zh-CN"/>
        </w:rPr>
        <w:t>二</w:t>
      </w:r>
      <w:r>
        <w:rPr>
          <w:rFonts w:hint="eastAsia" w:ascii="Times New Roman" w:hAnsi="Times New Roman" w:eastAsia="方正仿宋_GBK" w:cs="Times New Roman"/>
          <w:b w:val="0"/>
          <w:color w:val="000000"/>
          <w:sz w:val="28"/>
          <w:lang w:eastAsia="zh-CN"/>
        </w:rPr>
        <w:t>）</w:t>
      </w:r>
      <w:r>
        <w:rPr>
          <w:rFonts w:hint="default" w:ascii="Times New Roman" w:hAnsi="Times New Roman" w:eastAsia="方正仿宋_GBK" w:cs="Times New Roman"/>
          <w:b w:val="0"/>
          <w:color w:val="000000"/>
          <w:sz w:val="28"/>
        </w:rPr>
        <w:t>支出说明</w:t>
      </w:r>
    </w:p>
    <w:p>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收支预算总表支出栏、基本支出表、项目支出表按经济分类和支出功能分类科目编制，反映年度</w:t>
      </w:r>
      <w:r>
        <w:rPr>
          <w:rFonts w:hint="eastAsia" w:ascii="Times New Roman" w:hAnsi="Times New Roman"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预算中支出预算的总体情况</w:t>
      </w:r>
      <w:r>
        <w:rPr>
          <w:rFonts w:hint="eastAsia" w:ascii="Times New Roman" w:hAnsi="Times New Roman" w:eastAsia="方正仿宋_GBK" w:cs="Times New Roman"/>
          <w:b w:val="0"/>
          <w:color w:val="000000"/>
          <w:sz w:val="28"/>
          <w:lang w:eastAsia="zh-CN"/>
        </w:rPr>
        <w:t>。20</w:t>
      </w:r>
      <w:r>
        <w:rPr>
          <w:rFonts w:hint="eastAsia" w:ascii="Times New Roman" w:hAnsi="Times New Roman" w:eastAsia="方正仿宋_GBK" w:cs="Times New Roman"/>
          <w:b w:val="0"/>
          <w:color w:val="000000"/>
          <w:sz w:val="28"/>
          <w:lang w:val="en-US" w:eastAsia="zh-CN"/>
        </w:rPr>
        <w:t>26</w:t>
      </w:r>
      <w:r>
        <w:rPr>
          <w:rFonts w:hint="eastAsia" w:ascii="Times New Roman" w:hAnsi="Times New Roman" w:eastAsia="方正仿宋_GBK" w:cs="Times New Roman"/>
          <w:b w:val="0"/>
          <w:color w:val="000000"/>
          <w:sz w:val="28"/>
          <w:lang w:eastAsia="zh-CN"/>
        </w:rPr>
        <w:t>年</w:t>
      </w:r>
      <w:r>
        <w:rPr>
          <w:rFonts w:hint="default" w:ascii="Times New Roman" w:hAnsi="Times New Roman" w:eastAsia="方正仿宋_GBK" w:cs="Times New Roman"/>
          <w:b w:val="0"/>
          <w:color w:val="000000"/>
          <w:sz w:val="28"/>
        </w:rPr>
        <w:t>部门支出预算为</w:t>
      </w:r>
      <w:r>
        <w:rPr>
          <w:rFonts w:hint="eastAsia" w:ascii="Times New Roman" w:hAnsi="Times New Roman" w:eastAsia="方正仿宋_GBK" w:cs="Times New Roman"/>
          <w:b w:val="0"/>
          <w:color w:val="000000"/>
          <w:sz w:val="28"/>
          <w:lang w:val="en-US" w:eastAsia="zh-CN"/>
        </w:rPr>
        <w:t>918.68</w:t>
      </w:r>
      <w:r>
        <w:rPr>
          <w:rFonts w:hint="default" w:ascii="Times New Roman" w:hAnsi="Times New Roman" w:eastAsia="方正仿宋_GBK" w:cs="Times New Roman"/>
          <w:b w:val="0"/>
          <w:color w:val="000000"/>
          <w:sz w:val="28"/>
        </w:rPr>
        <w:t>万元，其中基本支出</w:t>
      </w:r>
      <w:r>
        <w:rPr>
          <w:rFonts w:hint="eastAsia" w:ascii="Times New Roman" w:hAnsi="Times New Roman" w:eastAsia="方正仿宋_GBK" w:cs="Times New Roman"/>
          <w:b w:val="0"/>
          <w:color w:val="000000"/>
          <w:sz w:val="28"/>
          <w:lang w:val="en-US" w:eastAsia="zh-CN"/>
        </w:rPr>
        <w:t>609.6</w:t>
      </w:r>
      <w:r>
        <w:rPr>
          <w:rFonts w:hint="default" w:ascii="Times New Roman" w:hAnsi="Times New Roman" w:eastAsia="方正仿宋_GBK" w:cs="Times New Roman"/>
          <w:b w:val="0"/>
          <w:color w:val="000000"/>
          <w:sz w:val="28"/>
        </w:rPr>
        <w:t>万元，包括人员经费</w:t>
      </w:r>
      <w:r>
        <w:rPr>
          <w:rFonts w:hint="eastAsia" w:ascii="Times New Roman" w:hAnsi="Times New Roman" w:eastAsia="方正仿宋_GBK" w:cs="Times New Roman"/>
          <w:b w:val="0"/>
          <w:color w:val="000000"/>
          <w:sz w:val="28"/>
          <w:lang w:val="en-US" w:eastAsia="zh-CN"/>
        </w:rPr>
        <w:t>573.22</w:t>
      </w:r>
      <w:r>
        <w:rPr>
          <w:rFonts w:hint="default" w:ascii="Times New Roman" w:hAnsi="Times New Roman" w:eastAsia="方正仿宋_GBK" w:cs="Times New Roman"/>
          <w:b w:val="0"/>
          <w:color w:val="000000"/>
          <w:sz w:val="28"/>
        </w:rPr>
        <w:t>万元和日常公用经费</w:t>
      </w:r>
      <w:r>
        <w:rPr>
          <w:rFonts w:hint="eastAsia" w:ascii="Times New Roman" w:hAnsi="Times New Roman" w:eastAsia="方正仿宋_GBK" w:cs="Times New Roman"/>
          <w:b w:val="0"/>
          <w:color w:val="000000"/>
          <w:sz w:val="28"/>
          <w:lang w:val="en-US" w:eastAsia="zh-CN"/>
        </w:rPr>
        <w:t>36.46</w:t>
      </w:r>
      <w:r>
        <w:rPr>
          <w:rFonts w:hint="default" w:ascii="Times New Roman" w:hAnsi="Times New Roman" w:eastAsia="方正仿宋_GBK" w:cs="Times New Roman"/>
          <w:b w:val="0"/>
          <w:color w:val="000000"/>
          <w:sz w:val="28"/>
        </w:rPr>
        <w:t>万元；项目支出</w:t>
      </w:r>
      <w:r>
        <w:rPr>
          <w:rFonts w:hint="eastAsia" w:ascii="Times New Roman" w:hAnsi="Times New Roman" w:eastAsia="方正仿宋_GBK" w:cs="Times New Roman"/>
          <w:b w:val="0"/>
          <w:color w:val="000000"/>
          <w:sz w:val="28"/>
          <w:lang w:val="en-US" w:eastAsia="zh-CN"/>
        </w:rPr>
        <w:t>309</w:t>
      </w:r>
      <w:r>
        <w:rPr>
          <w:rFonts w:hint="default" w:ascii="Times New Roman" w:hAnsi="Times New Roman" w:eastAsia="方正仿宋_GBK" w:cs="Times New Roman"/>
          <w:b w:val="0"/>
          <w:color w:val="000000"/>
          <w:sz w:val="28"/>
        </w:rPr>
        <w:t>万元，全部为本级支出</w:t>
      </w: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val="en-US" w:eastAsia="zh-CN"/>
        </w:rPr>
        <w:t>主要为招商和商务工作经费</w:t>
      </w:r>
      <w:r>
        <w:rPr>
          <w:rFonts w:hint="eastAsia" w:ascii="Times New Roman" w:hAnsi="Times New Roman" w:eastAsia="方正仿宋_GBK" w:cs="Times New Roman"/>
          <w:b w:val="0"/>
          <w:color w:val="000000"/>
          <w:sz w:val="28"/>
          <w:lang w:eastAsia="zh-CN"/>
        </w:rPr>
        <w:t>、</w:t>
      </w:r>
      <w:r>
        <w:rPr>
          <w:rFonts w:ascii="Times New Roman" w:hAnsi="Times New Roman" w:eastAsia="方正仿宋_GBK" w:cs="Times New Roman"/>
          <w:b w:val="0"/>
          <w:color w:val="000000"/>
          <w:sz w:val="28"/>
        </w:rPr>
        <w:t>招商活动经费</w:t>
      </w:r>
      <w:r>
        <w:rPr>
          <w:rFonts w:hint="default" w:ascii="Times New Roman" w:hAnsi="Times New Roman" w:eastAsia="方正仿宋_GBK" w:cs="Times New Roman"/>
          <w:b w:val="0"/>
          <w:color w:val="000000"/>
          <w:sz w:val="28"/>
        </w:rPr>
        <w:t>。</w:t>
      </w:r>
    </w:p>
    <w:p>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val="en-US" w:eastAsia="zh-CN"/>
        </w:rPr>
        <w:t>三</w:t>
      </w:r>
      <w:r>
        <w:rPr>
          <w:rFonts w:hint="eastAsia" w:ascii="Times New Roman" w:hAnsi="Times New Roman" w:eastAsia="方正仿宋_GBK" w:cs="Times New Roman"/>
          <w:b w:val="0"/>
          <w:color w:val="000000"/>
          <w:sz w:val="28"/>
          <w:lang w:eastAsia="zh-CN"/>
        </w:rPr>
        <w:t>）</w:t>
      </w:r>
      <w:r>
        <w:rPr>
          <w:rFonts w:hint="default" w:ascii="Times New Roman" w:hAnsi="Times New Roman" w:eastAsia="方正仿宋_GBK" w:cs="Times New Roman"/>
          <w:b w:val="0"/>
          <w:color w:val="000000"/>
          <w:sz w:val="28"/>
        </w:rPr>
        <w:t>比上年增减情况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2026</w:t>
      </w:r>
      <w:r>
        <w:rPr>
          <w:rFonts w:hint="eastAsia" w:ascii="Times New Roman" w:hAnsi="Times New Roman" w:eastAsia="方正仿宋_GBK" w:cs="Times New Roman"/>
          <w:b w:val="0"/>
          <w:color w:val="000000"/>
          <w:sz w:val="28"/>
          <w:lang w:eastAsia="zh-CN"/>
        </w:rPr>
        <w:t>年</w:t>
      </w:r>
      <w:r>
        <w:rPr>
          <w:rFonts w:hint="eastAsia" w:ascii="Times New Roman" w:hAnsi="Times New Roman" w:eastAsia="方正仿宋_GBK" w:cs="Times New Roman"/>
          <w:b w:val="0"/>
          <w:color w:val="000000"/>
          <w:sz w:val="28"/>
          <w:lang w:val="en-US" w:eastAsia="zh-CN"/>
        </w:rPr>
        <w:t>单位</w:t>
      </w:r>
      <w:r>
        <w:rPr>
          <w:rFonts w:hint="default" w:ascii="Times New Roman" w:hAnsi="Times New Roman" w:eastAsia="方正仿宋_GBK" w:cs="Times New Roman"/>
          <w:b w:val="0"/>
          <w:color w:val="000000"/>
          <w:sz w:val="28"/>
        </w:rPr>
        <w:t>预算较</w:t>
      </w:r>
      <w:r>
        <w:rPr>
          <w:rFonts w:hint="eastAsia" w:ascii="Times New Roman" w:hAnsi="Times New Roman" w:eastAsia="方正仿宋_GBK" w:cs="Times New Roman"/>
          <w:b w:val="0"/>
          <w:color w:val="000000"/>
          <w:sz w:val="28"/>
          <w:lang w:val="en-US" w:eastAsia="zh-CN"/>
        </w:rPr>
        <w:t>2025</w:t>
      </w:r>
      <w:r>
        <w:rPr>
          <w:rFonts w:hint="default" w:ascii="Times New Roman" w:hAnsi="Times New Roman" w:eastAsia="方正仿宋_GBK" w:cs="Times New Roman"/>
          <w:b w:val="0"/>
          <w:color w:val="000000"/>
          <w:sz w:val="28"/>
        </w:rPr>
        <w:t>年</w:t>
      </w:r>
      <w:r>
        <w:rPr>
          <w:rFonts w:hint="eastAsia" w:ascii="Times New Roman" w:hAnsi="Times New Roman" w:eastAsia="方正仿宋_GBK" w:cs="Times New Roman"/>
          <w:b w:val="0"/>
          <w:color w:val="000000"/>
          <w:sz w:val="28"/>
          <w:lang w:val="en-US" w:eastAsia="zh-CN"/>
        </w:rPr>
        <w:t>减少103.02</w:t>
      </w:r>
      <w:r>
        <w:rPr>
          <w:rFonts w:hint="default" w:ascii="Times New Roman" w:hAnsi="Times New Roman" w:eastAsia="方正仿宋_GBK" w:cs="Times New Roman"/>
          <w:b w:val="0"/>
          <w:color w:val="000000"/>
          <w:sz w:val="28"/>
        </w:rPr>
        <w:t>万元，其中基本支出</w:t>
      </w:r>
      <w:r>
        <w:rPr>
          <w:rFonts w:hint="eastAsia" w:ascii="Times New Roman" w:hAnsi="Times New Roman" w:eastAsia="方正仿宋_GBK" w:cs="Times New Roman"/>
          <w:b w:val="0"/>
          <w:color w:val="000000"/>
          <w:sz w:val="28"/>
          <w:lang w:val="en-US" w:eastAsia="zh-CN"/>
        </w:rPr>
        <w:t>减少14.2</w:t>
      </w:r>
      <w:r>
        <w:rPr>
          <w:rFonts w:hint="default"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lang w:eastAsia="zh-CN"/>
        </w:rPr>
        <w:t>，</w:t>
      </w:r>
      <w:r>
        <w:rPr>
          <w:rFonts w:hint="default" w:ascii="Times New Roman" w:hAnsi="Times New Roman" w:eastAsia="方正仿宋_GBK" w:cs="Times New Roman"/>
          <w:b w:val="0"/>
          <w:color w:val="000000"/>
          <w:sz w:val="28"/>
        </w:rPr>
        <w:t>人员经费</w:t>
      </w:r>
      <w:r>
        <w:rPr>
          <w:rFonts w:hint="eastAsia" w:ascii="Times New Roman" w:hAnsi="Times New Roman" w:eastAsia="方正仿宋_GBK" w:cs="Times New Roman"/>
          <w:b w:val="0"/>
          <w:color w:val="000000"/>
          <w:sz w:val="28"/>
          <w:lang w:val="en-US" w:eastAsia="zh-CN"/>
        </w:rPr>
        <w:t>增加15.89万元，</w:t>
      </w:r>
      <w:r>
        <w:rPr>
          <w:rFonts w:hint="default" w:ascii="Times New Roman" w:hAnsi="Times New Roman" w:eastAsia="方正仿宋_GBK" w:cs="Times New Roman"/>
          <w:b w:val="0"/>
          <w:color w:val="000000"/>
          <w:sz w:val="28"/>
        </w:rPr>
        <w:t>日常公用经费</w:t>
      </w:r>
      <w:r>
        <w:rPr>
          <w:rFonts w:hint="eastAsia" w:ascii="Times New Roman" w:hAnsi="Times New Roman" w:eastAsia="方正仿宋_GBK" w:cs="Times New Roman"/>
          <w:b w:val="0"/>
          <w:color w:val="000000"/>
          <w:sz w:val="28"/>
          <w:lang w:val="en-US" w:eastAsia="zh-CN"/>
        </w:rPr>
        <w:t>减少1.61万元</w:t>
      </w: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val="en-US" w:eastAsia="zh-CN"/>
        </w:rPr>
        <w:t>主要原因是</w:t>
      </w:r>
      <w:r>
        <w:rPr>
          <w:rFonts w:hint="default" w:ascii="Times New Roman" w:hAnsi="Times New Roman" w:eastAsia="方正仿宋_GBK" w:cs="Times New Roman"/>
          <w:b w:val="0"/>
          <w:color w:val="000000"/>
          <w:sz w:val="28"/>
        </w:rPr>
        <w:t>加强和改善招商干部队伍结构</w:t>
      </w:r>
      <w:r>
        <w:rPr>
          <w:rFonts w:hint="eastAsia" w:ascii="Times New Roman" w:hAnsi="Times New Roman" w:eastAsia="方正仿宋_GBK" w:cs="Times New Roman"/>
          <w:b w:val="0"/>
          <w:color w:val="000000"/>
          <w:sz w:val="28"/>
          <w:lang w:val="en-US" w:eastAsia="zh-CN"/>
        </w:rPr>
        <w:t>人员增加，项目支出减少117.3万元，主要是由于招商活动经费政府采购资金减少以及为建立节约型政府减少招商日常工作经费办公费。</w:t>
      </w:r>
    </w:p>
    <w:p>
      <w:pPr>
        <w:pStyle w:val="2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default" w:ascii="Times New Roman" w:hAnsi="Times New Roman" w:eastAsia="方正仿宋_GBK" w:cs="Times New Roman"/>
          <w:b w:val="0"/>
          <w:color w:val="000000"/>
          <w:sz w:val="28"/>
          <w:lang w:eastAsia="zh-CN"/>
        </w:rPr>
        <w:t>机关运行经费共计安排</w:t>
      </w:r>
      <w:r>
        <w:rPr>
          <w:rFonts w:hint="eastAsia" w:ascii="Times New Roman" w:hAnsi="Times New Roman" w:eastAsia="方正仿宋_GBK" w:cs="Times New Roman"/>
          <w:b w:val="0"/>
          <w:color w:val="000000"/>
          <w:sz w:val="28"/>
          <w:lang w:val="en-US" w:eastAsia="zh-CN"/>
        </w:rPr>
        <w:t>36.46</w:t>
      </w:r>
      <w:r>
        <w:rPr>
          <w:rFonts w:hint="default" w:ascii="Times New Roman" w:hAnsi="Times New Roman" w:eastAsia="方正仿宋_GBK" w:cs="Times New Roman"/>
          <w:b w:val="0"/>
          <w:color w:val="000000"/>
          <w:sz w:val="28"/>
          <w:lang w:eastAsia="zh-CN"/>
        </w:rPr>
        <w:t>万元，主要用于保证机关正常运转支的办公费、印刷费、差旅费、会议费、福利费、专用材料及一般设备购置费、办公用房水电费、日常维修费、办公楼物业管理费等支出。</w:t>
      </w:r>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eastAsia="zh-CN"/>
        </w:rPr>
        <w:t>202</w:t>
      </w:r>
      <w:r>
        <w:rPr>
          <w:rFonts w:hint="eastAsia" w:ascii="Times New Roman" w:hAnsi="Times New Roman" w:eastAsia="方正仿宋_GBK" w:cs="Times New Roman"/>
          <w:b w:val="0"/>
          <w:color w:val="000000"/>
          <w:sz w:val="28"/>
          <w:lang w:val="en-US" w:eastAsia="zh-CN"/>
        </w:rPr>
        <w:t>6</w:t>
      </w:r>
      <w:r>
        <w:rPr>
          <w:rFonts w:hint="eastAsia" w:ascii="Times New Roman" w:hAnsi="Times New Roman" w:eastAsia="方正仿宋_GBK" w:cs="Times New Roman"/>
          <w:b w:val="0"/>
          <w:color w:val="000000"/>
          <w:sz w:val="28"/>
          <w:lang w:eastAsia="zh-CN"/>
        </w:rPr>
        <w:t>年</w:t>
      </w:r>
      <w:r>
        <w:rPr>
          <w:rFonts w:hint="default" w:ascii="Times New Roman" w:hAnsi="Times New Roman" w:eastAsia="方正仿宋_GBK" w:cs="Times New Roman"/>
          <w:b w:val="0"/>
          <w:color w:val="000000"/>
          <w:sz w:val="28"/>
          <w:lang w:eastAsia="zh-CN"/>
        </w:rPr>
        <w:t>，财政拨款“三公”经费预算安排</w:t>
      </w:r>
      <w:r>
        <w:rPr>
          <w:rFonts w:hint="eastAsia" w:ascii="Times New Roman" w:hAnsi="Times New Roman" w:eastAsia="方正仿宋_GBK" w:cs="Times New Roman"/>
          <w:b w:val="0"/>
          <w:color w:val="000000"/>
          <w:sz w:val="28"/>
          <w:lang w:val="en-US" w:eastAsia="zh-CN"/>
        </w:rPr>
        <w:t>40.36</w:t>
      </w:r>
      <w:r>
        <w:rPr>
          <w:rFonts w:hint="default" w:ascii="Times New Roman" w:hAnsi="Times New Roman" w:eastAsia="方正仿宋_GBK" w:cs="Times New Roman"/>
          <w:b w:val="0"/>
          <w:color w:val="000000"/>
          <w:sz w:val="28"/>
          <w:lang w:eastAsia="zh-CN"/>
        </w:rPr>
        <w:t>万元，其中：因公出国（境）费0万元；公务用车购置及运维费</w:t>
      </w:r>
      <w:r>
        <w:rPr>
          <w:rFonts w:hint="eastAsia" w:ascii="Times New Roman" w:hAnsi="Times New Roman" w:eastAsia="方正仿宋_GBK" w:cs="Times New Roman"/>
          <w:b w:val="0"/>
          <w:color w:val="000000"/>
          <w:sz w:val="28"/>
          <w:lang w:val="en-US" w:eastAsia="zh-CN"/>
        </w:rPr>
        <w:t>0</w:t>
      </w:r>
      <w:r>
        <w:rPr>
          <w:rFonts w:hint="default" w:ascii="Times New Roman" w:hAnsi="Times New Roman" w:eastAsia="方正仿宋_GBK" w:cs="Times New Roman"/>
          <w:b w:val="0"/>
          <w:color w:val="000000"/>
          <w:sz w:val="28"/>
          <w:lang w:eastAsia="zh-CN"/>
        </w:rPr>
        <w:t>万元；公务接待费</w:t>
      </w:r>
      <w:r>
        <w:rPr>
          <w:rFonts w:hint="eastAsia" w:ascii="Times New Roman" w:hAnsi="Times New Roman" w:eastAsia="方正仿宋_GBK" w:cs="Times New Roman"/>
          <w:b w:val="0"/>
          <w:color w:val="000000"/>
          <w:sz w:val="28"/>
          <w:lang w:val="en-US" w:eastAsia="zh-CN"/>
        </w:rPr>
        <w:t>40.36</w:t>
      </w:r>
      <w:r>
        <w:rPr>
          <w:rFonts w:hint="default" w:ascii="Times New Roman" w:hAnsi="Times New Roman" w:eastAsia="方正仿宋_GBK" w:cs="Times New Roman"/>
          <w:b w:val="0"/>
          <w:color w:val="000000"/>
          <w:sz w:val="28"/>
          <w:lang w:eastAsia="zh-CN"/>
        </w:rPr>
        <w:t>万元。“三公”经费较上年</w:t>
      </w:r>
      <w:r>
        <w:rPr>
          <w:rFonts w:hint="eastAsia" w:ascii="Times New Roman" w:hAnsi="Times New Roman" w:eastAsia="方正仿宋_GBK" w:cs="Times New Roman"/>
          <w:b w:val="0"/>
          <w:color w:val="000000"/>
          <w:sz w:val="28"/>
          <w:lang w:val="en-US" w:eastAsia="zh-CN"/>
        </w:rPr>
        <w:t>减少0.02万元，主要原因为厉行节俭节约，降低接待标准。</w:t>
      </w:r>
    </w:p>
    <w:p>
      <w:pPr>
        <w:pStyle w:val="2"/>
        <w:rPr>
          <w:rFonts w:hint="default"/>
          <w:lang w:val="en-US" w:eastAsia="zh-CN"/>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2026年，北戴河新区将全面深入实施招商引资“倍增计划”，力争全年各项任务指标在上年任务指标数基础上实现翻倍：</w:t>
      </w:r>
    </w:p>
    <w:p>
      <w:pPr>
        <w:pStyle w:val="23"/>
      </w:pPr>
      <w:r>
        <w:t>开展“请进来、走出去”小团组精准招商活动，力争小组团精准招商活动不少于200次；创新招商活动类型，力争举办招商推介活动不少于16次；新增入库重大在谈5000万元以上项目不少于80个；全年实现签约落地项目不少于32个。</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2026年，北戴河新区将全面深入实施招商引资“倍增计划”，力争全年各项任务指标在上年任务指标数基础上实现翻倍：</w:t>
      </w:r>
    </w:p>
    <w:p>
      <w:pPr>
        <w:pStyle w:val="24"/>
      </w:pPr>
      <w:r>
        <w:t>开展“请进来、走出去”小团组精准招商活动，力争小组团精准招商活动不少于200次；创新招商活动类型，力争举办招商推介活动不少于16次；新增入库重大在谈5000万元以上项目不少于80个；全年实现签约落地项目不少于32个。</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1.在项目招引上实现突破。一是紧盯国内外500强、大型国企央企、业内明星和龙头企业的产业布局和投资动态，做好招大引强。着力引进落地一批标志性、引领性、示范性强的大项目好项目。二是紧紧围绕生命健康和高新技术两条主导产业链和“541”产业体系，深入做好招商引资产业顶层设计，进一步明确细化产业链分类和当前重点招商产业开展招商。三是扎实推进京东项目、阿那亚鱼嘴片区、多晶硅还原炉生产制造项目、微元合成生物、珠海科创储能电站项目、华芢生物TPG凝胶剂型新药生产项目、华恒生物合成生物制造项目等重点项目取得突破性进展，以龙头企业、产业链领头企业带动招商引资。四是锚定京津冀、石家庄、长三角、珠三角、东三省等重点区域，多渠道、多模式开展小团组招商活动，持续强化高质量项目储备。特别围绕京津地区，分产业分区域精准分析、深入项目挖掘资源开展精准式驻点招商。</w:t>
      </w:r>
    </w:p>
    <w:p>
      <w:pPr>
        <w:pStyle w:val="25"/>
      </w:pPr>
      <w:r>
        <w:t>2.在招商方式上实现突破。一是充分发挥基金引导，助力资本招商，特别要用好新区两支产业投资基金，推动产业与金融融合发展，开展“基金招商”“金融招商”“产业链+资本链”“基金+项目+产业园”等融合招商模式。二是深入开展以商招商、以情招商。扩充企业家资料库，坚持用好北京中关村100企业家俱乐部、秦皇岛籍、河北籍高管、燕大校友、华商华侨等优质企业资源。充分利用阿那亚、远洋、石药集团、宏兴文旅、葡萄岛等现有项目企业家拓展招商资源。加强与中科院、燕大、东大等各大高校及各大行业协会、产业联盟、投资机构、研究院所等招商合作联系，吸引社会力量参与招商。三是结合现有可出让地块、厂房、园区，精心包装谋划项目，加快推出开发价值突出的优质地块，利用国家、省级大型活动进行项目发布，定期组织市内外企业，举办专题地块招商活动，以土地和包装项目招商。四是继续深入与实战平台（深圳）招商引资服务有限公司、深圳市康复辅助器具智能技术应用协会、谷川联行、翠湖科创、中关村协同发展基金会等委托招商机构对接，筛选确定更多市场化委托招商机构，实现政府主导方向与市场化精准招商双轮驱动，不断增加对外招商的精准度与接触面。</w:t>
      </w:r>
    </w:p>
    <w:p>
      <w:pPr>
        <w:pStyle w:val="25"/>
      </w:pPr>
      <w:r>
        <w:t>3.在谋划活动上实现突破。一是充分利用国家级、省级以上平台，积极参加中国发展论坛、博鳌论坛、国际服贸会、数博会等高层次论坛、高端峰会、产业大会等大型活动，争取对接招引一批500强、产业龙头和明星企业，推动重大活动的招商提效。近期正在筹备参加重庆生命健康产业发展大会；配合举办第六届康养产业发展论坛等相关活动。二是绕京津冀、长三角、珠三角、东北等重点区域开展系列招商推介活动，并积极谋划开展赴西安、上海、杭州、北京、天津等一系列小组团招商活动。计划近期赴北京和雄安新区举办北戴河生命健康产业创新示范区投资环境推介会。三是利用生命健康和高新技术两支基金平台开展项目路演活动。近期已开展三次项目路演活动，对接生命健康和高新技术类项目10余个。计划明年每季度开展1-2次项目路演活动，开展重点产业领域开展大赛式、竞赛式招商项目路演评选活动。四是围绕生命健康、高新技术等重点产业开展专题招商活动。近期拟于在新区举办国家科技计划成果路演行动专场活动，活动采取线上线下相结合的方式，聚集生命健康产业、电子信息产业领域60个产业项目参加路演。同时，争取到国家药品监督管理局、河北省药品监督管理局支持，拟与河北省生物医学工程学会联合举办医疗器械创新成果转化暨生物材料在IVD中的应用高峰论坛，活动将邀请相关领域院士、专家、学者以及医疗器械生产企业会员代表约100余人参加。</w:t>
      </w:r>
    </w:p>
    <w:p>
      <w:pPr>
        <w:pStyle w:val="25"/>
      </w:pPr>
      <w:r>
        <w:t>4.在配套服务上实现突破。一是围绕重点政策，以“7+6”、省自贸区28条、新区27条等特殊、特色政策为抓手，吸引项目落地。积极争取形成更大的政策优势，特别是“7+6”创新政策清单、支持脐带血库设置或增设、跨境电商线下自提店等突破性政策；收集分析招商重点区域产业转移需求及痛点，制定出台生物医药、医疗器械企业扶持政策，提升新区政策竞争力。二是研究制定项目引入及落地流程。出台项目准入评审机制、项目签约落地服务流程等，进一步提高项目评审效率，优化工作机制，提升精准化服务水平，为招商项目提供全过程全方位服务，聚力推动项目早签约快落地。三是继续加大投资之家建设力度，启动投资之家2.0建设，进一步丰富服务企业功能，搭建基金、银行、社会投资机构与企业交流平台，通过基金导入、设备质押、专利质押、融资租赁等模式, 着力破解企业融资难问题。四是做好项目用地保障工作。积极对接规划、国土等部门深入挖掘土地、厂房等现有可挖掘资源，全面保障项目落地需求。</w:t>
      </w:r>
    </w:p>
    <w:p>
      <w:pPr>
        <w:pStyle w:val="25"/>
        <w:sectPr>
          <w:pgSz w:w="16840" w:h="11900" w:orient="landscape"/>
          <w:pgMar w:top="1361" w:right="1020" w:bottom="1361" w:left="1020" w:header="720" w:footer="720" w:gutter="0"/>
        </w:sectPr>
      </w:pPr>
      <w:r>
        <w:t>5.在队伍建设上实现突破。强化专业招商队伍建设，常态化开展招商干部综合能力提升工程，建立专业招商干部遴选、培养、考核机制。一是开展多方式专业培训。加大培训力度，开展招商培训，采取请进来和走出去相结合，定期与不定期相结合，培训班与考察调研相结合的多方式培训。二是开展队伍人才挂职交流。向合作企业、兄弟单位、中介机构等合作开展人才互换、跟班学习、挂职锻炼，深入掌握投资政策、学习产业经济、了解客商投资需求。三是围绕京津冀、长三角、珠三角、东北等重点区域，根据重点产业和重点企业，结合招商实际落实精准驻点招商。四是进一步完善考核办法，落实硬任务，实施硬考核，通过采取明确考核重点、细化考核指标、规范考核程序、杜绝考核漏洞等措施，切实提高考核工作的可操作性。</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pStyle w:val="2"/>
        <w:ind w:firstLine="640" w:firstLineChars="200"/>
        <w:jc w:val="left"/>
        <w:rPr>
          <w:rFonts w:hint="eastAsia" w:eastAsia="黑体"/>
          <w:lang w:val="en-US" w:eastAsia="zh-CN"/>
        </w:rPr>
        <w:sectPr>
          <w:pgSz w:w="16840" w:h="11900" w:orient="landscape"/>
          <w:pgMar w:top="1361" w:right="1020" w:bottom="1134" w:left="1020" w:header="720" w:footer="720" w:gutter="0"/>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1、招商和商务工作经费绩效目标表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13031326P000003100899</w:t>
            </w:r>
          </w:p>
        </w:tc>
        <w:tc>
          <w:tcPr>
            <w:tcW w:w="2835" w:type="dxa"/>
            <w:vAlign w:val="center"/>
          </w:tcPr>
          <w:p>
            <w:pPr>
              <w:pStyle w:val="12"/>
            </w:pPr>
            <w:r>
              <w:t>项目名称</w:t>
            </w:r>
          </w:p>
        </w:tc>
        <w:tc>
          <w:tcPr>
            <w:tcW w:w="6095" w:type="dxa"/>
            <w:gridSpan w:val="3"/>
            <w:vAlign w:val="center"/>
          </w:tcPr>
          <w:p>
            <w:pPr>
              <w:pStyle w:val="14"/>
            </w:pPr>
            <w:r>
              <w:t>招商和商务工作经费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开展本年度招商和商务日常工作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1.开展招商和商务日常工作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成功举办夜间经济活动的龙头企业数量</w:t>
            </w:r>
          </w:p>
        </w:tc>
        <w:tc>
          <w:tcPr>
            <w:tcW w:w="5386" w:type="dxa"/>
            <w:vAlign w:val="center"/>
          </w:tcPr>
          <w:p>
            <w:pPr>
              <w:pStyle w:val="14"/>
            </w:pPr>
            <w:r>
              <w:t>举办夜间经济活动的龙头企业数量</w:t>
            </w:r>
          </w:p>
        </w:tc>
        <w:tc>
          <w:tcPr>
            <w:tcW w:w="2268" w:type="dxa"/>
            <w:vAlign w:val="center"/>
          </w:tcPr>
          <w:p>
            <w:pPr>
              <w:pStyle w:val="14"/>
            </w:pPr>
            <w:r>
              <w:t>≥3家</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活动验收合格率</w:t>
            </w:r>
          </w:p>
        </w:tc>
        <w:tc>
          <w:tcPr>
            <w:tcW w:w="5386" w:type="dxa"/>
            <w:vAlign w:val="center"/>
          </w:tcPr>
          <w:p>
            <w:pPr>
              <w:pStyle w:val="14"/>
            </w:pPr>
            <w:r>
              <w:t>验收合格率</w:t>
            </w:r>
          </w:p>
        </w:tc>
        <w:tc>
          <w:tcPr>
            <w:tcW w:w="2268" w:type="dxa"/>
            <w:vAlign w:val="center"/>
          </w:tcPr>
          <w:p>
            <w:pPr>
              <w:pStyle w:val="14"/>
            </w:pPr>
            <w:r>
              <w:t>≥95百分比</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补贴资金在规定时间内拨付至企业的比率</w:t>
            </w:r>
          </w:p>
        </w:tc>
        <w:tc>
          <w:tcPr>
            <w:tcW w:w="5386" w:type="dxa"/>
            <w:vAlign w:val="center"/>
          </w:tcPr>
          <w:p>
            <w:pPr>
              <w:pStyle w:val="14"/>
            </w:pPr>
            <w:r>
              <w:t>规定时间内拨付至企业的比率</w:t>
            </w:r>
          </w:p>
        </w:tc>
        <w:tc>
          <w:tcPr>
            <w:tcW w:w="2268" w:type="dxa"/>
            <w:vAlign w:val="center"/>
          </w:tcPr>
          <w:p>
            <w:pPr>
              <w:pStyle w:val="14"/>
            </w:pPr>
            <w:r>
              <w:t>≥95百分比</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单个企业活动补贴标准</w:t>
            </w:r>
          </w:p>
        </w:tc>
        <w:tc>
          <w:tcPr>
            <w:tcW w:w="5386" w:type="dxa"/>
            <w:vAlign w:val="center"/>
          </w:tcPr>
          <w:p>
            <w:pPr>
              <w:pStyle w:val="14"/>
            </w:pPr>
            <w:r>
              <w:t>及时保障各项日常办公需要</w:t>
            </w:r>
          </w:p>
        </w:tc>
        <w:tc>
          <w:tcPr>
            <w:tcW w:w="2268" w:type="dxa"/>
            <w:vAlign w:val="center"/>
          </w:tcPr>
          <w:p>
            <w:pPr>
              <w:pStyle w:val="14"/>
            </w:pPr>
            <w:r>
              <w:t>5万元</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活动期间承办企业及周边商户营业收入同比增长率</w:t>
            </w:r>
          </w:p>
        </w:tc>
        <w:tc>
          <w:tcPr>
            <w:tcW w:w="5386" w:type="dxa"/>
            <w:vAlign w:val="center"/>
          </w:tcPr>
          <w:p>
            <w:pPr>
              <w:pStyle w:val="14"/>
            </w:pPr>
            <w:r>
              <w:t>同比增长率</w:t>
            </w:r>
          </w:p>
        </w:tc>
        <w:tc>
          <w:tcPr>
            <w:tcW w:w="2268" w:type="dxa"/>
            <w:vAlign w:val="center"/>
          </w:tcPr>
          <w:p>
            <w:pPr>
              <w:pStyle w:val="14"/>
            </w:pPr>
            <w:r>
              <w:t>≥20百分比</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夜间活动直接参与人次游客满意度</w:t>
            </w:r>
          </w:p>
        </w:tc>
        <w:tc>
          <w:tcPr>
            <w:tcW w:w="5386" w:type="dxa"/>
            <w:vAlign w:val="center"/>
          </w:tcPr>
          <w:p>
            <w:pPr>
              <w:pStyle w:val="14"/>
            </w:pPr>
            <w:r>
              <w:t>游客满意度</w:t>
            </w:r>
          </w:p>
        </w:tc>
        <w:tc>
          <w:tcPr>
            <w:tcW w:w="2268" w:type="dxa"/>
            <w:vAlign w:val="center"/>
          </w:tcPr>
          <w:p>
            <w:pPr>
              <w:pStyle w:val="14"/>
            </w:pPr>
            <w:r>
              <w:t>≥80百分比</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活动结束后企业持续自主运营夜间业态的意愿</w:t>
            </w:r>
          </w:p>
        </w:tc>
        <w:tc>
          <w:tcPr>
            <w:tcW w:w="5386" w:type="dxa"/>
            <w:vAlign w:val="center"/>
          </w:tcPr>
          <w:p>
            <w:pPr>
              <w:pStyle w:val="14"/>
            </w:pPr>
            <w:r>
              <w:t>活动结束后企业持续自主运营夜间业态的意愿</w:t>
            </w:r>
          </w:p>
        </w:tc>
        <w:tc>
          <w:tcPr>
            <w:tcW w:w="2268" w:type="dxa"/>
            <w:vAlign w:val="center"/>
          </w:tcPr>
          <w:p>
            <w:pPr>
              <w:pStyle w:val="14"/>
            </w:pPr>
            <w:r>
              <w:t>愿意</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活动生产的宣传报道数量及媒体曝光度</w:t>
            </w:r>
          </w:p>
        </w:tc>
        <w:tc>
          <w:tcPr>
            <w:tcW w:w="5386" w:type="dxa"/>
            <w:vAlign w:val="center"/>
          </w:tcPr>
          <w:p>
            <w:pPr>
              <w:pStyle w:val="14"/>
            </w:pPr>
            <w:r>
              <w:t>媒体曝光度</w:t>
            </w:r>
          </w:p>
        </w:tc>
        <w:tc>
          <w:tcPr>
            <w:tcW w:w="2268" w:type="dxa"/>
            <w:vAlign w:val="center"/>
          </w:tcPr>
          <w:p>
            <w:pPr>
              <w:pStyle w:val="14"/>
            </w:pPr>
            <w:r>
              <w:t>≥80百分比</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服务对象满意程度</w:t>
            </w:r>
          </w:p>
        </w:tc>
        <w:tc>
          <w:tcPr>
            <w:tcW w:w="5386" w:type="dxa"/>
            <w:vAlign w:val="center"/>
          </w:tcPr>
          <w:p>
            <w:pPr>
              <w:pStyle w:val="14"/>
            </w:pPr>
            <w:r>
              <w:t>服务对象满意程度</w:t>
            </w:r>
          </w:p>
        </w:tc>
        <w:tc>
          <w:tcPr>
            <w:tcW w:w="2268" w:type="dxa"/>
            <w:vAlign w:val="center"/>
          </w:tcPr>
          <w:p>
            <w:pPr>
              <w:pStyle w:val="14"/>
            </w:pPr>
            <w:r>
              <w:t>≥90百分比</w:t>
            </w:r>
          </w:p>
        </w:tc>
        <w:tc>
          <w:tcPr>
            <w:tcW w:w="1276" w:type="dxa"/>
            <w:vAlign w:val="center"/>
          </w:tcPr>
          <w:p>
            <w:pPr>
              <w:pStyle w:val="14"/>
            </w:pPr>
            <w:r>
              <w:t>历史经验</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2、招商活动经费绩效目标表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13031326P00001010040F</w:t>
            </w:r>
          </w:p>
        </w:tc>
        <w:tc>
          <w:tcPr>
            <w:tcW w:w="2835" w:type="dxa"/>
            <w:vAlign w:val="center"/>
          </w:tcPr>
          <w:p>
            <w:pPr>
              <w:pStyle w:val="12"/>
            </w:pPr>
            <w:r>
              <w:t>项目名称</w:t>
            </w:r>
          </w:p>
        </w:tc>
        <w:tc>
          <w:tcPr>
            <w:tcW w:w="6095" w:type="dxa"/>
            <w:gridSpan w:val="3"/>
            <w:vAlign w:val="center"/>
          </w:tcPr>
          <w:p>
            <w:pPr>
              <w:pStyle w:val="14"/>
            </w:pPr>
            <w:r>
              <w:t>招商活动经费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300.00</w:t>
            </w:r>
          </w:p>
        </w:tc>
        <w:tc>
          <w:tcPr>
            <w:tcW w:w="2835" w:type="dxa"/>
            <w:vAlign w:val="center"/>
          </w:tcPr>
          <w:p>
            <w:pPr>
              <w:pStyle w:val="12"/>
            </w:pPr>
            <w:r>
              <w:t>其中：财政    资金</w:t>
            </w:r>
          </w:p>
        </w:tc>
        <w:tc>
          <w:tcPr>
            <w:tcW w:w="2551" w:type="dxa"/>
            <w:vAlign w:val="center"/>
          </w:tcPr>
          <w:p>
            <w:pPr>
              <w:pStyle w:val="14"/>
            </w:pPr>
            <w:r>
              <w:t>300.00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用于保障2026年招商活动顺利进行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1.保障招商工作顺利进行</w:t>
            </w:r>
          </w:p>
          <w:p>
            <w:pPr>
              <w:pStyle w:val="14"/>
            </w:pPr>
            <w:r>
              <w:t>2.举办招商活动，完成招商任务。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举办活动用餐成本</w:t>
            </w:r>
          </w:p>
        </w:tc>
        <w:tc>
          <w:tcPr>
            <w:tcW w:w="5386" w:type="dxa"/>
            <w:vAlign w:val="center"/>
          </w:tcPr>
          <w:p>
            <w:pPr>
              <w:pStyle w:val="14"/>
            </w:pPr>
            <w:r>
              <w:t>举办各类招商活动用餐人均成本</w:t>
            </w:r>
          </w:p>
        </w:tc>
        <w:tc>
          <w:tcPr>
            <w:tcW w:w="2268" w:type="dxa"/>
            <w:vAlign w:val="center"/>
          </w:tcPr>
          <w:p>
            <w:pPr>
              <w:pStyle w:val="14"/>
            </w:pPr>
            <w:r>
              <w:t>≤300元</w:t>
            </w:r>
          </w:p>
        </w:tc>
        <w:tc>
          <w:tcPr>
            <w:tcW w:w="1276" w:type="dxa"/>
            <w:vAlign w:val="center"/>
          </w:tcPr>
          <w:p>
            <w:pPr>
              <w:pStyle w:val="14"/>
            </w:pPr>
            <w:r>
              <w:t>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工作任务完成及时率</w:t>
            </w:r>
          </w:p>
        </w:tc>
        <w:tc>
          <w:tcPr>
            <w:tcW w:w="5386" w:type="dxa"/>
            <w:vAlign w:val="center"/>
          </w:tcPr>
          <w:p>
            <w:pPr>
              <w:pStyle w:val="14"/>
            </w:pPr>
            <w:r>
              <w:t>及时完成与总任务的比值</w:t>
            </w:r>
          </w:p>
        </w:tc>
        <w:tc>
          <w:tcPr>
            <w:tcW w:w="2268" w:type="dxa"/>
            <w:vAlign w:val="center"/>
          </w:tcPr>
          <w:p>
            <w:pPr>
              <w:pStyle w:val="14"/>
            </w:pPr>
            <w:r>
              <w:t>≥90百分比</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按时完成印刷任务</w:t>
            </w:r>
          </w:p>
        </w:tc>
        <w:tc>
          <w:tcPr>
            <w:tcW w:w="5386" w:type="dxa"/>
            <w:vAlign w:val="center"/>
          </w:tcPr>
          <w:p>
            <w:pPr>
              <w:pStyle w:val="14"/>
            </w:pPr>
            <w:r>
              <w:t>按时完成印刷任务</w:t>
            </w:r>
          </w:p>
        </w:tc>
        <w:tc>
          <w:tcPr>
            <w:tcW w:w="2268" w:type="dxa"/>
            <w:vAlign w:val="center"/>
          </w:tcPr>
          <w:p>
            <w:pPr>
              <w:pStyle w:val="14"/>
            </w:pPr>
            <w:r>
              <w:t>≥90百分比</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落地项目</w:t>
            </w:r>
          </w:p>
        </w:tc>
        <w:tc>
          <w:tcPr>
            <w:tcW w:w="5386" w:type="dxa"/>
            <w:vAlign w:val="center"/>
          </w:tcPr>
          <w:p>
            <w:pPr>
              <w:pStyle w:val="14"/>
            </w:pPr>
            <w:r>
              <w:t>落地项目个数</w:t>
            </w:r>
          </w:p>
        </w:tc>
        <w:tc>
          <w:tcPr>
            <w:tcW w:w="2268" w:type="dxa"/>
            <w:vAlign w:val="center"/>
          </w:tcPr>
          <w:p>
            <w:pPr>
              <w:pStyle w:val="14"/>
            </w:pPr>
            <w:r>
              <w:t>≥30个</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为招商引资提供便利，为居民增收</w:t>
            </w:r>
          </w:p>
        </w:tc>
        <w:tc>
          <w:tcPr>
            <w:tcW w:w="5386" w:type="dxa"/>
            <w:vAlign w:val="center"/>
          </w:tcPr>
          <w:p>
            <w:pPr>
              <w:pStyle w:val="14"/>
            </w:pPr>
            <w:r>
              <w:t>为招商引资提供便利，为居民增收提供条件。</w:t>
            </w:r>
          </w:p>
        </w:tc>
        <w:tc>
          <w:tcPr>
            <w:tcW w:w="2268" w:type="dxa"/>
            <w:vAlign w:val="center"/>
          </w:tcPr>
          <w:p>
            <w:pPr>
              <w:pStyle w:val="14"/>
            </w:pPr>
            <w:r>
              <w:t>提供便利条件</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增加就业机会</w:t>
            </w:r>
          </w:p>
        </w:tc>
        <w:tc>
          <w:tcPr>
            <w:tcW w:w="5386" w:type="dxa"/>
            <w:vAlign w:val="center"/>
          </w:tcPr>
          <w:p>
            <w:pPr>
              <w:pStyle w:val="14"/>
            </w:pPr>
            <w:r>
              <w:t>通过招商引资增加就业机会</w:t>
            </w:r>
          </w:p>
        </w:tc>
        <w:tc>
          <w:tcPr>
            <w:tcW w:w="2268" w:type="dxa"/>
            <w:vAlign w:val="center"/>
          </w:tcPr>
          <w:p>
            <w:pPr>
              <w:pStyle w:val="14"/>
            </w:pPr>
            <w:r>
              <w:t>≥1000人</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出差使用公共交通的比例</w:t>
            </w:r>
          </w:p>
        </w:tc>
        <w:tc>
          <w:tcPr>
            <w:tcW w:w="5386" w:type="dxa"/>
            <w:vAlign w:val="center"/>
          </w:tcPr>
          <w:p>
            <w:pPr>
              <w:pStyle w:val="14"/>
            </w:pPr>
            <w:r>
              <w:t>全年使用公共交通出行占全年出差的比例</w:t>
            </w:r>
          </w:p>
        </w:tc>
        <w:tc>
          <w:tcPr>
            <w:tcW w:w="2268" w:type="dxa"/>
            <w:vAlign w:val="center"/>
          </w:tcPr>
          <w:p>
            <w:pPr>
              <w:pStyle w:val="14"/>
            </w:pPr>
            <w:r>
              <w:t>≥90百分比</w:t>
            </w:r>
          </w:p>
        </w:tc>
        <w:tc>
          <w:tcPr>
            <w:tcW w:w="1276" w:type="dxa"/>
            <w:vAlign w:val="center"/>
          </w:tcPr>
          <w:p>
            <w:pPr>
              <w:pStyle w:val="1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服务群体满意度</w:t>
            </w:r>
          </w:p>
        </w:tc>
        <w:tc>
          <w:tcPr>
            <w:tcW w:w="5386" w:type="dxa"/>
            <w:vAlign w:val="center"/>
          </w:tcPr>
          <w:p>
            <w:pPr>
              <w:pStyle w:val="14"/>
            </w:pPr>
            <w:r>
              <w:t>服务群体满意度</w:t>
            </w:r>
          </w:p>
        </w:tc>
        <w:tc>
          <w:tcPr>
            <w:tcW w:w="2268" w:type="dxa"/>
            <w:vAlign w:val="center"/>
          </w:tcPr>
          <w:p>
            <w:pPr>
              <w:pStyle w:val="14"/>
            </w:pPr>
            <w:r>
              <w:t>≥95百分比</w:t>
            </w:r>
          </w:p>
        </w:tc>
        <w:tc>
          <w:tcPr>
            <w:tcW w:w="1276" w:type="dxa"/>
            <w:vAlign w:val="center"/>
          </w:tcPr>
          <w:p>
            <w:pPr>
              <w:pStyle w:val="14"/>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322秦皇岛北戴河新区招商和投资促进局</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53.04</w:t>
            </w:r>
          </w:p>
        </w:tc>
        <w:tc>
          <w:tcPr>
            <w:tcW w:w="964" w:type="dxa"/>
            <w:vAlign w:val="center"/>
          </w:tcPr>
          <w:p>
            <w:pPr>
              <w:pStyle w:val="17"/>
            </w:pPr>
            <w:r>
              <w:t>53.04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秦皇岛北戴河新区招商和投资促进局本级小计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53.04</w:t>
            </w:r>
          </w:p>
        </w:tc>
        <w:tc>
          <w:tcPr>
            <w:tcW w:w="964" w:type="dxa"/>
            <w:vAlign w:val="center"/>
          </w:tcPr>
          <w:p>
            <w:pPr>
              <w:pStyle w:val="17"/>
            </w:pPr>
            <w:r>
              <w:t>53.04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16.12</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0.50</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16.12</w:t>
            </w:r>
          </w:p>
        </w:tc>
        <w:tc>
          <w:tcPr>
            <w:tcW w:w="1134" w:type="dxa"/>
            <w:vAlign w:val="center"/>
          </w:tcPr>
          <w:p>
            <w:pPr>
              <w:pStyle w:val="14"/>
            </w:pPr>
            <w:r>
              <w:t>多功能一体机</w:t>
            </w:r>
          </w:p>
        </w:tc>
        <w:tc>
          <w:tcPr>
            <w:tcW w:w="1134" w:type="dxa"/>
            <w:vAlign w:val="center"/>
          </w:tcPr>
          <w:p>
            <w:pPr>
              <w:pStyle w:val="14"/>
            </w:pPr>
            <w:r>
              <w:t>A02020400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0.24</w:t>
            </w:r>
          </w:p>
        </w:tc>
        <w:tc>
          <w:tcPr>
            <w:tcW w:w="964" w:type="dxa"/>
            <w:vAlign w:val="center"/>
          </w:tcPr>
          <w:p>
            <w:pPr>
              <w:pStyle w:val="13"/>
            </w:pPr>
            <w:r>
              <w:t>0.24</w:t>
            </w:r>
          </w:p>
        </w:tc>
        <w:tc>
          <w:tcPr>
            <w:tcW w:w="964" w:type="dxa"/>
            <w:vAlign w:val="center"/>
          </w:tcPr>
          <w:p>
            <w:pPr>
              <w:pStyle w:val="13"/>
            </w:pPr>
            <w:r>
              <w:t>0.24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16.12</w:t>
            </w:r>
          </w:p>
        </w:tc>
        <w:tc>
          <w:tcPr>
            <w:tcW w:w="1134" w:type="dxa"/>
            <w:vAlign w:val="center"/>
          </w:tcPr>
          <w:p>
            <w:pPr>
              <w:pStyle w:val="14"/>
            </w:pPr>
            <w:r>
              <w:t>纸制品</w:t>
            </w:r>
          </w:p>
        </w:tc>
        <w:tc>
          <w:tcPr>
            <w:tcW w:w="1134" w:type="dxa"/>
            <w:vAlign w:val="center"/>
          </w:tcPr>
          <w:p>
            <w:pPr>
              <w:pStyle w:val="14"/>
            </w:pPr>
            <w:r>
              <w:t>A07100300</w:t>
            </w:r>
          </w:p>
        </w:tc>
        <w:tc>
          <w:tcPr>
            <w:tcW w:w="709" w:type="dxa"/>
            <w:vAlign w:val="center"/>
          </w:tcPr>
          <w:p>
            <w:pPr>
              <w:pStyle w:val="15"/>
            </w:pPr>
            <w:r>
              <w:t>箱</w:t>
            </w:r>
          </w:p>
        </w:tc>
        <w:tc>
          <w:tcPr>
            <w:tcW w:w="850" w:type="dxa"/>
            <w:vAlign w:val="center"/>
          </w:tcPr>
          <w:p>
            <w:pPr>
              <w:pStyle w:val="13"/>
            </w:pPr>
            <w:r>
              <w:t>100</w:t>
            </w:r>
          </w:p>
        </w:tc>
        <w:tc>
          <w:tcPr>
            <w:tcW w:w="850" w:type="dxa"/>
            <w:vAlign w:val="center"/>
          </w:tcPr>
          <w:p>
            <w:pPr>
              <w:pStyle w:val="13"/>
            </w:pPr>
            <w:r>
              <w:t>0.02</w:t>
            </w:r>
          </w:p>
        </w:tc>
        <w:tc>
          <w:tcPr>
            <w:tcW w:w="964" w:type="dxa"/>
            <w:vAlign w:val="center"/>
          </w:tcPr>
          <w:p>
            <w:pPr>
              <w:pStyle w:val="13"/>
            </w:pPr>
            <w:r>
              <w:t>1.80</w:t>
            </w:r>
          </w:p>
        </w:tc>
        <w:tc>
          <w:tcPr>
            <w:tcW w:w="964" w:type="dxa"/>
            <w:vAlign w:val="center"/>
          </w:tcPr>
          <w:p>
            <w:pPr>
              <w:pStyle w:val="13"/>
            </w:pPr>
            <w:r>
              <w:t>1.80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招商活动经费</w:t>
            </w:r>
          </w:p>
        </w:tc>
        <w:tc>
          <w:tcPr>
            <w:tcW w:w="964" w:type="dxa"/>
            <w:vAlign w:val="center"/>
          </w:tcPr>
          <w:p>
            <w:pPr>
              <w:pStyle w:val="13"/>
            </w:pPr>
            <w:r>
              <w:t>300.00</w:t>
            </w:r>
          </w:p>
        </w:tc>
        <w:tc>
          <w:tcPr>
            <w:tcW w:w="1134" w:type="dxa"/>
            <w:vAlign w:val="center"/>
          </w:tcPr>
          <w:p>
            <w:pPr>
              <w:pStyle w:val="14"/>
            </w:pPr>
            <w:r>
              <w:t>其他服务</w:t>
            </w:r>
          </w:p>
        </w:tc>
        <w:tc>
          <w:tcPr>
            <w:tcW w:w="1134" w:type="dxa"/>
            <w:vAlign w:val="center"/>
          </w:tcPr>
          <w:p>
            <w:pPr>
              <w:pStyle w:val="14"/>
            </w:pPr>
            <w:r>
              <w:t>C99000000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50.00</w:t>
            </w:r>
          </w:p>
        </w:tc>
        <w:tc>
          <w:tcPr>
            <w:tcW w:w="964" w:type="dxa"/>
            <w:vAlign w:val="center"/>
          </w:tcPr>
          <w:p>
            <w:pPr>
              <w:pStyle w:val="13"/>
            </w:pPr>
            <w:r>
              <w:t>50.00</w:t>
            </w:r>
          </w:p>
        </w:tc>
        <w:tc>
          <w:tcPr>
            <w:tcW w:w="964" w:type="dxa"/>
            <w:vAlign w:val="center"/>
          </w:tcPr>
          <w:p>
            <w:pPr>
              <w:pStyle w:val="13"/>
            </w:pPr>
            <w:r>
              <w:t>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秦皇岛北戴河新区招商和投资促进局（含所属单位）上年末固定资产金额为</w:t>
      </w:r>
      <w:r>
        <w:rPr>
          <w:rFonts w:hint="eastAsia" w:eastAsia="方正仿宋_GBK" w:cs="Times New Roman"/>
          <w:b w:val="0"/>
          <w:color w:val="000000"/>
          <w:sz w:val="28"/>
          <w:lang w:val="en-US" w:eastAsia="zh-CN"/>
        </w:rPr>
        <w:t>65.61</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1.24</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322秦皇岛北戴河新区招商和投资促进局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ind w:firstLine="0" w:firstLineChars="0"/>
            </w:pPr>
            <w:r>
              <w:t>项   目</w:t>
            </w:r>
          </w:p>
        </w:tc>
        <w:tc>
          <w:tcPr>
            <w:tcW w:w="2835" w:type="dxa"/>
            <w:vAlign w:val="center"/>
          </w:tcPr>
          <w:p>
            <w:pPr>
              <w:pStyle w:val="12"/>
              <w:ind w:firstLine="0" w:firstLineChars="0"/>
            </w:pPr>
            <w:r>
              <w:t>数量</w:t>
            </w:r>
          </w:p>
        </w:tc>
        <w:tc>
          <w:tcPr>
            <w:tcW w:w="2835" w:type="dxa"/>
            <w:vAlign w:val="center"/>
          </w:tcPr>
          <w:p>
            <w:pPr>
              <w:pStyle w:val="12"/>
              <w:ind w:firstLine="0" w:firstLineChars="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hint="default" w:eastAsia="方正书宋_GBK"/>
                <w:lang w:val="en-US" w:eastAsia="zh-CN"/>
              </w:rPr>
            </w:pPr>
            <w:r>
              <w:rPr>
                <w:rFonts w:hint="eastAsia"/>
                <w:lang w:val="en-US" w:eastAsia="zh-CN"/>
              </w:rPr>
              <w:t>资产总额</w:t>
            </w:r>
          </w:p>
        </w:tc>
        <w:tc>
          <w:tcPr>
            <w:tcW w:w="2835" w:type="dxa"/>
            <w:vAlign w:val="center"/>
          </w:tcPr>
          <w:p>
            <w:pPr>
              <w:pStyle w:val="12"/>
              <w:ind w:firstLine="0" w:firstLineChars="0"/>
              <w:rPr>
                <w:rFonts w:hint="default" w:eastAsia="方正书宋_GBK"/>
                <w:lang w:val="en-US" w:eastAsia="zh-CN"/>
              </w:rPr>
            </w:pPr>
            <w:r>
              <w:rPr>
                <w:rFonts w:hint="eastAsia"/>
                <w:lang w:val="en-US" w:eastAsia="zh-CN"/>
              </w:rPr>
              <w:t>230</w:t>
            </w:r>
          </w:p>
        </w:tc>
        <w:tc>
          <w:tcPr>
            <w:tcW w:w="2835" w:type="dxa"/>
            <w:vAlign w:val="center"/>
          </w:tcPr>
          <w:p>
            <w:pPr>
              <w:pStyle w:val="12"/>
              <w:ind w:firstLine="0" w:firstLineChars="0"/>
              <w:rPr>
                <w:rFonts w:hint="default" w:eastAsia="方正书宋_GBK"/>
                <w:lang w:val="en-US" w:eastAsia="zh-CN"/>
              </w:rPr>
            </w:pPr>
            <w:r>
              <w:rPr>
                <w:rFonts w:hint="eastAsia"/>
                <w:lang w:val="en-US" w:eastAsia="zh-CN"/>
              </w:rPr>
              <w:t>65.61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hint="default"/>
                <w:lang w:val="en-US" w:eastAsia="zh-CN"/>
              </w:rPr>
            </w:pPr>
            <w:r>
              <w:rPr>
                <w:rFonts w:hint="eastAsia"/>
                <w:lang w:val="en-US" w:eastAsia="zh-CN"/>
              </w:rPr>
              <w:t>1.房屋（平方米）</w:t>
            </w:r>
          </w:p>
        </w:tc>
        <w:tc>
          <w:tcPr>
            <w:tcW w:w="2835" w:type="dxa"/>
            <w:vAlign w:val="center"/>
          </w:tcPr>
          <w:p>
            <w:pPr>
              <w:pStyle w:val="12"/>
              <w:ind w:firstLine="0" w:firstLineChars="0"/>
            </w:pPr>
          </w:p>
        </w:tc>
        <w:tc>
          <w:tcPr>
            <w:tcW w:w="2835" w:type="dxa"/>
            <w:vAlign w:val="center"/>
          </w:tcPr>
          <w:p>
            <w:pPr>
              <w:pStyle w:val="12"/>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hint="default"/>
                <w:lang w:val="en-US" w:eastAsia="zh-CN"/>
              </w:rPr>
            </w:pPr>
            <w:r>
              <w:rPr>
                <w:rFonts w:hint="eastAsia"/>
                <w:lang w:val="en-US" w:eastAsia="zh-CN"/>
              </w:rPr>
              <w:t>其中：办公用房（平方米）</w:t>
            </w:r>
          </w:p>
        </w:tc>
        <w:tc>
          <w:tcPr>
            <w:tcW w:w="2835" w:type="dxa"/>
            <w:vAlign w:val="center"/>
          </w:tcPr>
          <w:p>
            <w:pPr>
              <w:pStyle w:val="12"/>
              <w:ind w:firstLine="0" w:firstLineChars="0"/>
            </w:pPr>
          </w:p>
        </w:tc>
        <w:tc>
          <w:tcPr>
            <w:tcW w:w="2835" w:type="dxa"/>
            <w:vAlign w:val="center"/>
          </w:tcPr>
          <w:p>
            <w:pPr>
              <w:pStyle w:val="12"/>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hint="default"/>
                <w:lang w:val="en-US" w:eastAsia="zh-CN"/>
              </w:rPr>
            </w:pPr>
            <w:r>
              <w:rPr>
                <w:rFonts w:hint="eastAsia"/>
                <w:lang w:val="en-US" w:eastAsia="zh-CN"/>
              </w:rPr>
              <w:t>2.车辆（台、辆）</w:t>
            </w:r>
          </w:p>
        </w:tc>
        <w:tc>
          <w:tcPr>
            <w:tcW w:w="2835" w:type="dxa"/>
            <w:vAlign w:val="center"/>
          </w:tcPr>
          <w:p>
            <w:pPr>
              <w:pStyle w:val="12"/>
              <w:ind w:firstLine="0" w:firstLineChars="0"/>
              <w:rPr>
                <w:rFonts w:hint="eastAsia" w:eastAsia="方正书宋_GBK"/>
                <w:lang w:val="en-US" w:eastAsia="zh-CN"/>
              </w:rPr>
            </w:pPr>
            <w:r>
              <w:rPr>
                <w:rFonts w:hint="eastAsia"/>
                <w:lang w:val="en-US" w:eastAsia="zh-CN"/>
              </w:rPr>
              <w:t>1</w:t>
            </w:r>
          </w:p>
        </w:tc>
        <w:tc>
          <w:tcPr>
            <w:tcW w:w="2835" w:type="dxa"/>
            <w:vAlign w:val="center"/>
          </w:tcPr>
          <w:p>
            <w:pPr>
              <w:pStyle w:val="12"/>
              <w:ind w:firstLine="0" w:firstLineChars="0"/>
              <w:rPr>
                <w:rFonts w:hint="default"/>
                <w:lang w:val="en-US" w:eastAsia="zh-CN"/>
              </w:rPr>
            </w:pPr>
            <w:r>
              <w:rPr>
                <w:rFonts w:hint="eastAsia"/>
                <w:lang w:val="en-US" w:eastAsia="zh-CN"/>
              </w:rPr>
              <w:t>19.61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hint="default"/>
                <w:lang w:val="en-US" w:eastAsia="zh-CN"/>
              </w:rPr>
            </w:pPr>
            <w:r>
              <w:rPr>
                <w:rFonts w:hint="eastAsia"/>
                <w:lang w:val="en-US" w:eastAsia="zh-CN"/>
              </w:rPr>
              <w:t>3.单价在20万以上的设备</w:t>
            </w:r>
          </w:p>
        </w:tc>
        <w:tc>
          <w:tcPr>
            <w:tcW w:w="2835" w:type="dxa"/>
            <w:vAlign w:val="center"/>
          </w:tcPr>
          <w:p>
            <w:pPr>
              <w:pStyle w:val="12"/>
              <w:ind w:firstLine="0" w:firstLineChars="0"/>
            </w:pPr>
          </w:p>
        </w:tc>
        <w:tc>
          <w:tcPr>
            <w:tcW w:w="2835" w:type="dxa"/>
            <w:vAlign w:val="center"/>
          </w:tcPr>
          <w:p>
            <w:pPr>
              <w:pStyle w:val="12"/>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rFonts w:hint="default"/>
                <w:lang w:val="en-US" w:eastAsia="zh-CN"/>
              </w:rPr>
            </w:pPr>
            <w:r>
              <w:rPr>
                <w:rFonts w:hint="eastAsia"/>
                <w:lang w:val="en-US" w:eastAsia="zh-CN"/>
              </w:rPr>
              <w:t>4.其他固定资产</w:t>
            </w:r>
          </w:p>
        </w:tc>
        <w:tc>
          <w:tcPr>
            <w:tcW w:w="2835" w:type="dxa"/>
            <w:vAlign w:val="center"/>
          </w:tcPr>
          <w:p>
            <w:pPr>
              <w:pStyle w:val="12"/>
              <w:ind w:firstLine="0" w:firstLineChars="0"/>
              <w:rPr>
                <w:rFonts w:hint="default" w:eastAsia="方正书宋_GBK"/>
                <w:lang w:val="en-US" w:eastAsia="zh-CN"/>
              </w:rPr>
            </w:pPr>
            <w:r>
              <w:rPr>
                <w:rFonts w:hint="eastAsia"/>
                <w:lang w:val="en-US" w:eastAsia="zh-CN"/>
              </w:rPr>
              <w:t>229</w:t>
            </w:r>
          </w:p>
        </w:tc>
        <w:tc>
          <w:tcPr>
            <w:tcW w:w="2835" w:type="dxa"/>
            <w:vAlign w:val="center"/>
          </w:tcPr>
          <w:p>
            <w:pPr>
              <w:pStyle w:val="12"/>
              <w:ind w:firstLine="0" w:firstLineChars="0"/>
              <w:rPr>
                <w:rFonts w:hint="default"/>
                <w:lang w:val="en-US" w:eastAsia="zh-CN"/>
              </w:rPr>
            </w:pPr>
            <w:r>
              <w:rPr>
                <w:rFonts w:hint="eastAsia"/>
                <w:lang w:val="en-US" w:eastAsia="zh-CN"/>
              </w:rPr>
              <w:t>46</w:t>
            </w:r>
          </w:p>
        </w:tc>
      </w:tr>
    </w:tbl>
    <w:p>
      <w:pPr>
        <w:spacing w:before="0" w:after="0"/>
        <w:ind w:firstLine="640"/>
        <w:jc w:val="left"/>
        <w:outlineLvl w:val="9"/>
      </w:pPr>
      <w:bookmarkStart w:id="20" w:name="_GoBack"/>
      <w:bookmarkEnd w:id="20"/>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93C18EE"/>
    <w:rsid w:val="496D7E4F"/>
    <w:rsid w:val="4AA27CD4"/>
    <w:rsid w:val="538B03D5"/>
    <w:rsid w:val="54C0769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heme="minorEastAsia" w:cstheme="minorBidi"/>
      <w:sz w:val="24"/>
      <w:szCs w:val="24"/>
      <w:lang w:val="en-US" w:eastAsia="uk-UA" w:bidi="ar-SA"/>
    </w:rPr>
  </w:style>
  <w:style w:type="paragraph" w:styleId="2">
    <w:name w:val="heading 1"/>
    <w:basedOn w:val="1"/>
    <w:next w:val="1"/>
    <w:qFormat/>
    <w:uiPriority w:val="0"/>
    <w:pPr>
      <w:spacing w:before="0" w:beforeAutospacing="0" w:after="0" w:afterAutospacing="0"/>
      <w:jc w:val="center"/>
      <w:outlineLvl w:val="0"/>
    </w:pPr>
    <w:rPr>
      <w:rFonts w:hint="eastAsia" w:ascii="宋体" w:hAnsi="宋体" w:eastAsia="方正小标宋简体" w:cs="宋体"/>
      <w:bCs/>
      <w:kern w:val="44"/>
      <w:sz w:val="44"/>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TotalTime>6</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2026-03-10T15:00:00Z</dcterms:created>
  <dc:creator>lenovo</dc:creator>
  <cp:lastModifiedBy>XQZW</cp:lastModifiedBy>
  <dcterms:modified xsi:type="dcterms:W3CDTF">2026-03-17T01:30:26Z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