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一、秦皇岛北戴河新区行政审批局本级收支预算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一、秦皇岛北戴河新区行政审批局本级收支预算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808.58</w:t>
            </w:r>
          </w:p>
        </w:tc>
        <w:tc>
          <w:tcPr>
            <w:tcW w:w="4535" w:type="dxa"/>
            <w:vAlign w:val="center"/>
          </w:tcPr>
          <w:p>
            <w:pPr>
              <w:pStyle w:val="12"/>
            </w:pPr>
            <w:r>
              <w:t>一、一般公共服务支出</w:t>
            </w:r>
          </w:p>
        </w:tc>
        <w:tc>
          <w:tcPr>
            <w:tcW w:w="2126" w:type="dxa"/>
            <w:vAlign w:val="center"/>
          </w:tcPr>
          <w:p>
            <w:pPr>
              <w:pStyle w:val="11"/>
            </w:pPr>
            <w:r>
              <w:t>618.42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808.58</w:t>
            </w:r>
          </w:p>
        </w:tc>
        <w:tc>
          <w:tcPr>
            <w:tcW w:w="4535" w:type="dxa"/>
            <w:vAlign w:val="center"/>
          </w:tcPr>
          <w:p>
            <w:pPr>
              <w:pStyle w:val="14"/>
            </w:pPr>
            <w:r>
              <w:t>本年支出合计</w:t>
            </w:r>
          </w:p>
        </w:tc>
        <w:tc>
          <w:tcPr>
            <w:tcW w:w="2126" w:type="dxa"/>
            <w:vAlign w:val="center"/>
          </w:tcPr>
          <w:p>
            <w:pPr>
              <w:pStyle w:val="15"/>
            </w:pPr>
            <w:r>
              <w:t>808.58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808.58</w:t>
            </w:r>
          </w:p>
        </w:tc>
        <w:tc>
          <w:tcPr>
            <w:tcW w:w="4535" w:type="dxa"/>
            <w:vAlign w:val="center"/>
          </w:tcPr>
          <w:p>
            <w:pPr>
              <w:pStyle w:val="14"/>
            </w:pPr>
            <w:r>
              <w:t>支出总计</w:t>
            </w:r>
          </w:p>
        </w:tc>
        <w:tc>
          <w:tcPr>
            <w:tcW w:w="2126" w:type="dxa"/>
            <w:vAlign w:val="center"/>
          </w:tcPr>
          <w:p>
            <w:pPr>
              <w:pStyle w:val="15"/>
            </w:pPr>
            <w:r>
              <w:t>808.58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808.58</w:t>
            </w:r>
          </w:p>
        </w:tc>
        <w:tc>
          <w:tcPr>
            <w:tcW w:w="1134" w:type="dxa"/>
            <w:vAlign w:val="center"/>
          </w:tcPr>
          <w:p>
            <w:pPr>
              <w:pStyle w:val="15"/>
            </w:pPr>
            <w:r>
              <w:t>808.58</w:t>
            </w:r>
          </w:p>
        </w:tc>
        <w:tc>
          <w:tcPr>
            <w:tcW w:w="1134" w:type="dxa"/>
            <w:vAlign w:val="center"/>
          </w:tcPr>
          <w:p>
            <w:pPr>
              <w:pStyle w:val="15"/>
            </w:pPr>
            <w:r>
              <w:t>808.58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2010306</w:t>
            </w:r>
          </w:p>
        </w:tc>
        <w:tc>
          <w:tcPr>
            <w:tcW w:w="1559" w:type="dxa"/>
            <w:vAlign w:val="center"/>
          </w:tcPr>
          <w:p>
            <w:pPr>
              <w:pStyle w:val="12"/>
            </w:pPr>
            <w:r>
              <w:t>政务公开审批</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r>
              <w:t>618.42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90.72</w:t>
            </w:r>
          </w:p>
        </w:tc>
        <w:tc>
          <w:tcPr>
            <w:tcW w:w="1134" w:type="dxa"/>
            <w:vAlign w:val="center"/>
          </w:tcPr>
          <w:p>
            <w:pPr>
              <w:pStyle w:val="11"/>
            </w:pPr>
            <w:r>
              <w:t>90.72</w:t>
            </w:r>
          </w:p>
        </w:tc>
        <w:tc>
          <w:tcPr>
            <w:tcW w:w="1134" w:type="dxa"/>
            <w:vAlign w:val="center"/>
          </w:tcPr>
          <w:p>
            <w:pPr>
              <w:pStyle w:val="11"/>
            </w:pPr>
            <w:r>
              <w:t>90.72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90.72</w:t>
            </w:r>
          </w:p>
        </w:tc>
        <w:tc>
          <w:tcPr>
            <w:tcW w:w="1134" w:type="dxa"/>
            <w:vAlign w:val="center"/>
          </w:tcPr>
          <w:p>
            <w:pPr>
              <w:pStyle w:val="11"/>
            </w:pPr>
            <w:r>
              <w:t>90.72</w:t>
            </w:r>
          </w:p>
        </w:tc>
        <w:tc>
          <w:tcPr>
            <w:tcW w:w="1134" w:type="dxa"/>
            <w:vAlign w:val="center"/>
          </w:tcPr>
          <w:p>
            <w:pPr>
              <w:pStyle w:val="11"/>
            </w:pPr>
            <w:r>
              <w:t>90.72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25.43</w:t>
            </w:r>
          </w:p>
        </w:tc>
        <w:tc>
          <w:tcPr>
            <w:tcW w:w="1134" w:type="dxa"/>
            <w:vAlign w:val="center"/>
          </w:tcPr>
          <w:p>
            <w:pPr>
              <w:pStyle w:val="11"/>
            </w:pPr>
            <w:r>
              <w:t>25.43</w:t>
            </w:r>
          </w:p>
        </w:tc>
        <w:tc>
          <w:tcPr>
            <w:tcW w:w="1134" w:type="dxa"/>
            <w:vAlign w:val="center"/>
          </w:tcPr>
          <w:p>
            <w:pPr>
              <w:pStyle w:val="11"/>
            </w:pPr>
            <w:r>
              <w:t>25.43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59.40</w:t>
            </w:r>
          </w:p>
        </w:tc>
        <w:tc>
          <w:tcPr>
            <w:tcW w:w="1134" w:type="dxa"/>
            <w:vAlign w:val="center"/>
          </w:tcPr>
          <w:p>
            <w:pPr>
              <w:pStyle w:val="11"/>
            </w:pPr>
            <w:r>
              <w:t>59.40</w:t>
            </w:r>
          </w:p>
        </w:tc>
        <w:tc>
          <w:tcPr>
            <w:tcW w:w="1134" w:type="dxa"/>
            <w:vAlign w:val="center"/>
          </w:tcPr>
          <w:p>
            <w:pPr>
              <w:pStyle w:val="11"/>
            </w:pPr>
            <w:r>
              <w:t>59.40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5.89</w:t>
            </w:r>
          </w:p>
        </w:tc>
        <w:tc>
          <w:tcPr>
            <w:tcW w:w="1134" w:type="dxa"/>
            <w:vAlign w:val="center"/>
          </w:tcPr>
          <w:p>
            <w:pPr>
              <w:pStyle w:val="11"/>
            </w:pPr>
            <w:r>
              <w:t>5.89</w:t>
            </w:r>
          </w:p>
        </w:tc>
        <w:tc>
          <w:tcPr>
            <w:tcW w:w="1134" w:type="dxa"/>
            <w:vAlign w:val="center"/>
          </w:tcPr>
          <w:p>
            <w:pPr>
              <w:pStyle w:val="11"/>
            </w:pPr>
            <w:r>
              <w:t>5.89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r>
              <w:t>50.93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r>
              <w:t>48.51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808.58</w:t>
            </w:r>
          </w:p>
        </w:tc>
        <w:tc>
          <w:tcPr>
            <w:tcW w:w="1361" w:type="dxa"/>
            <w:vAlign w:val="center"/>
          </w:tcPr>
          <w:p>
            <w:pPr>
              <w:pStyle w:val="15"/>
            </w:pPr>
            <w:r>
              <w:t>664.48</w:t>
            </w:r>
          </w:p>
        </w:tc>
        <w:tc>
          <w:tcPr>
            <w:tcW w:w="1361" w:type="dxa"/>
            <w:vAlign w:val="center"/>
          </w:tcPr>
          <w:p>
            <w:pPr>
              <w:pStyle w:val="15"/>
            </w:pPr>
            <w:r>
              <w:t>144.10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618.42</w:t>
            </w:r>
          </w:p>
        </w:tc>
        <w:tc>
          <w:tcPr>
            <w:tcW w:w="1361" w:type="dxa"/>
            <w:vAlign w:val="center"/>
          </w:tcPr>
          <w:p>
            <w:pPr>
              <w:pStyle w:val="11"/>
            </w:pPr>
            <w:r>
              <w:t>474.32</w:t>
            </w:r>
          </w:p>
        </w:tc>
        <w:tc>
          <w:tcPr>
            <w:tcW w:w="1361" w:type="dxa"/>
            <w:vAlign w:val="center"/>
          </w:tcPr>
          <w:p>
            <w:pPr>
              <w:pStyle w:val="11"/>
            </w:pPr>
            <w:r>
              <w:t>144.10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618.42</w:t>
            </w:r>
          </w:p>
        </w:tc>
        <w:tc>
          <w:tcPr>
            <w:tcW w:w="1361" w:type="dxa"/>
            <w:vAlign w:val="center"/>
          </w:tcPr>
          <w:p>
            <w:pPr>
              <w:pStyle w:val="11"/>
            </w:pPr>
            <w:r>
              <w:t>474.32</w:t>
            </w:r>
          </w:p>
        </w:tc>
        <w:tc>
          <w:tcPr>
            <w:tcW w:w="1361" w:type="dxa"/>
            <w:vAlign w:val="center"/>
          </w:tcPr>
          <w:p>
            <w:pPr>
              <w:pStyle w:val="11"/>
            </w:pPr>
            <w:r>
              <w:t>144.10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2010306</w:t>
            </w:r>
          </w:p>
        </w:tc>
        <w:tc>
          <w:tcPr>
            <w:tcW w:w="4535" w:type="dxa"/>
            <w:vAlign w:val="center"/>
          </w:tcPr>
          <w:p>
            <w:pPr>
              <w:pStyle w:val="12"/>
            </w:pPr>
            <w:r>
              <w:t>政务公开审批</w:t>
            </w:r>
          </w:p>
        </w:tc>
        <w:tc>
          <w:tcPr>
            <w:tcW w:w="1361" w:type="dxa"/>
            <w:vAlign w:val="center"/>
          </w:tcPr>
          <w:p>
            <w:pPr>
              <w:pStyle w:val="11"/>
            </w:pPr>
            <w:r>
              <w:t>618.42</w:t>
            </w:r>
          </w:p>
        </w:tc>
        <w:tc>
          <w:tcPr>
            <w:tcW w:w="1361" w:type="dxa"/>
            <w:vAlign w:val="center"/>
          </w:tcPr>
          <w:p>
            <w:pPr>
              <w:pStyle w:val="11"/>
            </w:pPr>
            <w:r>
              <w:t>474.32</w:t>
            </w:r>
          </w:p>
        </w:tc>
        <w:tc>
          <w:tcPr>
            <w:tcW w:w="1361" w:type="dxa"/>
            <w:vAlign w:val="center"/>
          </w:tcPr>
          <w:p>
            <w:pPr>
              <w:pStyle w:val="11"/>
            </w:pPr>
            <w:r>
              <w:t>144.10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90.72</w:t>
            </w:r>
          </w:p>
        </w:tc>
        <w:tc>
          <w:tcPr>
            <w:tcW w:w="1361" w:type="dxa"/>
            <w:vAlign w:val="center"/>
          </w:tcPr>
          <w:p>
            <w:pPr>
              <w:pStyle w:val="11"/>
            </w:pPr>
            <w:r>
              <w:t>90.72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90.72</w:t>
            </w:r>
          </w:p>
        </w:tc>
        <w:tc>
          <w:tcPr>
            <w:tcW w:w="1361" w:type="dxa"/>
            <w:vAlign w:val="center"/>
          </w:tcPr>
          <w:p>
            <w:pPr>
              <w:pStyle w:val="11"/>
            </w:pPr>
            <w:r>
              <w:t>90.72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25.43</w:t>
            </w:r>
          </w:p>
        </w:tc>
        <w:tc>
          <w:tcPr>
            <w:tcW w:w="1361" w:type="dxa"/>
            <w:vAlign w:val="center"/>
          </w:tcPr>
          <w:p>
            <w:pPr>
              <w:pStyle w:val="11"/>
            </w:pPr>
            <w:r>
              <w:t>25.43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59.40</w:t>
            </w:r>
          </w:p>
        </w:tc>
        <w:tc>
          <w:tcPr>
            <w:tcW w:w="1361" w:type="dxa"/>
            <w:vAlign w:val="center"/>
          </w:tcPr>
          <w:p>
            <w:pPr>
              <w:pStyle w:val="11"/>
            </w:pPr>
            <w:r>
              <w:t>59.40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5.89</w:t>
            </w:r>
          </w:p>
        </w:tc>
        <w:tc>
          <w:tcPr>
            <w:tcW w:w="1361" w:type="dxa"/>
            <w:vAlign w:val="center"/>
          </w:tcPr>
          <w:p>
            <w:pPr>
              <w:pStyle w:val="11"/>
            </w:pPr>
            <w:r>
              <w:t>5.89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50.93</w:t>
            </w:r>
          </w:p>
        </w:tc>
        <w:tc>
          <w:tcPr>
            <w:tcW w:w="1361" w:type="dxa"/>
            <w:vAlign w:val="center"/>
          </w:tcPr>
          <w:p>
            <w:pPr>
              <w:pStyle w:val="11"/>
            </w:pPr>
            <w:r>
              <w:t>50.93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50.93</w:t>
            </w:r>
          </w:p>
        </w:tc>
        <w:tc>
          <w:tcPr>
            <w:tcW w:w="1361" w:type="dxa"/>
            <w:vAlign w:val="center"/>
          </w:tcPr>
          <w:p>
            <w:pPr>
              <w:pStyle w:val="11"/>
            </w:pPr>
            <w:r>
              <w:t>50.93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50.93</w:t>
            </w:r>
          </w:p>
        </w:tc>
        <w:tc>
          <w:tcPr>
            <w:tcW w:w="1361" w:type="dxa"/>
            <w:vAlign w:val="center"/>
          </w:tcPr>
          <w:p>
            <w:pPr>
              <w:pStyle w:val="11"/>
            </w:pPr>
            <w:r>
              <w:t>50.93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48.51</w:t>
            </w:r>
          </w:p>
        </w:tc>
        <w:tc>
          <w:tcPr>
            <w:tcW w:w="1361" w:type="dxa"/>
            <w:vAlign w:val="center"/>
          </w:tcPr>
          <w:p>
            <w:pPr>
              <w:pStyle w:val="11"/>
            </w:pPr>
            <w:r>
              <w:t>48.51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48.51</w:t>
            </w:r>
          </w:p>
        </w:tc>
        <w:tc>
          <w:tcPr>
            <w:tcW w:w="1361" w:type="dxa"/>
            <w:vAlign w:val="center"/>
          </w:tcPr>
          <w:p>
            <w:pPr>
              <w:pStyle w:val="11"/>
            </w:pPr>
            <w:r>
              <w:t>48.51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48.51</w:t>
            </w:r>
          </w:p>
        </w:tc>
        <w:tc>
          <w:tcPr>
            <w:tcW w:w="1361" w:type="dxa"/>
            <w:vAlign w:val="center"/>
          </w:tcPr>
          <w:p>
            <w:pPr>
              <w:pStyle w:val="11"/>
            </w:pPr>
            <w:r>
              <w:t>48.51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808.58</w:t>
            </w:r>
          </w:p>
        </w:tc>
        <w:tc>
          <w:tcPr>
            <w:tcW w:w="3402" w:type="dxa"/>
            <w:vAlign w:val="center"/>
          </w:tcPr>
          <w:p>
            <w:pPr>
              <w:pStyle w:val="12"/>
            </w:pPr>
            <w:r>
              <w:t>一、一般公共服务支出</w:t>
            </w:r>
          </w:p>
        </w:tc>
        <w:tc>
          <w:tcPr>
            <w:tcW w:w="1474" w:type="dxa"/>
            <w:vAlign w:val="center"/>
          </w:tcPr>
          <w:p>
            <w:pPr>
              <w:pStyle w:val="11"/>
            </w:pPr>
            <w:r>
              <w:t>618.42</w:t>
            </w:r>
          </w:p>
        </w:tc>
        <w:tc>
          <w:tcPr>
            <w:tcW w:w="1474" w:type="dxa"/>
            <w:vAlign w:val="center"/>
          </w:tcPr>
          <w:p>
            <w:pPr>
              <w:pStyle w:val="11"/>
            </w:pPr>
            <w:r>
              <w:t>618.42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90.72</w:t>
            </w:r>
          </w:p>
        </w:tc>
        <w:tc>
          <w:tcPr>
            <w:tcW w:w="1474" w:type="dxa"/>
            <w:vAlign w:val="center"/>
          </w:tcPr>
          <w:p>
            <w:pPr>
              <w:pStyle w:val="11"/>
            </w:pPr>
            <w:r>
              <w:t>90.72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50.93</w:t>
            </w:r>
          </w:p>
        </w:tc>
        <w:tc>
          <w:tcPr>
            <w:tcW w:w="1474" w:type="dxa"/>
            <w:vAlign w:val="center"/>
          </w:tcPr>
          <w:p>
            <w:pPr>
              <w:pStyle w:val="11"/>
            </w:pPr>
            <w:r>
              <w:t>50.93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48.51</w:t>
            </w:r>
          </w:p>
        </w:tc>
        <w:tc>
          <w:tcPr>
            <w:tcW w:w="1474" w:type="dxa"/>
            <w:vAlign w:val="center"/>
          </w:tcPr>
          <w:p>
            <w:pPr>
              <w:pStyle w:val="11"/>
            </w:pPr>
            <w:r>
              <w:t>48.51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808.58</w:t>
            </w:r>
          </w:p>
        </w:tc>
        <w:tc>
          <w:tcPr>
            <w:tcW w:w="3402" w:type="dxa"/>
            <w:vAlign w:val="center"/>
          </w:tcPr>
          <w:p>
            <w:pPr>
              <w:pStyle w:val="14"/>
            </w:pPr>
            <w:r>
              <w:t>本年支出合计</w:t>
            </w:r>
          </w:p>
        </w:tc>
        <w:tc>
          <w:tcPr>
            <w:tcW w:w="1474" w:type="dxa"/>
            <w:vAlign w:val="center"/>
          </w:tcPr>
          <w:p>
            <w:pPr>
              <w:pStyle w:val="15"/>
            </w:pPr>
            <w:r>
              <w:t>808.58</w:t>
            </w:r>
          </w:p>
        </w:tc>
        <w:tc>
          <w:tcPr>
            <w:tcW w:w="1474" w:type="dxa"/>
            <w:vAlign w:val="center"/>
          </w:tcPr>
          <w:p>
            <w:pPr>
              <w:pStyle w:val="15"/>
            </w:pPr>
            <w:r>
              <w:t>808.58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808.58</w:t>
            </w:r>
          </w:p>
        </w:tc>
        <w:tc>
          <w:tcPr>
            <w:tcW w:w="3402" w:type="dxa"/>
            <w:vAlign w:val="center"/>
          </w:tcPr>
          <w:p>
            <w:pPr>
              <w:pStyle w:val="14"/>
            </w:pPr>
            <w:r>
              <w:t>支出总计</w:t>
            </w:r>
          </w:p>
        </w:tc>
        <w:tc>
          <w:tcPr>
            <w:tcW w:w="1474" w:type="dxa"/>
            <w:vAlign w:val="center"/>
          </w:tcPr>
          <w:p>
            <w:pPr>
              <w:pStyle w:val="15"/>
            </w:pPr>
            <w:r>
              <w:t>808.58</w:t>
            </w:r>
          </w:p>
        </w:tc>
        <w:tc>
          <w:tcPr>
            <w:tcW w:w="1474" w:type="dxa"/>
            <w:vAlign w:val="center"/>
          </w:tcPr>
          <w:p>
            <w:pPr>
              <w:pStyle w:val="15"/>
            </w:pPr>
            <w:r>
              <w:t>808.58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808.58</w:t>
            </w:r>
          </w:p>
        </w:tc>
        <w:tc>
          <w:tcPr>
            <w:tcW w:w="2551" w:type="dxa"/>
            <w:vAlign w:val="center"/>
          </w:tcPr>
          <w:p>
            <w:pPr>
              <w:pStyle w:val="15"/>
            </w:pPr>
            <w:r>
              <w:t>664.48</w:t>
            </w:r>
          </w:p>
        </w:tc>
        <w:tc>
          <w:tcPr>
            <w:tcW w:w="2551" w:type="dxa"/>
            <w:vAlign w:val="center"/>
          </w:tcPr>
          <w:p>
            <w:pPr>
              <w:pStyle w:val="15"/>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618.42</w:t>
            </w:r>
          </w:p>
        </w:tc>
        <w:tc>
          <w:tcPr>
            <w:tcW w:w="2551" w:type="dxa"/>
            <w:vAlign w:val="center"/>
          </w:tcPr>
          <w:p>
            <w:pPr>
              <w:pStyle w:val="11"/>
            </w:pPr>
            <w:r>
              <w:t>474.32</w:t>
            </w:r>
          </w:p>
        </w:tc>
        <w:tc>
          <w:tcPr>
            <w:tcW w:w="2551" w:type="dxa"/>
            <w:vAlign w:val="center"/>
          </w:tcPr>
          <w:p>
            <w:pPr>
              <w:pStyle w:val="11"/>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618.42</w:t>
            </w:r>
          </w:p>
        </w:tc>
        <w:tc>
          <w:tcPr>
            <w:tcW w:w="2551" w:type="dxa"/>
            <w:vAlign w:val="center"/>
          </w:tcPr>
          <w:p>
            <w:pPr>
              <w:pStyle w:val="11"/>
            </w:pPr>
            <w:r>
              <w:t>474.32</w:t>
            </w:r>
          </w:p>
        </w:tc>
        <w:tc>
          <w:tcPr>
            <w:tcW w:w="2551" w:type="dxa"/>
            <w:vAlign w:val="center"/>
          </w:tcPr>
          <w:p>
            <w:pPr>
              <w:pStyle w:val="11"/>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2010306</w:t>
            </w:r>
          </w:p>
        </w:tc>
        <w:tc>
          <w:tcPr>
            <w:tcW w:w="4535" w:type="dxa"/>
            <w:vAlign w:val="center"/>
          </w:tcPr>
          <w:p>
            <w:pPr>
              <w:pStyle w:val="12"/>
            </w:pPr>
            <w:r>
              <w:t>政务公开审批</w:t>
            </w:r>
          </w:p>
        </w:tc>
        <w:tc>
          <w:tcPr>
            <w:tcW w:w="2551" w:type="dxa"/>
            <w:vAlign w:val="center"/>
          </w:tcPr>
          <w:p>
            <w:pPr>
              <w:pStyle w:val="11"/>
            </w:pPr>
            <w:r>
              <w:t>618.42</w:t>
            </w:r>
          </w:p>
        </w:tc>
        <w:tc>
          <w:tcPr>
            <w:tcW w:w="2551" w:type="dxa"/>
            <w:vAlign w:val="center"/>
          </w:tcPr>
          <w:p>
            <w:pPr>
              <w:pStyle w:val="11"/>
            </w:pPr>
            <w:r>
              <w:t>474.32</w:t>
            </w:r>
          </w:p>
        </w:tc>
        <w:tc>
          <w:tcPr>
            <w:tcW w:w="2551" w:type="dxa"/>
            <w:vAlign w:val="center"/>
          </w:tcPr>
          <w:p>
            <w:pPr>
              <w:pStyle w:val="11"/>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90.72</w:t>
            </w:r>
          </w:p>
        </w:tc>
        <w:tc>
          <w:tcPr>
            <w:tcW w:w="2551" w:type="dxa"/>
            <w:vAlign w:val="center"/>
          </w:tcPr>
          <w:p>
            <w:pPr>
              <w:pStyle w:val="11"/>
            </w:pPr>
            <w:r>
              <w:t>90.72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90.72</w:t>
            </w:r>
          </w:p>
        </w:tc>
        <w:tc>
          <w:tcPr>
            <w:tcW w:w="2551" w:type="dxa"/>
            <w:vAlign w:val="center"/>
          </w:tcPr>
          <w:p>
            <w:pPr>
              <w:pStyle w:val="11"/>
            </w:pPr>
            <w:r>
              <w:t>90.72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25.43</w:t>
            </w:r>
          </w:p>
        </w:tc>
        <w:tc>
          <w:tcPr>
            <w:tcW w:w="2551" w:type="dxa"/>
            <w:vAlign w:val="center"/>
          </w:tcPr>
          <w:p>
            <w:pPr>
              <w:pStyle w:val="11"/>
            </w:pPr>
            <w:r>
              <w:t>25.43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59.40</w:t>
            </w:r>
          </w:p>
        </w:tc>
        <w:tc>
          <w:tcPr>
            <w:tcW w:w="2551" w:type="dxa"/>
            <w:vAlign w:val="center"/>
          </w:tcPr>
          <w:p>
            <w:pPr>
              <w:pStyle w:val="11"/>
            </w:pPr>
            <w:r>
              <w:t>59.40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5.89</w:t>
            </w:r>
          </w:p>
        </w:tc>
        <w:tc>
          <w:tcPr>
            <w:tcW w:w="2551" w:type="dxa"/>
            <w:vAlign w:val="center"/>
          </w:tcPr>
          <w:p>
            <w:pPr>
              <w:pStyle w:val="11"/>
            </w:pPr>
            <w:r>
              <w:t>5.89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50.93</w:t>
            </w:r>
          </w:p>
        </w:tc>
        <w:tc>
          <w:tcPr>
            <w:tcW w:w="2551" w:type="dxa"/>
            <w:vAlign w:val="center"/>
          </w:tcPr>
          <w:p>
            <w:pPr>
              <w:pStyle w:val="11"/>
            </w:pPr>
            <w:r>
              <w:t>50.93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50.93</w:t>
            </w:r>
          </w:p>
        </w:tc>
        <w:tc>
          <w:tcPr>
            <w:tcW w:w="2551" w:type="dxa"/>
            <w:vAlign w:val="center"/>
          </w:tcPr>
          <w:p>
            <w:pPr>
              <w:pStyle w:val="11"/>
            </w:pPr>
            <w:r>
              <w:t>50.93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50.93</w:t>
            </w:r>
          </w:p>
        </w:tc>
        <w:tc>
          <w:tcPr>
            <w:tcW w:w="2551" w:type="dxa"/>
            <w:vAlign w:val="center"/>
          </w:tcPr>
          <w:p>
            <w:pPr>
              <w:pStyle w:val="11"/>
            </w:pPr>
            <w:r>
              <w:t>50.93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48.51</w:t>
            </w:r>
          </w:p>
        </w:tc>
        <w:tc>
          <w:tcPr>
            <w:tcW w:w="2551" w:type="dxa"/>
            <w:vAlign w:val="center"/>
          </w:tcPr>
          <w:p>
            <w:pPr>
              <w:pStyle w:val="11"/>
            </w:pPr>
            <w:r>
              <w:t>48.51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48.51</w:t>
            </w:r>
          </w:p>
        </w:tc>
        <w:tc>
          <w:tcPr>
            <w:tcW w:w="2551" w:type="dxa"/>
            <w:vAlign w:val="center"/>
          </w:tcPr>
          <w:p>
            <w:pPr>
              <w:pStyle w:val="11"/>
            </w:pPr>
            <w:r>
              <w:t>48.51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48.51</w:t>
            </w:r>
          </w:p>
        </w:tc>
        <w:tc>
          <w:tcPr>
            <w:tcW w:w="2551" w:type="dxa"/>
            <w:vAlign w:val="center"/>
          </w:tcPr>
          <w:p>
            <w:pPr>
              <w:pStyle w:val="11"/>
            </w:pPr>
            <w:r>
              <w:t>48.51</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664.48</w:t>
            </w:r>
          </w:p>
        </w:tc>
        <w:tc>
          <w:tcPr>
            <w:tcW w:w="2551" w:type="dxa"/>
            <w:vAlign w:val="center"/>
          </w:tcPr>
          <w:p>
            <w:pPr>
              <w:pStyle w:val="15"/>
            </w:pPr>
            <w:r>
              <w:t>621.27</w:t>
            </w:r>
          </w:p>
        </w:tc>
        <w:tc>
          <w:tcPr>
            <w:tcW w:w="2551" w:type="dxa"/>
            <w:vAlign w:val="center"/>
          </w:tcPr>
          <w:p>
            <w:pPr>
              <w:pStyle w:val="15"/>
            </w:pPr>
            <w:r>
              <w:t>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596.59</w:t>
            </w:r>
          </w:p>
        </w:tc>
        <w:tc>
          <w:tcPr>
            <w:tcW w:w="2551" w:type="dxa"/>
            <w:vAlign w:val="center"/>
          </w:tcPr>
          <w:p>
            <w:pPr>
              <w:pStyle w:val="11"/>
            </w:pPr>
            <w:r>
              <w:t>596.59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227.05</w:t>
            </w:r>
          </w:p>
        </w:tc>
        <w:tc>
          <w:tcPr>
            <w:tcW w:w="2551" w:type="dxa"/>
            <w:vAlign w:val="center"/>
          </w:tcPr>
          <w:p>
            <w:pPr>
              <w:pStyle w:val="11"/>
            </w:pPr>
            <w:r>
              <w:t>227.05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41.52</w:t>
            </w:r>
          </w:p>
        </w:tc>
        <w:tc>
          <w:tcPr>
            <w:tcW w:w="2551" w:type="dxa"/>
            <w:vAlign w:val="center"/>
          </w:tcPr>
          <w:p>
            <w:pPr>
              <w:pStyle w:val="11"/>
            </w:pPr>
            <w:r>
              <w:t>41.52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142.17</w:t>
            </w:r>
          </w:p>
        </w:tc>
        <w:tc>
          <w:tcPr>
            <w:tcW w:w="2551" w:type="dxa"/>
            <w:vAlign w:val="center"/>
          </w:tcPr>
          <w:p>
            <w:pPr>
              <w:pStyle w:val="11"/>
            </w:pPr>
            <w:r>
              <w:t>142.17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59.40</w:t>
            </w:r>
          </w:p>
        </w:tc>
        <w:tc>
          <w:tcPr>
            <w:tcW w:w="2551" w:type="dxa"/>
            <w:vAlign w:val="center"/>
          </w:tcPr>
          <w:p>
            <w:pPr>
              <w:pStyle w:val="11"/>
            </w:pPr>
            <w:r>
              <w:t>59.40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5.89</w:t>
            </w:r>
          </w:p>
        </w:tc>
        <w:tc>
          <w:tcPr>
            <w:tcW w:w="2551" w:type="dxa"/>
            <w:vAlign w:val="center"/>
          </w:tcPr>
          <w:p>
            <w:pPr>
              <w:pStyle w:val="11"/>
            </w:pPr>
            <w:r>
              <w:t>5.89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26.95</w:t>
            </w:r>
          </w:p>
        </w:tc>
        <w:tc>
          <w:tcPr>
            <w:tcW w:w="2551" w:type="dxa"/>
            <w:vAlign w:val="center"/>
          </w:tcPr>
          <w:p>
            <w:pPr>
              <w:pStyle w:val="11"/>
            </w:pPr>
            <w:r>
              <w:t>26.95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23.98</w:t>
            </w:r>
          </w:p>
        </w:tc>
        <w:tc>
          <w:tcPr>
            <w:tcW w:w="2551" w:type="dxa"/>
            <w:vAlign w:val="center"/>
          </w:tcPr>
          <w:p>
            <w:pPr>
              <w:pStyle w:val="11"/>
            </w:pPr>
            <w:r>
              <w:t>23.98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3.44</w:t>
            </w:r>
          </w:p>
        </w:tc>
        <w:tc>
          <w:tcPr>
            <w:tcW w:w="2551" w:type="dxa"/>
            <w:vAlign w:val="center"/>
          </w:tcPr>
          <w:p>
            <w:pPr>
              <w:pStyle w:val="11"/>
            </w:pPr>
            <w:r>
              <w:t>3.44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48.51</w:t>
            </w:r>
          </w:p>
        </w:tc>
        <w:tc>
          <w:tcPr>
            <w:tcW w:w="2551" w:type="dxa"/>
            <w:vAlign w:val="center"/>
          </w:tcPr>
          <w:p>
            <w:pPr>
              <w:pStyle w:val="11"/>
            </w:pPr>
            <w:r>
              <w:t>48.51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41.89</w:t>
            </w:r>
          </w:p>
        </w:tc>
        <w:tc>
          <w:tcPr>
            <w:tcW w:w="2551" w:type="dxa"/>
            <w:vAlign w:val="center"/>
          </w:tcPr>
          <w:p>
            <w:pPr>
              <w:pStyle w:val="11"/>
            </w:pPr>
          </w:p>
        </w:tc>
        <w:tc>
          <w:tcPr>
            <w:tcW w:w="2551" w:type="dxa"/>
            <w:vAlign w:val="center"/>
          </w:tcPr>
          <w:p>
            <w:pPr>
              <w:pStyle w:val="11"/>
            </w:pPr>
            <w:r>
              <w:t>41.89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9.24</w:t>
            </w:r>
          </w:p>
        </w:tc>
        <w:tc>
          <w:tcPr>
            <w:tcW w:w="2551" w:type="dxa"/>
            <w:vAlign w:val="center"/>
          </w:tcPr>
          <w:p>
            <w:pPr>
              <w:pStyle w:val="11"/>
            </w:pPr>
          </w:p>
        </w:tc>
        <w:tc>
          <w:tcPr>
            <w:tcW w:w="2551" w:type="dxa"/>
            <w:vAlign w:val="center"/>
          </w:tcPr>
          <w:p>
            <w:pPr>
              <w:pStyle w:val="11"/>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2.76</w:t>
            </w:r>
          </w:p>
        </w:tc>
        <w:tc>
          <w:tcPr>
            <w:tcW w:w="2551" w:type="dxa"/>
            <w:vAlign w:val="center"/>
          </w:tcPr>
          <w:p>
            <w:pPr>
              <w:pStyle w:val="11"/>
            </w:pPr>
          </w:p>
        </w:tc>
        <w:tc>
          <w:tcPr>
            <w:tcW w:w="2551"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5.28</w:t>
            </w:r>
          </w:p>
        </w:tc>
        <w:tc>
          <w:tcPr>
            <w:tcW w:w="2551" w:type="dxa"/>
            <w:vAlign w:val="center"/>
          </w:tcPr>
          <w:p>
            <w:pPr>
              <w:pStyle w:val="11"/>
            </w:pPr>
          </w:p>
        </w:tc>
        <w:tc>
          <w:tcPr>
            <w:tcW w:w="2551" w:type="dxa"/>
            <w:vAlign w:val="center"/>
          </w:tcPr>
          <w:p>
            <w:pPr>
              <w:pStyle w:val="11"/>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2.76</w:t>
            </w:r>
          </w:p>
        </w:tc>
        <w:tc>
          <w:tcPr>
            <w:tcW w:w="2551" w:type="dxa"/>
            <w:vAlign w:val="center"/>
          </w:tcPr>
          <w:p>
            <w:pPr>
              <w:pStyle w:val="11"/>
            </w:pPr>
          </w:p>
        </w:tc>
        <w:tc>
          <w:tcPr>
            <w:tcW w:w="2551"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5.75</w:t>
            </w:r>
          </w:p>
        </w:tc>
        <w:tc>
          <w:tcPr>
            <w:tcW w:w="2551" w:type="dxa"/>
            <w:vAlign w:val="center"/>
          </w:tcPr>
          <w:p>
            <w:pPr>
              <w:pStyle w:val="11"/>
            </w:pPr>
          </w:p>
        </w:tc>
        <w:tc>
          <w:tcPr>
            <w:tcW w:w="2551" w:type="dxa"/>
            <w:vAlign w:val="center"/>
          </w:tcPr>
          <w:p>
            <w:pPr>
              <w:pStyle w:val="11"/>
            </w:pPr>
            <w: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4.62</w:t>
            </w:r>
          </w:p>
        </w:tc>
        <w:tc>
          <w:tcPr>
            <w:tcW w:w="2551" w:type="dxa"/>
            <w:vAlign w:val="center"/>
          </w:tcPr>
          <w:p>
            <w:pPr>
              <w:pStyle w:val="11"/>
            </w:pPr>
          </w:p>
        </w:tc>
        <w:tc>
          <w:tcPr>
            <w:tcW w:w="2551" w:type="dxa"/>
            <w:vAlign w:val="center"/>
          </w:tcPr>
          <w:p>
            <w:pPr>
              <w:pStyle w:val="11"/>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24.68</w:t>
            </w:r>
          </w:p>
        </w:tc>
        <w:tc>
          <w:tcPr>
            <w:tcW w:w="2551" w:type="dxa"/>
            <w:vAlign w:val="center"/>
          </w:tcPr>
          <w:p>
            <w:pPr>
              <w:pStyle w:val="11"/>
            </w:pPr>
            <w:r>
              <w:t>24.68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24.68</w:t>
            </w:r>
          </w:p>
        </w:tc>
        <w:tc>
          <w:tcPr>
            <w:tcW w:w="2551" w:type="dxa"/>
            <w:vAlign w:val="center"/>
          </w:tcPr>
          <w:p>
            <w:pPr>
              <w:pStyle w:val="11"/>
            </w:pPr>
            <w:r>
              <w:t>24.68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2.62</w:t>
            </w:r>
          </w:p>
        </w:tc>
        <w:tc>
          <w:tcPr>
            <w:tcW w:w="2381" w:type="dxa"/>
            <w:vAlign w:val="center"/>
          </w:tcPr>
          <w:p>
            <w:pPr>
              <w:pStyle w:val="15"/>
              <w:rPr>
                <w:rFonts w:hint="default" w:eastAsia="方正书宋_GBK"/>
                <w:lang w:val="en-US" w:eastAsia="zh-CN"/>
              </w:rPr>
            </w:pPr>
            <w:r>
              <w:rPr>
                <w:rFonts w:hint="eastAsia"/>
                <w:lang w:val="en-US" w:eastAsia="zh-CN"/>
              </w:rPr>
              <w:t>2.62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2.62</w:t>
            </w:r>
          </w:p>
        </w:tc>
        <w:tc>
          <w:tcPr>
            <w:tcW w:w="2381" w:type="dxa"/>
            <w:vAlign w:val="center"/>
          </w:tcPr>
          <w:p>
            <w:pPr>
              <w:pStyle w:val="11"/>
            </w:pPr>
            <w:r>
              <w:t>2.62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0.42</w:t>
            </w:r>
          </w:p>
        </w:tc>
        <w:tc>
          <w:tcPr>
            <w:tcW w:w="2381" w:type="dxa"/>
            <w:vAlign w:val="center"/>
          </w:tcPr>
          <w:p>
            <w:pPr>
              <w:pStyle w:val="11"/>
            </w:pPr>
            <w:r>
              <w:t>0.42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秦皇岛北戴河新区行政审批局本级2026年单位预算信息公开情况说明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按照《中华人民共和国预算法》、《地方预决算公开操作规程》和《关于进一步推进预算公开工作的实施意见》规定，现将秦皇岛北戴河新区行政审批局本级2026年单位预算公开如下：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（一）贯彻执行党中央、国务院和省委省政府、市委市政府、新区党工委、管委会行政审批制度改革、政务服务管理、公共资源交易市场管理、社会信用体系建设有关方针政策和法律法规。</w:t>
      </w:r>
    </w:p>
    <w:p>
      <w:pPr>
        <w:pStyle w:val="17"/>
      </w:pPr>
      <w:r>
        <w:t>（二）负责推进新区数据管理工作。按照中央、省、市和有关部门统一部署，统筹推进数字北戴河新区、数字经济、数字社会、数字政府建设，协调推动公共服务和社会治理信息化，协调促进智慧城市建设；统筹数据资源整合共享和开发利用，推动信息资源跨行业跨部门互联互通；统筹推进政务运行数字化转型，落实政务服务规范化、标准化、集约化建设。</w:t>
      </w:r>
    </w:p>
    <w:p>
      <w:pPr>
        <w:pStyle w:val="17"/>
      </w:pPr>
      <w:r>
        <w:t>（三）指导协调新区行政审批制度改革工作。推进简政放权，清理和规范各类行政许可、公共服务等管理事项；协调推进行政审批标准化工作。</w:t>
      </w:r>
    </w:p>
    <w:p>
      <w:pPr>
        <w:pStyle w:val="17"/>
      </w:pPr>
      <w:r>
        <w:t>（四）指导协调新区政务服务管理工作。负责优化政务服务供给，降低制度性交易成本，提升政务服务效能；负责推进审批服务便民化；负责公共资源交易市场行政管理和业务指导；指导协调新区有关部门为公民、法人或其他组织提供规范、高效、优质的政务服务。</w:t>
      </w:r>
    </w:p>
    <w:p>
      <w:pPr>
        <w:pStyle w:val="17"/>
      </w:pPr>
      <w:r>
        <w:t>（五）负责综合协调和监督管理新区各部门、垂管部门行政审批、政务服务事项的集中统一办理。组织相关部门开展审批服务事项的联合办理和联审会办。</w:t>
      </w:r>
    </w:p>
    <w:p>
      <w:pPr>
        <w:pStyle w:val="17"/>
      </w:pPr>
      <w:r>
        <w:t>（六）引导和推动社会信用体系建设。负责推动信用信息的汇聚、交换、共享和应用；负责开展守信联合激励和失信联合惩戒制度建设等相关工作，建立健全诚信综合监督体系；组织开展失信问题专项治理；加强城市信用建设，培育和发展信用服务市场。</w:t>
      </w:r>
    </w:p>
    <w:p>
      <w:pPr>
        <w:pStyle w:val="17"/>
      </w:pPr>
      <w:r>
        <w:t>（七）负责投资项目、市场服务、人民防空、生态环境、住建城管、社会事务、食品卫生、文教体卫、农林畜水等领域行政审批事项的办理及相关行政性收费，并承担相应的法律责任。</w:t>
      </w:r>
    </w:p>
    <w:p>
      <w:pPr>
        <w:pStyle w:val="17"/>
      </w:pPr>
      <w:r>
        <w:t>（八）承办新区党工委、管委会交办的其他事项。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秦皇岛北戴河新区行政审批局本级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808.58万元，其中：一般公共预算收入808.58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行政审批局本级年度单位预算中支出预算的总体情况。2026年支出预算808.58万元，其中基本支出664.48万元，包括人员经费621.27万元和日常公用经费43.21万元；项目支出144.10万元，主要为行政审批工作经费、政务中心服务窗口工作经费、北戴河新区公共资源交易中心“双盲”评审场地改造项目费用。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808.58万元，较2025年预算增加95.55万元，其中：基本支出增加37.45万元，主要为人员变动，薪酬体系调整，基本支出增加。项目支出增加58.10万元，主要为新增北戴河新区公共资源交易中心“双盲”评审场地改造项目费用。。预计下年使用的单位资金结余增加0.00万元。</w:t>
      </w:r>
    </w:p>
    <w:p>
      <w:pPr>
        <w:spacing w:before="10" w:after="10" w:line="240" w:lineRule="auto"/>
        <w:ind w:firstLine="640"/>
        <w:jc w:val="left"/>
        <w:outlineLvl w:val="5"/>
        <w:rPr>
          <w:rFonts w:ascii="Times New Roman" w:hAnsi="Times New Roman" w:eastAsia="方正仿宋_GBK" w:cs="Times New Roman"/>
          <w:sz w:val="28"/>
          <w:szCs w:val="22"/>
        </w:rPr>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szCs w:val="22"/>
        </w:rPr>
      </w:pPr>
      <w:r>
        <w:rPr>
          <w:rFonts w:ascii="Times New Roman" w:hAnsi="Times New Roman" w:eastAsia="方正仿宋_GBK" w:cs="Times New Roman"/>
          <w:sz w:val="28"/>
          <w:szCs w:val="22"/>
        </w:rPr>
        <w:t>2026年，我部门机关运行经费共计安排</w:t>
      </w:r>
      <w:r>
        <w:rPr>
          <w:rFonts w:hint="eastAsia" w:ascii="Times New Roman" w:hAnsi="Times New Roman" w:eastAsia="方正仿宋_GBK" w:cs="Times New Roman"/>
          <w:sz w:val="28"/>
          <w:szCs w:val="22"/>
        </w:rPr>
        <w:t>43.21万元，主要用于日常维修、办公用房水电费、办公用房取暖费、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2026年，我单位财政拨款“三公”经费预算安排2.62万元，其中因公出国（境）费0.00万元；公务用车购置及运维费2.20万元（其中：公务用车购置费为0.00万元，公务用车运维费2.20万元)；公务接待费0.42万元。与2025年相比减少0.13万元，增减变化的主要原因是公务用车运维费缩减0.10万元，公务接待费缩减0.03万元</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1、行政审批工作经费绩效目标表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13031326P00000310090L</w:t>
            </w:r>
          </w:p>
        </w:tc>
        <w:tc>
          <w:tcPr>
            <w:tcW w:w="2835" w:type="dxa"/>
            <w:vAlign w:val="center"/>
          </w:tcPr>
          <w:p>
            <w:pPr>
              <w:pStyle w:val="10"/>
            </w:pPr>
            <w:r>
              <w:t>项目名称</w:t>
            </w:r>
          </w:p>
        </w:tc>
        <w:tc>
          <w:tcPr>
            <w:tcW w:w="6095" w:type="dxa"/>
            <w:gridSpan w:val="3"/>
            <w:vAlign w:val="center"/>
          </w:tcPr>
          <w:p>
            <w:pPr>
              <w:pStyle w:val="12"/>
            </w:pPr>
            <w:r>
              <w:t>行政审批工作经费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厅及局机关广告宣传及耗材费用保障大厅运行；专线网络运行维护费、专家评审咨询服务费、证照印刷费、印章刻制服务费、人防测绘服务费；审改办、信用办、企服办广告宣传费用；雷电防护装置设计技术评价费及雷电防护装置检测费,保障行政审批业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大厅及局机关工作人员广告宣传及耗材费用保障大厅运行；专线网络运行维护费、专家评审咨询服务费、证照印刷费、印章刻制服务费、人防测绘服务费；审改办、信用办、企服办广告宣传费用；雷电防护装置设计技术评价费及雷电防护装置检测费,保障行政审批业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需要专家评审项目数</w:t>
            </w:r>
          </w:p>
        </w:tc>
        <w:tc>
          <w:tcPr>
            <w:tcW w:w="5386" w:type="dxa"/>
            <w:vAlign w:val="center"/>
          </w:tcPr>
          <w:p>
            <w:pPr>
              <w:pStyle w:val="12"/>
            </w:pPr>
            <w:r>
              <w:t>根据审批业务类型及相关文件规定组织需聘请专家评审的项目数</w:t>
            </w:r>
          </w:p>
        </w:tc>
        <w:tc>
          <w:tcPr>
            <w:tcW w:w="2268" w:type="dxa"/>
            <w:vAlign w:val="center"/>
          </w:tcPr>
          <w:p>
            <w:pPr>
              <w:pStyle w:val="12"/>
            </w:pPr>
            <w:r>
              <w:t>≥64个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系统安全运行天数</w:t>
            </w:r>
          </w:p>
        </w:tc>
        <w:tc>
          <w:tcPr>
            <w:tcW w:w="5386" w:type="dxa"/>
            <w:vAlign w:val="center"/>
          </w:tcPr>
          <w:p>
            <w:pPr>
              <w:pStyle w:val="12"/>
            </w:pPr>
            <w:r>
              <w:t>环保专网、“好差评”系统等设备正常运行，无故障的天数</w:t>
            </w:r>
          </w:p>
        </w:tc>
        <w:tc>
          <w:tcPr>
            <w:tcW w:w="2268" w:type="dxa"/>
            <w:vAlign w:val="center"/>
          </w:tcPr>
          <w:p>
            <w:pPr>
              <w:pStyle w:val="12"/>
            </w:pPr>
            <w:r>
              <w:t>≥365天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刻制印章数量</w:t>
            </w:r>
          </w:p>
        </w:tc>
        <w:tc>
          <w:tcPr>
            <w:tcW w:w="5386" w:type="dxa"/>
            <w:vAlign w:val="center"/>
          </w:tcPr>
          <w:p>
            <w:pPr>
              <w:pStyle w:val="12"/>
            </w:pPr>
            <w:r>
              <w:t>反映为首次注册企业，刻章印制数量</w:t>
            </w:r>
          </w:p>
        </w:tc>
        <w:tc>
          <w:tcPr>
            <w:tcW w:w="2268" w:type="dxa"/>
            <w:vAlign w:val="center"/>
          </w:tcPr>
          <w:p>
            <w:pPr>
              <w:pStyle w:val="12"/>
            </w:pPr>
            <w:r>
              <w:t>≥426个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聘请的专家数量</w:t>
            </w:r>
          </w:p>
        </w:tc>
        <w:tc>
          <w:tcPr>
            <w:tcW w:w="5386" w:type="dxa"/>
            <w:vAlign w:val="center"/>
          </w:tcPr>
          <w:p>
            <w:pPr>
              <w:pStyle w:val="12"/>
            </w:pPr>
            <w:r>
              <w:t>根据审批业务类型及相关文件规定需聘请专家数量</w:t>
            </w:r>
          </w:p>
        </w:tc>
        <w:tc>
          <w:tcPr>
            <w:tcW w:w="2268" w:type="dxa"/>
            <w:vAlign w:val="center"/>
          </w:tcPr>
          <w:p>
            <w:pPr>
              <w:pStyle w:val="12"/>
            </w:pPr>
            <w:r>
              <w:t>≥375位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需要测绘的项目数量</w:t>
            </w:r>
          </w:p>
        </w:tc>
        <w:tc>
          <w:tcPr>
            <w:tcW w:w="5386" w:type="dxa"/>
            <w:vAlign w:val="center"/>
          </w:tcPr>
          <w:p>
            <w:pPr>
              <w:pStyle w:val="12"/>
            </w:pPr>
            <w:r>
              <w:t>根据验收项目中建筑物基础埋深在2.7(含）米以上需要测绘的楼栋项目数量</w:t>
            </w:r>
          </w:p>
        </w:tc>
        <w:tc>
          <w:tcPr>
            <w:tcW w:w="2268" w:type="dxa"/>
            <w:vAlign w:val="center"/>
          </w:tcPr>
          <w:p>
            <w:pPr>
              <w:pStyle w:val="12"/>
            </w:pPr>
            <w:r>
              <w:t>≥4个</w:t>
            </w:r>
          </w:p>
        </w:tc>
        <w:tc>
          <w:tcPr>
            <w:tcW w:w="1276" w:type="dxa"/>
            <w:vAlign w:val="center"/>
          </w:tcPr>
          <w:p>
            <w:pPr>
              <w:pStyle w:val="12"/>
            </w:pPr>
            <w:r>
              <w:t>验收实测的项目数量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需测绘服务的楼栋点位数量</w:t>
            </w:r>
          </w:p>
        </w:tc>
        <w:tc>
          <w:tcPr>
            <w:tcW w:w="5386" w:type="dxa"/>
            <w:vAlign w:val="center"/>
          </w:tcPr>
          <w:p>
            <w:pPr>
              <w:pStyle w:val="12"/>
            </w:pPr>
            <w:r>
              <w:t>根据验收项目中建筑物基础埋深在2.7(含）米以上需要测绘的楼栋点位数</w:t>
            </w:r>
          </w:p>
        </w:tc>
        <w:tc>
          <w:tcPr>
            <w:tcW w:w="2268" w:type="dxa"/>
            <w:vAlign w:val="center"/>
          </w:tcPr>
          <w:p>
            <w:pPr>
              <w:pStyle w:val="12"/>
            </w:pPr>
            <w:r>
              <w:t>≥80个</w:t>
            </w:r>
          </w:p>
        </w:tc>
        <w:tc>
          <w:tcPr>
            <w:tcW w:w="1276" w:type="dxa"/>
            <w:vAlign w:val="center"/>
          </w:tcPr>
          <w:p>
            <w:pPr>
              <w:pStyle w:val="12"/>
            </w:pPr>
            <w:r>
              <w:t>每个人防工程项目需要实测的点位数量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需要技术机构开展检测楼栋数量</w:t>
            </w:r>
          </w:p>
        </w:tc>
        <w:tc>
          <w:tcPr>
            <w:tcW w:w="5386" w:type="dxa"/>
            <w:vAlign w:val="center"/>
          </w:tcPr>
          <w:p>
            <w:pPr>
              <w:pStyle w:val="12"/>
            </w:pPr>
            <w:r>
              <w:t>根据业务审批类型及相关文件规定组织需要聘请第三方机构开展雷电防护装置竣工验收检测的数量</w:t>
            </w:r>
          </w:p>
        </w:tc>
        <w:tc>
          <w:tcPr>
            <w:tcW w:w="2268" w:type="dxa"/>
            <w:vAlign w:val="center"/>
          </w:tcPr>
          <w:p>
            <w:pPr>
              <w:pStyle w:val="12"/>
            </w:pPr>
            <w:r>
              <w:t>≥20栋</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评审验收合格率</w:t>
            </w:r>
          </w:p>
        </w:tc>
        <w:tc>
          <w:tcPr>
            <w:tcW w:w="5386" w:type="dxa"/>
            <w:vAlign w:val="center"/>
          </w:tcPr>
          <w:p>
            <w:pPr>
              <w:pStyle w:val="12"/>
            </w:pPr>
            <w:r>
              <w:t>专家评审项目评审验收合格率</w:t>
            </w:r>
          </w:p>
        </w:tc>
        <w:tc>
          <w:tcPr>
            <w:tcW w:w="2268" w:type="dxa"/>
            <w:vAlign w:val="center"/>
          </w:tcPr>
          <w:p>
            <w:pPr>
              <w:pStyle w:val="12"/>
            </w:pPr>
            <w:r>
              <w:t>≥99%</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系统故障率</w:t>
            </w:r>
          </w:p>
        </w:tc>
        <w:tc>
          <w:tcPr>
            <w:tcW w:w="5386" w:type="dxa"/>
            <w:vAlign w:val="center"/>
          </w:tcPr>
          <w:p>
            <w:pPr>
              <w:pStyle w:val="12"/>
            </w:pPr>
            <w:r>
              <w:t>因系统故障影响不能办理业务的天数比率</w:t>
            </w:r>
          </w:p>
        </w:tc>
        <w:tc>
          <w:tcPr>
            <w:tcW w:w="2268" w:type="dxa"/>
            <w:vAlign w:val="center"/>
          </w:tcPr>
          <w:p>
            <w:pPr>
              <w:pStyle w:val="12"/>
            </w:pPr>
            <w:r>
              <w:t>≤2%</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审批业务情况</w:t>
            </w:r>
          </w:p>
        </w:tc>
        <w:tc>
          <w:tcPr>
            <w:tcW w:w="5386" w:type="dxa"/>
            <w:vAlign w:val="center"/>
          </w:tcPr>
          <w:p>
            <w:pPr>
              <w:pStyle w:val="12"/>
            </w:pPr>
            <w:r>
              <w:t>大厅各类审批业务运行情况</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复核结果有法律效用</w:t>
            </w:r>
          </w:p>
        </w:tc>
        <w:tc>
          <w:tcPr>
            <w:tcW w:w="5386" w:type="dxa"/>
            <w:vAlign w:val="center"/>
          </w:tcPr>
          <w:p>
            <w:pPr>
              <w:pStyle w:val="12"/>
            </w:pPr>
            <w:r>
              <w:t>为建设单位提供建筑物基础埋深的检测报告复核结果的法律效用</w:t>
            </w:r>
          </w:p>
        </w:tc>
        <w:tc>
          <w:tcPr>
            <w:tcW w:w="2268" w:type="dxa"/>
            <w:vAlign w:val="center"/>
          </w:tcPr>
          <w:p>
            <w:pPr>
              <w:pStyle w:val="12"/>
            </w:pPr>
            <w:r>
              <w:t>≥100%</w:t>
            </w:r>
          </w:p>
        </w:tc>
        <w:tc>
          <w:tcPr>
            <w:tcW w:w="1276" w:type="dxa"/>
            <w:vAlign w:val="center"/>
          </w:tcPr>
          <w:p>
            <w:pPr>
              <w:pStyle w:val="12"/>
            </w:pPr>
            <w:r>
              <w:t>实测报告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维修反应速度</w:t>
            </w:r>
          </w:p>
        </w:tc>
        <w:tc>
          <w:tcPr>
            <w:tcW w:w="5386" w:type="dxa"/>
            <w:vAlign w:val="center"/>
          </w:tcPr>
          <w:p>
            <w:pPr>
              <w:pStyle w:val="12"/>
            </w:pPr>
            <w:r>
              <w:t>综合系统技术支持维修反应速度</w:t>
            </w:r>
          </w:p>
        </w:tc>
        <w:tc>
          <w:tcPr>
            <w:tcW w:w="2268" w:type="dxa"/>
            <w:vAlign w:val="center"/>
          </w:tcPr>
          <w:p>
            <w:pPr>
              <w:pStyle w:val="12"/>
            </w:pPr>
            <w:r>
              <w:t>≤2小时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证照、耗材等办公项目保障时效</w:t>
            </w:r>
          </w:p>
        </w:tc>
        <w:tc>
          <w:tcPr>
            <w:tcW w:w="5386" w:type="dxa"/>
            <w:vAlign w:val="center"/>
          </w:tcPr>
          <w:p>
            <w:pPr>
              <w:pStyle w:val="12"/>
            </w:pPr>
            <w:r>
              <w:t>所有与审批业务相关的证照印刷等保障时效</w:t>
            </w:r>
          </w:p>
        </w:tc>
        <w:tc>
          <w:tcPr>
            <w:tcW w:w="2268" w:type="dxa"/>
            <w:vAlign w:val="center"/>
          </w:tcPr>
          <w:p>
            <w:pPr>
              <w:pStyle w:val="12"/>
            </w:pPr>
            <w:r>
              <w:t>效果显著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建设项目验收保障时效</w:t>
            </w:r>
          </w:p>
        </w:tc>
        <w:tc>
          <w:tcPr>
            <w:tcW w:w="5386" w:type="dxa"/>
            <w:vAlign w:val="center"/>
          </w:tcPr>
          <w:p>
            <w:pPr>
              <w:pStyle w:val="12"/>
            </w:pPr>
            <w:r>
              <w:t>为建设单位提供的咨询服务的合法合规性</w:t>
            </w:r>
          </w:p>
        </w:tc>
        <w:tc>
          <w:tcPr>
            <w:tcW w:w="2268" w:type="dxa"/>
            <w:vAlign w:val="center"/>
          </w:tcPr>
          <w:p>
            <w:pPr>
              <w:pStyle w:val="12"/>
            </w:pPr>
            <w:r>
              <w:t>≥98%</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成本控制预算数</w:t>
            </w:r>
          </w:p>
        </w:tc>
        <w:tc>
          <w:tcPr>
            <w:tcW w:w="5386" w:type="dxa"/>
            <w:vAlign w:val="center"/>
          </w:tcPr>
          <w:p>
            <w:pPr>
              <w:pStyle w:val="12"/>
            </w:pPr>
            <w:r>
              <w:t>实际支出金额小于预算控制数</w:t>
            </w:r>
          </w:p>
        </w:tc>
        <w:tc>
          <w:tcPr>
            <w:tcW w:w="2268" w:type="dxa"/>
            <w:vAlign w:val="center"/>
          </w:tcPr>
          <w:p>
            <w:pPr>
              <w:pStyle w:val="12"/>
            </w:pPr>
            <w:r>
              <w:t>≤50万元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提升办事便利性</w:t>
            </w:r>
          </w:p>
        </w:tc>
        <w:tc>
          <w:tcPr>
            <w:tcW w:w="5386" w:type="dxa"/>
            <w:vAlign w:val="center"/>
          </w:tcPr>
          <w:p>
            <w:pPr>
              <w:pStyle w:val="12"/>
            </w:pPr>
            <w:r>
              <w:t>提供高效便利、公开透明在线办理渠道</w:t>
            </w:r>
          </w:p>
        </w:tc>
        <w:tc>
          <w:tcPr>
            <w:tcW w:w="2268" w:type="dxa"/>
            <w:vAlign w:val="center"/>
          </w:tcPr>
          <w:p>
            <w:pPr>
              <w:pStyle w:val="12"/>
            </w:pPr>
            <w:r>
              <w:t>效果显著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办理业务的人员满意度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≥98%</w:t>
            </w:r>
          </w:p>
        </w:tc>
        <w:tc>
          <w:tcPr>
            <w:tcW w:w="1276" w:type="dxa"/>
            <w:vAlign w:val="center"/>
          </w:tcPr>
          <w:p>
            <w:pPr>
              <w:pStyle w:val="12"/>
            </w:pPr>
            <w:r>
              <w:t>年度工作计划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2、政务中心服务窗口管理工作经费绩效目标表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13031326P000003100918</w:t>
            </w:r>
          </w:p>
        </w:tc>
        <w:tc>
          <w:tcPr>
            <w:tcW w:w="2835" w:type="dxa"/>
            <w:vAlign w:val="center"/>
          </w:tcPr>
          <w:p>
            <w:pPr>
              <w:pStyle w:val="10"/>
            </w:pPr>
            <w:r>
              <w:t>项目名称</w:t>
            </w:r>
          </w:p>
        </w:tc>
        <w:tc>
          <w:tcPr>
            <w:tcW w:w="6095" w:type="dxa"/>
            <w:gridSpan w:val="3"/>
            <w:vAlign w:val="center"/>
          </w:tcPr>
          <w:p>
            <w:pPr>
              <w:pStyle w:val="12"/>
            </w:pPr>
            <w:r>
              <w:t>政务中心服务窗口管理工作经费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政务大厅正常运行所需经费（不包含新进厅人员）；政务大厅正常办公耗材、大厅监控维修、大厅叫号机维修、大厅大屏幕维修、窗口电子大屏幕维修、大厅电脑打印机等办公设备维修、大厅自助服务区日常消耗费用、学雷锋志愿服务站物品日常消耗费用、大厅创城及各项检查展牌费用、大厅公共服务区域（办事群众休息区、等候区）物品日常维修及更换的费用。大厅企业开办公共服务区域打印复印、耗材费用；大厅网络、电子显示屏维修费用为大厅正常运行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政务大厅正常运行所需经费（不包含新进厅人员）；政务大厅正常办公耗材、大厅监控维修、大厅叫号机维修、大厅大屏幕维修、窗口电子大屏幕维修、大厅电脑打印机等办公设备维修、大厅自助服务区日常消耗费用、学雷锋志愿服务站物品日常消耗费用、大厅创城及各项检查展牌费用、大厅公共服务区域（办事群众休息区、等候区）物品日常维修及更换的费用。大厅企业开办公共服务区域打印复印、耗材费用；大厅网络、电子显示屏维修费用为大厅正常运行提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维修任务完成率</w:t>
            </w:r>
          </w:p>
        </w:tc>
        <w:tc>
          <w:tcPr>
            <w:tcW w:w="5386" w:type="dxa"/>
            <w:vAlign w:val="center"/>
          </w:tcPr>
          <w:p>
            <w:pPr>
              <w:pStyle w:val="12"/>
            </w:pPr>
            <w:r>
              <w:t>反映日常运行过程中，需维修设备、机器等固定资产维修任务完成率</w:t>
            </w:r>
          </w:p>
        </w:tc>
        <w:tc>
          <w:tcPr>
            <w:tcW w:w="2268" w:type="dxa"/>
            <w:vAlign w:val="center"/>
          </w:tcPr>
          <w:p>
            <w:pPr>
              <w:pStyle w:val="12"/>
            </w:pPr>
            <w:r>
              <w:t>≥90%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审批业务完成率</w:t>
            </w:r>
          </w:p>
        </w:tc>
        <w:tc>
          <w:tcPr>
            <w:tcW w:w="5386" w:type="dxa"/>
            <w:vAlign w:val="center"/>
          </w:tcPr>
          <w:p>
            <w:pPr>
              <w:pStyle w:val="12"/>
            </w:pPr>
            <w:r>
              <w:t>反映政务中心服务窗口审批业务完成比率</w:t>
            </w:r>
          </w:p>
        </w:tc>
        <w:tc>
          <w:tcPr>
            <w:tcW w:w="2268" w:type="dxa"/>
            <w:vAlign w:val="center"/>
          </w:tcPr>
          <w:p>
            <w:pPr>
              <w:pStyle w:val="12"/>
            </w:pPr>
            <w:r>
              <w:t>≥95%</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审批业务规范性</w:t>
            </w:r>
          </w:p>
        </w:tc>
        <w:tc>
          <w:tcPr>
            <w:tcW w:w="5386" w:type="dxa"/>
            <w:vAlign w:val="center"/>
          </w:tcPr>
          <w:p>
            <w:pPr>
              <w:pStyle w:val="12"/>
            </w:pPr>
            <w:r>
              <w:t>审批业务符合文件规定流程</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维修验收合格率</w:t>
            </w:r>
          </w:p>
        </w:tc>
        <w:tc>
          <w:tcPr>
            <w:tcW w:w="5386" w:type="dxa"/>
            <w:vAlign w:val="center"/>
          </w:tcPr>
          <w:p>
            <w:pPr>
              <w:pStyle w:val="12"/>
            </w:pPr>
            <w:r>
              <w:t>反映日常运行过程中，需维修设备、机器等固定资产维修验收合格率</w:t>
            </w:r>
          </w:p>
        </w:tc>
        <w:tc>
          <w:tcPr>
            <w:tcW w:w="2268" w:type="dxa"/>
            <w:vAlign w:val="center"/>
          </w:tcPr>
          <w:p>
            <w:pPr>
              <w:pStyle w:val="12"/>
            </w:pPr>
            <w:r>
              <w:t>100%</w:t>
            </w:r>
          </w:p>
        </w:tc>
        <w:tc>
          <w:tcPr>
            <w:tcW w:w="1276" w:type="dxa"/>
            <w:vAlign w:val="center"/>
          </w:tcPr>
          <w:p>
            <w:pPr>
              <w:pStyle w:val="12"/>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反映日常运行过程中，需维修设备、机器等固定资产维修及时率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反映日常运行过程中，需维修设备、机器等固定资产维修及时率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审批业务完成及时率</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≤23万元</w:t>
            </w:r>
          </w:p>
        </w:tc>
        <w:tc>
          <w:tcPr>
            <w:tcW w:w="1276" w:type="dxa"/>
            <w:vAlign w:val="center"/>
          </w:tcPr>
          <w:p>
            <w:pPr>
              <w:pStyle w:val="12"/>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提升办事便利性</w:t>
            </w:r>
          </w:p>
        </w:tc>
        <w:tc>
          <w:tcPr>
            <w:tcW w:w="5386" w:type="dxa"/>
            <w:vAlign w:val="center"/>
          </w:tcPr>
          <w:p>
            <w:pPr>
              <w:pStyle w:val="12"/>
            </w:pPr>
            <w:r>
              <w:t>提供高效便利、公开透明在线办理渠道</w:t>
            </w:r>
          </w:p>
        </w:tc>
        <w:tc>
          <w:tcPr>
            <w:tcW w:w="2268" w:type="dxa"/>
            <w:vAlign w:val="center"/>
          </w:tcPr>
          <w:p>
            <w:pPr>
              <w:pStyle w:val="12"/>
            </w:pPr>
            <w:r>
              <w:t>效果显著</w:t>
            </w:r>
          </w:p>
        </w:tc>
        <w:tc>
          <w:tcPr>
            <w:tcW w:w="1276" w:type="dxa"/>
            <w:vAlign w:val="center"/>
          </w:tcPr>
          <w:p>
            <w:pPr>
              <w:pStyle w:val="12"/>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办理业务审批的人员满意度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调查反馈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3、北戴河新区公共资源交易中心“双盲”评审场地改造项目费绩效目标表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13031326P000010101201</w:t>
            </w:r>
          </w:p>
        </w:tc>
        <w:tc>
          <w:tcPr>
            <w:tcW w:w="2835" w:type="dxa"/>
            <w:vAlign w:val="center"/>
          </w:tcPr>
          <w:p>
            <w:pPr>
              <w:pStyle w:val="10"/>
            </w:pPr>
            <w:r>
              <w:t>项目名称</w:t>
            </w:r>
          </w:p>
        </w:tc>
        <w:tc>
          <w:tcPr>
            <w:tcW w:w="6095" w:type="dxa"/>
            <w:gridSpan w:val="3"/>
            <w:vAlign w:val="center"/>
          </w:tcPr>
          <w:p>
            <w:pPr>
              <w:pStyle w:val="12"/>
            </w:pPr>
            <w:r>
              <w:t>北戴河新区公共资源交易中心“双盲”评审场地改造项目费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71.10</w:t>
            </w:r>
          </w:p>
        </w:tc>
        <w:tc>
          <w:tcPr>
            <w:tcW w:w="2835" w:type="dxa"/>
            <w:vAlign w:val="center"/>
          </w:tcPr>
          <w:p>
            <w:pPr>
              <w:pStyle w:val="10"/>
            </w:pPr>
            <w:r>
              <w:t>其中：财政    资金</w:t>
            </w:r>
          </w:p>
        </w:tc>
        <w:tc>
          <w:tcPr>
            <w:tcW w:w="2551" w:type="dxa"/>
            <w:vAlign w:val="center"/>
          </w:tcPr>
          <w:p>
            <w:pPr>
              <w:pStyle w:val="12"/>
            </w:pPr>
            <w:r>
              <w:t>71.10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主要用于北戴河新区公共资源交易中心“双盲”评审场地改造提升项目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1.主要用于评审场地改造升级项目。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升级改造完成率</w:t>
            </w:r>
          </w:p>
        </w:tc>
        <w:tc>
          <w:tcPr>
            <w:tcW w:w="5386" w:type="dxa"/>
            <w:vAlign w:val="center"/>
          </w:tcPr>
          <w:p>
            <w:pPr>
              <w:pStyle w:val="12"/>
            </w:pPr>
            <w:r>
              <w:t>反映改造提升项目完成比率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升级改造规范性</w:t>
            </w:r>
          </w:p>
        </w:tc>
        <w:tc>
          <w:tcPr>
            <w:tcW w:w="5386" w:type="dxa"/>
            <w:vAlign w:val="center"/>
          </w:tcPr>
          <w:p>
            <w:pPr>
              <w:pStyle w:val="12"/>
            </w:pPr>
            <w:r>
              <w:t>符合文件规定流程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升级改造完成及时率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成本控制数</w:t>
            </w:r>
          </w:p>
        </w:tc>
        <w:tc>
          <w:tcPr>
            <w:tcW w:w="5386" w:type="dxa"/>
            <w:vAlign w:val="center"/>
          </w:tcPr>
          <w:p>
            <w:pPr>
              <w:pStyle w:val="12"/>
            </w:pPr>
            <w:r>
              <w:t>实际支出金额小于预算控制数</w:t>
            </w:r>
          </w:p>
        </w:tc>
        <w:tc>
          <w:tcPr>
            <w:tcW w:w="2268" w:type="dxa"/>
            <w:vAlign w:val="center"/>
          </w:tcPr>
          <w:p>
            <w:pPr>
              <w:pStyle w:val="12"/>
            </w:pPr>
            <w:r>
              <w:t>≤71.1万元</w:t>
            </w:r>
          </w:p>
        </w:tc>
        <w:tc>
          <w:tcPr>
            <w:tcW w:w="127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提升办事便利性</w:t>
            </w:r>
          </w:p>
        </w:tc>
        <w:tc>
          <w:tcPr>
            <w:tcW w:w="5386" w:type="dxa"/>
            <w:vAlign w:val="center"/>
          </w:tcPr>
          <w:p>
            <w:pPr>
              <w:pStyle w:val="12"/>
            </w:pPr>
            <w:r>
              <w:t>提供高效便利、公开透明在线办理渠道</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办理业务审批的人员满意度</w:t>
            </w:r>
          </w:p>
        </w:tc>
        <w:tc>
          <w:tcPr>
            <w:tcW w:w="5386" w:type="dxa"/>
            <w:vAlign w:val="center"/>
          </w:tcPr>
          <w:p>
            <w:pPr>
              <w:pStyle w:val="12"/>
            </w:pPr>
            <w:r>
              <w:t>通过抽查问卷的方式，满意和较满意对象占全部调研对象的比例</w:t>
            </w:r>
          </w:p>
        </w:tc>
        <w:tc>
          <w:tcPr>
            <w:tcW w:w="2268" w:type="dxa"/>
            <w:vAlign w:val="center"/>
          </w:tcPr>
          <w:p>
            <w:pPr>
              <w:pStyle w:val="12"/>
            </w:pPr>
            <w:r>
              <w:t>≥95%</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秦皇岛北戴河新区行政审批局本级上年末固定资产金额为</w:t>
      </w:r>
      <w:r>
        <w:rPr>
          <w:rFonts w:hint="eastAsia" w:eastAsia="方正仿宋_GBK" w:cs="Times New Roman"/>
          <w:b w:val="0"/>
          <w:color w:val="000000"/>
          <w:sz w:val="28"/>
          <w:lang w:val="en-US" w:eastAsia="zh-CN"/>
        </w:rPr>
        <w:t>271.75</w:t>
      </w:r>
      <w:bookmarkStart w:id="1" w:name="_GoBack"/>
      <w:bookmarkEnd w:id="1"/>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316001秦皇岛北戴河新区行政审批局本级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271.75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564</w:t>
            </w:r>
          </w:p>
        </w:tc>
        <w:tc>
          <w:tcPr>
            <w:tcW w:w="2835" w:type="dxa"/>
            <w:vAlign w:val="center"/>
          </w:tcPr>
          <w:p>
            <w:pPr>
              <w:pStyle w:val="11"/>
            </w:pPr>
            <w:r>
              <w:t>248.75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16BD"/>
    <w:rsid w:val="63D70202"/>
    <w:rsid w:val="68412F7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TotalTime>12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2026-03-13T09:36:00Z</dcterms:created>
  <dc:creator>Administrator</dc:creator>
  <cp:lastModifiedBy>XQZW</cp:lastModifiedBy>
  <dcterms:modified xsi:type="dcterms:W3CDTF">2026-03-16T06:30:41Z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