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一、秦皇岛北戴河新区政策研究室本级收支预算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一、秦皇岛北戴河新区政策研究室本级收支预算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901001秦皇岛北戴河新区政策研究室本级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138.46</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r>
              <w:t>94.18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17.72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7.79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7.54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138.46</w:t>
            </w:r>
          </w:p>
        </w:tc>
        <w:tc>
          <w:tcPr>
            <w:tcW w:w="4535" w:type="dxa"/>
            <w:vAlign w:val="center"/>
          </w:tcPr>
          <w:p>
            <w:pPr>
              <w:pStyle w:val="14"/>
            </w:pPr>
            <w:r>
              <w:t>本年支出合计</w:t>
            </w:r>
          </w:p>
        </w:tc>
        <w:tc>
          <w:tcPr>
            <w:tcW w:w="2126" w:type="dxa"/>
            <w:vAlign w:val="center"/>
          </w:tcPr>
          <w:p>
            <w:pPr>
              <w:pStyle w:val="15"/>
            </w:pPr>
            <w:r>
              <w:t>138.46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138.46</w:t>
            </w:r>
          </w:p>
        </w:tc>
        <w:tc>
          <w:tcPr>
            <w:tcW w:w="4535" w:type="dxa"/>
            <w:vAlign w:val="center"/>
          </w:tcPr>
          <w:p>
            <w:pPr>
              <w:pStyle w:val="14"/>
            </w:pPr>
            <w:r>
              <w:t>支出总计</w:t>
            </w:r>
          </w:p>
        </w:tc>
        <w:tc>
          <w:tcPr>
            <w:tcW w:w="2126" w:type="dxa"/>
            <w:vAlign w:val="center"/>
          </w:tcPr>
          <w:p>
            <w:pPr>
              <w:pStyle w:val="15"/>
            </w:pPr>
            <w:r>
              <w:t>138.46</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901001秦皇岛北戴河新区政策研究室本级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138.46</w:t>
            </w:r>
          </w:p>
        </w:tc>
        <w:tc>
          <w:tcPr>
            <w:tcW w:w="1134" w:type="dxa"/>
            <w:vAlign w:val="center"/>
          </w:tcPr>
          <w:p>
            <w:pPr>
              <w:pStyle w:val="15"/>
            </w:pPr>
            <w:r>
              <w:t>138.46</w:t>
            </w:r>
          </w:p>
        </w:tc>
        <w:tc>
          <w:tcPr>
            <w:tcW w:w="1134" w:type="dxa"/>
            <w:vAlign w:val="center"/>
          </w:tcPr>
          <w:p>
            <w:pPr>
              <w:pStyle w:val="15"/>
            </w:pPr>
            <w:r>
              <w:t>138.46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206</w:t>
            </w:r>
          </w:p>
        </w:tc>
        <w:tc>
          <w:tcPr>
            <w:tcW w:w="1559" w:type="dxa"/>
            <w:vAlign w:val="center"/>
          </w:tcPr>
          <w:p>
            <w:pPr>
              <w:pStyle w:val="12"/>
            </w:pPr>
            <w:r>
              <w:t>科学技术支出</w:t>
            </w:r>
          </w:p>
        </w:tc>
        <w:tc>
          <w:tcPr>
            <w:tcW w:w="1134" w:type="dxa"/>
            <w:vAlign w:val="center"/>
          </w:tcPr>
          <w:p>
            <w:pPr>
              <w:pStyle w:val="11"/>
            </w:pPr>
            <w:r>
              <w:t>94.18</w:t>
            </w:r>
          </w:p>
        </w:tc>
        <w:tc>
          <w:tcPr>
            <w:tcW w:w="1134" w:type="dxa"/>
            <w:vAlign w:val="center"/>
          </w:tcPr>
          <w:p>
            <w:pPr>
              <w:pStyle w:val="11"/>
            </w:pPr>
            <w:r>
              <w:t>94.18</w:t>
            </w:r>
          </w:p>
        </w:tc>
        <w:tc>
          <w:tcPr>
            <w:tcW w:w="1134" w:type="dxa"/>
            <w:vAlign w:val="center"/>
          </w:tcPr>
          <w:p>
            <w:pPr>
              <w:pStyle w:val="11"/>
            </w:pPr>
            <w:r>
              <w:t>94.18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20604</w:t>
            </w:r>
          </w:p>
        </w:tc>
        <w:tc>
          <w:tcPr>
            <w:tcW w:w="1559" w:type="dxa"/>
            <w:vAlign w:val="center"/>
          </w:tcPr>
          <w:p>
            <w:pPr>
              <w:pStyle w:val="12"/>
            </w:pPr>
            <w:r>
              <w:t>技术研究与开发</w:t>
            </w:r>
          </w:p>
        </w:tc>
        <w:tc>
          <w:tcPr>
            <w:tcW w:w="1134" w:type="dxa"/>
            <w:vAlign w:val="center"/>
          </w:tcPr>
          <w:p>
            <w:pPr>
              <w:pStyle w:val="11"/>
            </w:pPr>
            <w:r>
              <w:t>84.18</w:t>
            </w:r>
          </w:p>
        </w:tc>
        <w:tc>
          <w:tcPr>
            <w:tcW w:w="1134" w:type="dxa"/>
            <w:vAlign w:val="center"/>
          </w:tcPr>
          <w:p>
            <w:pPr>
              <w:pStyle w:val="11"/>
            </w:pPr>
            <w:r>
              <w:t>84.18</w:t>
            </w:r>
          </w:p>
        </w:tc>
        <w:tc>
          <w:tcPr>
            <w:tcW w:w="1134" w:type="dxa"/>
            <w:vAlign w:val="center"/>
          </w:tcPr>
          <w:p>
            <w:pPr>
              <w:pStyle w:val="11"/>
            </w:pPr>
            <w:r>
              <w:t>84.18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2060401</w:t>
            </w:r>
          </w:p>
        </w:tc>
        <w:tc>
          <w:tcPr>
            <w:tcW w:w="1559" w:type="dxa"/>
            <w:vAlign w:val="center"/>
          </w:tcPr>
          <w:p>
            <w:pPr>
              <w:pStyle w:val="12"/>
            </w:pPr>
            <w:r>
              <w:t>机构运行</w:t>
            </w:r>
          </w:p>
        </w:tc>
        <w:tc>
          <w:tcPr>
            <w:tcW w:w="1134" w:type="dxa"/>
            <w:vAlign w:val="center"/>
          </w:tcPr>
          <w:p>
            <w:pPr>
              <w:pStyle w:val="11"/>
            </w:pPr>
            <w:r>
              <w:t>74.18</w:t>
            </w:r>
          </w:p>
        </w:tc>
        <w:tc>
          <w:tcPr>
            <w:tcW w:w="1134" w:type="dxa"/>
            <w:vAlign w:val="center"/>
          </w:tcPr>
          <w:p>
            <w:pPr>
              <w:pStyle w:val="11"/>
            </w:pPr>
            <w:r>
              <w:t>74.18</w:t>
            </w:r>
          </w:p>
        </w:tc>
        <w:tc>
          <w:tcPr>
            <w:tcW w:w="1134" w:type="dxa"/>
            <w:vAlign w:val="center"/>
          </w:tcPr>
          <w:p>
            <w:pPr>
              <w:pStyle w:val="11"/>
            </w:pPr>
            <w:r>
              <w:t>74.18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2060404</w:t>
            </w:r>
          </w:p>
        </w:tc>
        <w:tc>
          <w:tcPr>
            <w:tcW w:w="1559" w:type="dxa"/>
            <w:vAlign w:val="center"/>
          </w:tcPr>
          <w:p>
            <w:pPr>
              <w:pStyle w:val="12"/>
            </w:pPr>
            <w:r>
              <w:t>科技成果转化与扩散</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20608</w:t>
            </w:r>
          </w:p>
        </w:tc>
        <w:tc>
          <w:tcPr>
            <w:tcW w:w="1559" w:type="dxa"/>
            <w:vAlign w:val="center"/>
          </w:tcPr>
          <w:p>
            <w:pPr>
              <w:pStyle w:val="12"/>
            </w:pPr>
            <w:r>
              <w:t>科技交流与合作</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2060899</w:t>
            </w:r>
          </w:p>
        </w:tc>
        <w:tc>
          <w:tcPr>
            <w:tcW w:w="1559" w:type="dxa"/>
            <w:vAlign w:val="center"/>
          </w:tcPr>
          <w:p>
            <w:pPr>
              <w:pStyle w:val="12"/>
            </w:pPr>
            <w:r>
              <w:t>其他科技交流与合作支出</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17.72</w:t>
            </w:r>
          </w:p>
        </w:tc>
        <w:tc>
          <w:tcPr>
            <w:tcW w:w="1134" w:type="dxa"/>
            <w:vAlign w:val="center"/>
          </w:tcPr>
          <w:p>
            <w:pPr>
              <w:pStyle w:val="11"/>
            </w:pPr>
            <w:r>
              <w:t>17.72</w:t>
            </w:r>
          </w:p>
        </w:tc>
        <w:tc>
          <w:tcPr>
            <w:tcW w:w="1134" w:type="dxa"/>
            <w:vAlign w:val="center"/>
          </w:tcPr>
          <w:p>
            <w:pPr>
              <w:pStyle w:val="11"/>
            </w:pPr>
            <w:r>
              <w:t>17.72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20701</w:t>
            </w:r>
          </w:p>
        </w:tc>
        <w:tc>
          <w:tcPr>
            <w:tcW w:w="1559" w:type="dxa"/>
            <w:vAlign w:val="center"/>
          </w:tcPr>
          <w:p>
            <w:pPr>
              <w:pStyle w:val="12"/>
            </w:pPr>
            <w:r>
              <w:t>文化和旅游</w:t>
            </w:r>
          </w:p>
        </w:tc>
        <w:tc>
          <w:tcPr>
            <w:tcW w:w="1134" w:type="dxa"/>
            <w:vAlign w:val="center"/>
          </w:tcPr>
          <w:p>
            <w:pPr>
              <w:pStyle w:val="11"/>
            </w:pPr>
            <w:r>
              <w:t>17.72</w:t>
            </w:r>
          </w:p>
        </w:tc>
        <w:tc>
          <w:tcPr>
            <w:tcW w:w="1134" w:type="dxa"/>
            <w:vAlign w:val="center"/>
          </w:tcPr>
          <w:p>
            <w:pPr>
              <w:pStyle w:val="11"/>
            </w:pPr>
            <w:r>
              <w:t>17.72</w:t>
            </w:r>
          </w:p>
        </w:tc>
        <w:tc>
          <w:tcPr>
            <w:tcW w:w="1134" w:type="dxa"/>
            <w:vAlign w:val="center"/>
          </w:tcPr>
          <w:p>
            <w:pPr>
              <w:pStyle w:val="11"/>
            </w:pPr>
            <w:r>
              <w:t>17.72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2070110</w:t>
            </w:r>
          </w:p>
        </w:tc>
        <w:tc>
          <w:tcPr>
            <w:tcW w:w="1559" w:type="dxa"/>
            <w:vAlign w:val="center"/>
          </w:tcPr>
          <w:p>
            <w:pPr>
              <w:pStyle w:val="12"/>
            </w:pPr>
            <w:r>
              <w:t>文化和旅游交流与合作</w:t>
            </w:r>
          </w:p>
        </w:tc>
        <w:tc>
          <w:tcPr>
            <w:tcW w:w="1134" w:type="dxa"/>
            <w:vAlign w:val="center"/>
          </w:tcPr>
          <w:p>
            <w:pPr>
              <w:pStyle w:val="11"/>
            </w:pPr>
            <w:r>
              <w:t>17.72</w:t>
            </w:r>
          </w:p>
        </w:tc>
        <w:tc>
          <w:tcPr>
            <w:tcW w:w="1134" w:type="dxa"/>
            <w:vAlign w:val="center"/>
          </w:tcPr>
          <w:p>
            <w:pPr>
              <w:pStyle w:val="11"/>
            </w:pPr>
            <w:r>
              <w:t>17.72</w:t>
            </w:r>
          </w:p>
        </w:tc>
        <w:tc>
          <w:tcPr>
            <w:tcW w:w="1134" w:type="dxa"/>
            <w:vAlign w:val="center"/>
          </w:tcPr>
          <w:p>
            <w:pPr>
              <w:pStyle w:val="11"/>
            </w:pPr>
            <w:r>
              <w:t>17.72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11.22</w:t>
            </w:r>
          </w:p>
        </w:tc>
        <w:tc>
          <w:tcPr>
            <w:tcW w:w="1134" w:type="dxa"/>
            <w:vAlign w:val="center"/>
          </w:tcPr>
          <w:p>
            <w:pPr>
              <w:pStyle w:val="11"/>
            </w:pPr>
            <w:r>
              <w:t>11.22</w:t>
            </w:r>
          </w:p>
        </w:tc>
        <w:tc>
          <w:tcPr>
            <w:tcW w:w="1134" w:type="dxa"/>
            <w:vAlign w:val="center"/>
          </w:tcPr>
          <w:p>
            <w:pPr>
              <w:pStyle w:val="11"/>
            </w:pPr>
            <w:r>
              <w:t>11.22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11.22</w:t>
            </w:r>
          </w:p>
        </w:tc>
        <w:tc>
          <w:tcPr>
            <w:tcW w:w="1134" w:type="dxa"/>
            <w:vAlign w:val="center"/>
          </w:tcPr>
          <w:p>
            <w:pPr>
              <w:pStyle w:val="11"/>
            </w:pPr>
            <w:r>
              <w:t>11.22</w:t>
            </w:r>
          </w:p>
        </w:tc>
        <w:tc>
          <w:tcPr>
            <w:tcW w:w="1134" w:type="dxa"/>
            <w:vAlign w:val="center"/>
          </w:tcPr>
          <w:p>
            <w:pPr>
              <w:pStyle w:val="11"/>
            </w:pPr>
            <w:r>
              <w:t>11.22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9.42</w:t>
            </w:r>
          </w:p>
        </w:tc>
        <w:tc>
          <w:tcPr>
            <w:tcW w:w="1134" w:type="dxa"/>
            <w:vAlign w:val="center"/>
          </w:tcPr>
          <w:p>
            <w:pPr>
              <w:pStyle w:val="11"/>
            </w:pPr>
            <w:r>
              <w:t>9.42</w:t>
            </w:r>
          </w:p>
        </w:tc>
        <w:tc>
          <w:tcPr>
            <w:tcW w:w="1134" w:type="dxa"/>
            <w:vAlign w:val="center"/>
          </w:tcPr>
          <w:p>
            <w:pPr>
              <w:pStyle w:val="11"/>
            </w:pPr>
            <w:r>
              <w:t>9.42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1.81</w:t>
            </w:r>
          </w:p>
        </w:tc>
        <w:tc>
          <w:tcPr>
            <w:tcW w:w="1134" w:type="dxa"/>
            <w:vAlign w:val="center"/>
          </w:tcPr>
          <w:p>
            <w:pPr>
              <w:pStyle w:val="11"/>
            </w:pPr>
            <w:r>
              <w:t>1.81</w:t>
            </w:r>
          </w:p>
        </w:tc>
        <w:tc>
          <w:tcPr>
            <w:tcW w:w="1134" w:type="dxa"/>
            <w:vAlign w:val="center"/>
          </w:tcPr>
          <w:p>
            <w:pPr>
              <w:pStyle w:val="11"/>
            </w:pPr>
            <w:r>
              <w:t>1.81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7.79</w:t>
            </w:r>
          </w:p>
        </w:tc>
        <w:tc>
          <w:tcPr>
            <w:tcW w:w="1134" w:type="dxa"/>
            <w:vAlign w:val="center"/>
          </w:tcPr>
          <w:p>
            <w:pPr>
              <w:pStyle w:val="11"/>
            </w:pPr>
            <w:r>
              <w:t>7.79</w:t>
            </w:r>
          </w:p>
        </w:tc>
        <w:tc>
          <w:tcPr>
            <w:tcW w:w="1134" w:type="dxa"/>
            <w:vAlign w:val="center"/>
          </w:tcPr>
          <w:p>
            <w:pPr>
              <w:pStyle w:val="11"/>
            </w:pPr>
            <w:r>
              <w:t>7.79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7.79</w:t>
            </w:r>
          </w:p>
        </w:tc>
        <w:tc>
          <w:tcPr>
            <w:tcW w:w="1134" w:type="dxa"/>
            <w:vAlign w:val="center"/>
          </w:tcPr>
          <w:p>
            <w:pPr>
              <w:pStyle w:val="11"/>
            </w:pPr>
            <w:r>
              <w:t>7.79</w:t>
            </w:r>
          </w:p>
        </w:tc>
        <w:tc>
          <w:tcPr>
            <w:tcW w:w="1134" w:type="dxa"/>
            <w:vAlign w:val="center"/>
          </w:tcPr>
          <w:p>
            <w:pPr>
              <w:pStyle w:val="11"/>
            </w:pPr>
            <w:r>
              <w:t>7.79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7.79</w:t>
            </w:r>
          </w:p>
        </w:tc>
        <w:tc>
          <w:tcPr>
            <w:tcW w:w="1134" w:type="dxa"/>
            <w:vAlign w:val="center"/>
          </w:tcPr>
          <w:p>
            <w:pPr>
              <w:pStyle w:val="11"/>
            </w:pPr>
            <w:r>
              <w:t>7.79</w:t>
            </w:r>
          </w:p>
        </w:tc>
        <w:tc>
          <w:tcPr>
            <w:tcW w:w="1134" w:type="dxa"/>
            <w:vAlign w:val="center"/>
          </w:tcPr>
          <w:p>
            <w:pPr>
              <w:pStyle w:val="11"/>
            </w:pPr>
            <w:r>
              <w:t>7.79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7.54</w:t>
            </w:r>
          </w:p>
        </w:tc>
        <w:tc>
          <w:tcPr>
            <w:tcW w:w="1134" w:type="dxa"/>
            <w:vAlign w:val="center"/>
          </w:tcPr>
          <w:p>
            <w:pPr>
              <w:pStyle w:val="11"/>
            </w:pPr>
            <w:r>
              <w:t>7.54</w:t>
            </w:r>
          </w:p>
        </w:tc>
        <w:tc>
          <w:tcPr>
            <w:tcW w:w="1134" w:type="dxa"/>
            <w:vAlign w:val="center"/>
          </w:tcPr>
          <w:p>
            <w:pPr>
              <w:pStyle w:val="11"/>
            </w:pPr>
            <w:r>
              <w:t>7.54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7.54</w:t>
            </w:r>
          </w:p>
        </w:tc>
        <w:tc>
          <w:tcPr>
            <w:tcW w:w="1134" w:type="dxa"/>
            <w:vAlign w:val="center"/>
          </w:tcPr>
          <w:p>
            <w:pPr>
              <w:pStyle w:val="11"/>
            </w:pPr>
            <w:r>
              <w:t>7.54</w:t>
            </w:r>
          </w:p>
        </w:tc>
        <w:tc>
          <w:tcPr>
            <w:tcW w:w="1134" w:type="dxa"/>
            <w:vAlign w:val="center"/>
          </w:tcPr>
          <w:p>
            <w:pPr>
              <w:pStyle w:val="11"/>
            </w:pPr>
            <w:r>
              <w:t>7.54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7.54</w:t>
            </w:r>
          </w:p>
        </w:tc>
        <w:tc>
          <w:tcPr>
            <w:tcW w:w="1134" w:type="dxa"/>
            <w:vAlign w:val="center"/>
          </w:tcPr>
          <w:p>
            <w:pPr>
              <w:pStyle w:val="11"/>
            </w:pPr>
            <w:r>
              <w:t>7.54</w:t>
            </w:r>
          </w:p>
        </w:tc>
        <w:tc>
          <w:tcPr>
            <w:tcW w:w="1134" w:type="dxa"/>
            <w:vAlign w:val="center"/>
          </w:tcPr>
          <w:p>
            <w:pPr>
              <w:pStyle w:val="11"/>
            </w:pPr>
            <w:r>
              <w:t>7.54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901001秦皇岛北戴河新区政策研究室本级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138.46</w:t>
            </w:r>
          </w:p>
        </w:tc>
        <w:tc>
          <w:tcPr>
            <w:tcW w:w="1361" w:type="dxa"/>
            <w:vAlign w:val="center"/>
          </w:tcPr>
          <w:p>
            <w:pPr>
              <w:pStyle w:val="15"/>
            </w:pPr>
            <w:r>
              <w:t>100.74</w:t>
            </w:r>
          </w:p>
        </w:tc>
        <w:tc>
          <w:tcPr>
            <w:tcW w:w="1361" w:type="dxa"/>
            <w:vAlign w:val="center"/>
          </w:tcPr>
          <w:p>
            <w:pPr>
              <w:pStyle w:val="15"/>
            </w:pPr>
            <w:r>
              <w:t>37.72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206</w:t>
            </w:r>
          </w:p>
        </w:tc>
        <w:tc>
          <w:tcPr>
            <w:tcW w:w="4535" w:type="dxa"/>
            <w:vAlign w:val="center"/>
          </w:tcPr>
          <w:p>
            <w:pPr>
              <w:pStyle w:val="12"/>
            </w:pPr>
            <w:r>
              <w:t>科学技术支出</w:t>
            </w:r>
          </w:p>
        </w:tc>
        <w:tc>
          <w:tcPr>
            <w:tcW w:w="1361" w:type="dxa"/>
            <w:vAlign w:val="center"/>
          </w:tcPr>
          <w:p>
            <w:pPr>
              <w:pStyle w:val="11"/>
            </w:pPr>
            <w:r>
              <w:t>94.18</w:t>
            </w:r>
          </w:p>
        </w:tc>
        <w:tc>
          <w:tcPr>
            <w:tcW w:w="1361" w:type="dxa"/>
            <w:vAlign w:val="center"/>
          </w:tcPr>
          <w:p>
            <w:pPr>
              <w:pStyle w:val="11"/>
            </w:pPr>
            <w:r>
              <w:t>74.18</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20604</w:t>
            </w:r>
          </w:p>
        </w:tc>
        <w:tc>
          <w:tcPr>
            <w:tcW w:w="4535" w:type="dxa"/>
            <w:vAlign w:val="center"/>
          </w:tcPr>
          <w:p>
            <w:pPr>
              <w:pStyle w:val="12"/>
            </w:pPr>
            <w:r>
              <w:t>技术研究与开发</w:t>
            </w:r>
          </w:p>
        </w:tc>
        <w:tc>
          <w:tcPr>
            <w:tcW w:w="1361" w:type="dxa"/>
            <w:vAlign w:val="center"/>
          </w:tcPr>
          <w:p>
            <w:pPr>
              <w:pStyle w:val="11"/>
            </w:pPr>
            <w:r>
              <w:t>84.18</w:t>
            </w:r>
          </w:p>
        </w:tc>
        <w:tc>
          <w:tcPr>
            <w:tcW w:w="1361" w:type="dxa"/>
            <w:vAlign w:val="center"/>
          </w:tcPr>
          <w:p>
            <w:pPr>
              <w:pStyle w:val="11"/>
            </w:pPr>
            <w:r>
              <w:t>74.18</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2060401</w:t>
            </w:r>
          </w:p>
        </w:tc>
        <w:tc>
          <w:tcPr>
            <w:tcW w:w="4535" w:type="dxa"/>
            <w:vAlign w:val="center"/>
          </w:tcPr>
          <w:p>
            <w:pPr>
              <w:pStyle w:val="12"/>
            </w:pPr>
            <w:r>
              <w:t>机构运行</w:t>
            </w:r>
          </w:p>
        </w:tc>
        <w:tc>
          <w:tcPr>
            <w:tcW w:w="1361" w:type="dxa"/>
            <w:vAlign w:val="center"/>
          </w:tcPr>
          <w:p>
            <w:pPr>
              <w:pStyle w:val="11"/>
            </w:pPr>
            <w:r>
              <w:t>74.18</w:t>
            </w:r>
          </w:p>
        </w:tc>
        <w:tc>
          <w:tcPr>
            <w:tcW w:w="1361" w:type="dxa"/>
            <w:vAlign w:val="center"/>
          </w:tcPr>
          <w:p>
            <w:pPr>
              <w:pStyle w:val="11"/>
            </w:pPr>
            <w:r>
              <w:t>74.18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2060404</w:t>
            </w:r>
          </w:p>
        </w:tc>
        <w:tc>
          <w:tcPr>
            <w:tcW w:w="4535" w:type="dxa"/>
            <w:vAlign w:val="center"/>
          </w:tcPr>
          <w:p>
            <w:pPr>
              <w:pStyle w:val="12"/>
            </w:pPr>
            <w:r>
              <w:t>科技成果转化与扩散</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20608</w:t>
            </w:r>
          </w:p>
        </w:tc>
        <w:tc>
          <w:tcPr>
            <w:tcW w:w="4535" w:type="dxa"/>
            <w:vAlign w:val="center"/>
          </w:tcPr>
          <w:p>
            <w:pPr>
              <w:pStyle w:val="12"/>
            </w:pPr>
            <w:r>
              <w:t>科技交流与合作</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2060899</w:t>
            </w:r>
          </w:p>
        </w:tc>
        <w:tc>
          <w:tcPr>
            <w:tcW w:w="4535" w:type="dxa"/>
            <w:vAlign w:val="center"/>
          </w:tcPr>
          <w:p>
            <w:pPr>
              <w:pStyle w:val="12"/>
            </w:pPr>
            <w:r>
              <w:t>其他科技交流与合作支出</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17.72</w:t>
            </w:r>
          </w:p>
        </w:tc>
        <w:tc>
          <w:tcPr>
            <w:tcW w:w="1361" w:type="dxa"/>
            <w:vAlign w:val="center"/>
          </w:tcPr>
          <w:p>
            <w:pPr>
              <w:pStyle w:val="11"/>
            </w:pPr>
          </w:p>
        </w:tc>
        <w:tc>
          <w:tcPr>
            <w:tcW w:w="1361" w:type="dxa"/>
            <w:vAlign w:val="center"/>
          </w:tcPr>
          <w:p>
            <w:pPr>
              <w:pStyle w:val="11"/>
            </w:pPr>
            <w:r>
              <w:t>17.72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20701</w:t>
            </w:r>
          </w:p>
        </w:tc>
        <w:tc>
          <w:tcPr>
            <w:tcW w:w="4535" w:type="dxa"/>
            <w:vAlign w:val="center"/>
          </w:tcPr>
          <w:p>
            <w:pPr>
              <w:pStyle w:val="12"/>
            </w:pPr>
            <w:r>
              <w:t>文化和旅游</w:t>
            </w:r>
          </w:p>
        </w:tc>
        <w:tc>
          <w:tcPr>
            <w:tcW w:w="1361" w:type="dxa"/>
            <w:vAlign w:val="center"/>
          </w:tcPr>
          <w:p>
            <w:pPr>
              <w:pStyle w:val="11"/>
            </w:pPr>
            <w:r>
              <w:t>17.72</w:t>
            </w:r>
          </w:p>
        </w:tc>
        <w:tc>
          <w:tcPr>
            <w:tcW w:w="1361" w:type="dxa"/>
            <w:vAlign w:val="center"/>
          </w:tcPr>
          <w:p>
            <w:pPr>
              <w:pStyle w:val="11"/>
            </w:pPr>
          </w:p>
        </w:tc>
        <w:tc>
          <w:tcPr>
            <w:tcW w:w="1361" w:type="dxa"/>
            <w:vAlign w:val="center"/>
          </w:tcPr>
          <w:p>
            <w:pPr>
              <w:pStyle w:val="11"/>
            </w:pPr>
            <w:r>
              <w:t>17.72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2070110</w:t>
            </w:r>
          </w:p>
        </w:tc>
        <w:tc>
          <w:tcPr>
            <w:tcW w:w="4535" w:type="dxa"/>
            <w:vAlign w:val="center"/>
          </w:tcPr>
          <w:p>
            <w:pPr>
              <w:pStyle w:val="12"/>
            </w:pPr>
            <w:r>
              <w:t>文化和旅游交流与合作</w:t>
            </w:r>
          </w:p>
        </w:tc>
        <w:tc>
          <w:tcPr>
            <w:tcW w:w="1361" w:type="dxa"/>
            <w:vAlign w:val="center"/>
          </w:tcPr>
          <w:p>
            <w:pPr>
              <w:pStyle w:val="11"/>
            </w:pPr>
            <w:r>
              <w:t>17.72</w:t>
            </w:r>
          </w:p>
        </w:tc>
        <w:tc>
          <w:tcPr>
            <w:tcW w:w="1361" w:type="dxa"/>
            <w:vAlign w:val="center"/>
          </w:tcPr>
          <w:p>
            <w:pPr>
              <w:pStyle w:val="11"/>
            </w:pPr>
          </w:p>
        </w:tc>
        <w:tc>
          <w:tcPr>
            <w:tcW w:w="1361" w:type="dxa"/>
            <w:vAlign w:val="center"/>
          </w:tcPr>
          <w:p>
            <w:pPr>
              <w:pStyle w:val="11"/>
            </w:pPr>
            <w:r>
              <w:t>17.72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11.22</w:t>
            </w:r>
          </w:p>
        </w:tc>
        <w:tc>
          <w:tcPr>
            <w:tcW w:w="1361" w:type="dxa"/>
            <w:vAlign w:val="center"/>
          </w:tcPr>
          <w:p>
            <w:pPr>
              <w:pStyle w:val="11"/>
            </w:pPr>
            <w:r>
              <w:t>11.22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11.22</w:t>
            </w:r>
          </w:p>
        </w:tc>
        <w:tc>
          <w:tcPr>
            <w:tcW w:w="1361" w:type="dxa"/>
            <w:vAlign w:val="center"/>
          </w:tcPr>
          <w:p>
            <w:pPr>
              <w:pStyle w:val="11"/>
            </w:pPr>
            <w:r>
              <w:t>11.22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9.42</w:t>
            </w:r>
          </w:p>
        </w:tc>
        <w:tc>
          <w:tcPr>
            <w:tcW w:w="1361" w:type="dxa"/>
            <w:vAlign w:val="center"/>
          </w:tcPr>
          <w:p>
            <w:pPr>
              <w:pStyle w:val="11"/>
            </w:pPr>
            <w:r>
              <w:t>9.42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1.81</w:t>
            </w:r>
          </w:p>
        </w:tc>
        <w:tc>
          <w:tcPr>
            <w:tcW w:w="1361" w:type="dxa"/>
            <w:vAlign w:val="center"/>
          </w:tcPr>
          <w:p>
            <w:pPr>
              <w:pStyle w:val="11"/>
            </w:pPr>
            <w:r>
              <w:t>1.81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7.79</w:t>
            </w:r>
          </w:p>
        </w:tc>
        <w:tc>
          <w:tcPr>
            <w:tcW w:w="1361" w:type="dxa"/>
            <w:vAlign w:val="center"/>
          </w:tcPr>
          <w:p>
            <w:pPr>
              <w:pStyle w:val="11"/>
            </w:pPr>
            <w:r>
              <w:t>7.79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7.79</w:t>
            </w:r>
          </w:p>
        </w:tc>
        <w:tc>
          <w:tcPr>
            <w:tcW w:w="1361" w:type="dxa"/>
            <w:vAlign w:val="center"/>
          </w:tcPr>
          <w:p>
            <w:pPr>
              <w:pStyle w:val="11"/>
            </w:pPr>
            <w:r>
              <w:t>7.79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7.79</w:t>
            </w:r>
          </w:p>
        </w:tc>
        <w:tc>
          <w:tcPr>
            <w:tcW w:w="1361" w:type="dxa"/>
            <w:vAlign w:val="center"/>
          </w:tcPr>
          <w:p>
            <w:pPr>
              <w:pStyle w:val="11"/>
            </w:pPr>
            <w:r>
              <w:t>7.79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7.54</w:t>
            </w:r>
          </w:p>
        </w:tc>
        <w:tc>
          <w:tcPr>
            <w:tcW w:w="1361" w:type="dxa"/>
            <w:vAlign w:val="center"/>
          </w:tcPr>
          <w:p>
            <w:pPr>
              <w:pStyle w:val="11"/>
            </w:pPr>
            <w:r>
              <w:t>7.54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7.54</w:t>
            </w:r>
          </w:p>
        </w:tc>
        <w:tc>
          <w:tcPr>
            <w:tcW w:w="1361" w:type="dxa"/>
            <w:vAlign w:val="center"/>
          </w:tcPr>
          <w:p>
            <w:pPr>
              <w:pStyle w:val="11"/>
            </w:pPr>
            <w:r>
              <w:t>7.54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7.54</w:t>
            </w:r>
          </w:p>
        </w:tc>
        <w:tc>
          <w:tcPr>
            <w:tcW w:w="1361" w:type="dxa"/>
            <w:vAlign w:val="center"/>
          </w:tcPr>
          <w:p>
            <w:pPr>
              <w:pStyle w:val="11"/>
            </w:pPr>
            <w:r>
              <w:t>7.54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901001秦皇岛北戴河新区政策研究室本级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138.46</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r>
              <w:t>94.18</w:t>
            </w:r>
          </w:p>
        </w:tc>
        <w:tc>
          <w:tcPr>
            <w:tcW w:w="1474" w:type="dxa"/>
            <w:vAlign w:val="center"/>
          </w:tcPr>
          <w:p>
            <w:pPr>
              <w:pStyle w:val="11"/>
            </w:pPr>
            <w:r>
              <w:t>94.18</w:t>
            </w: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17.72</w:t>
            </w:r>
          </w:p>
        </w:tc>
        <w:tc>
          <w:tcPr>
            <w:tcW w:w="1474" w:type="dxa"/>
            <w:vAlign w:val="center"/>
          </w:tcPr>
          <w:p>
            <w:pPr>
              <w:pStyle w:val="11"/>
            </w:pPr>
            <w:r>
              <w:t>17.72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11.22</w:t>
            </w:r>
          </w:p>
        </w:tc>
        <w:tc>
          <w:tcPr>
            <w:tcW w:w="1474" w:type="dxa"/>
            <w:vAlign w:val="center"/>
          </w:tcPr>
          <w:p>
            <w:pPr>
              <w:pStyle w:val="11"/>
            </w:pPr>
            <w:r>
              <w:t>11.22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7.79</w:t>
            </w:r>
          </w:p>
        </w:tc>
        <w:tc>
          <w:tcPr>
            <w:tcW w:w="1474" w:type="dxa"/>
            <w:vAlign w:val="center"/>
          </w:tcPr>
          <w:p>
            <w:pPr>
              <w:pStyle w:val="11"/>
            </w:pPr>
            <w:r>
              <w:t>7.79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7.54</w:t>
            </w:r>
          </w:p>
        </w:tc>
        <w:tc>
          <w:tcPr>
            <w:tcW w:w="1474" w:type="dxa"/>
            <w:vAlign w:val="center"/>
          </w:tcPr>
          <w:p>
            <w:pPr>
              <w:pStyle w:val="11"/>
            </w:pPr>
            <w:r>
              <w:t>7.54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138.46</w:t>
            </w:r>
          </w:p>
        </w:tc>
        <w:tc>
          <w:tcPr>
            <w:tcW w:w="3402" w:type="dxa"/>
            <w:vAlign w:val="center"/>
          </w:tcPr>
          <w:p>
            <w:pPr>
              <w:pStyle w:val="14"/>
            </w:pPr>
            <w:r>
              <w:t>本年支出合计</w:t>
            </w:r>
          </w:p>
        </w:tc>
        <w:tc>
          <w:tcPr>
            <w:tcW w:w="1474" w:type="dxa"/>
            <w:vAlign w:val="center"/>
          </w:tcPr>
          <w:p>
            <w:pPr>
              <w:pStyle w:val="15"/>
            </w:pPr>
            <w:r>
              <w:t>138.46</w:t>
            </w:r>
          </w:p>
        </w:tc>
        <w:tc>
          <w:tcPr>
            <w:tcW w:w="1474" w:type="dxa"/>
            <w:vAlign w:val="center"/>
          </w:tcPr>
          <w:p>
            <w:pPr>
              <w:pStyle w:val="15"/>
            </w:pPr>
            <w:r>
              <w:t>138.46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138.46</w:t>
            </w:r>
          </w:p>
        </w:tc>
        <w:tc>
          <w:tcPr>
            <w:tcW w:w="3402" w:type="dxa"/>
            <w:vAlign w:val="center"/>
          </w:tcPr>
          <w:p>
            <w:pPr>
              <w:pStyle w:val="14"/>
            </w:pPr>
            <w:r>
              <w:t>支出总计</w:t>
            </w:r>
          </w:p>
        </w:tc>
        <w:tc>
          <w:tcPr>
            <w:tcW w:w="1474" w:type="dxa"/>
            <w:vAlign w:val="center"/>
          </w:tcPr>
          <w:p>
            <w:pPr>
              <w:pStyle w:val="15"/>
            </w:pPr>
            <w:r>
              <w:t>138.46</w:t>
            </w:r>
          </w:p>
        </w:tc>
        <w:tc>
          <w:tcPr>
            <w:tcW w:w="1474" w:type="dxa"/>
            <w:vAlign w:val="center"/>
          </w:tcPr>
          <w:p>
            <w:pPr>
              <w:pStyle w:val="15"/>
            </w:pPr>
            <w:r>
              <w:t>138.46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901001秦皇岛北戴河新区政策研究室本级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138.46</w:t>
            </w:r>
          </w:p>
        </w:tc>
        <w:tc>
          <w:tcPr>
            <w:tcW w:w="2551" w:type="dxa"/>
            <w:vAlign w:val="center"/>
          </w:tcPr>
          <w:p>
            <w:pPr>
              <w:pStyle w:val="15"/>
            </w:pPr>
            <w:r>
              <w:t>100.74</w:t>
            </w:r>
          </w:p>
        </w:tc>
        <w:tc>
          <w:tcPr>
            <w:tcW w:w="2551" w:type="dxa"/>
            <w:vAlign w:val="center"/>
          </w:tcPr>
          <w:p>
            <w:pPr>
              <w:pStyle w:val="15"/>
            </w:pPr>
            <w:r>
              <w:t>37.72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206</w:t>
            </w:r>
          </w:p>
        </w:tc>
        <w:tc>
          <w:tcPr>
            <w:tcW w:w="4535" w:type="dxa"/>
            <w:vAlign w:val="center"/>
          </w:tcPr>
          <w:p>
            <w:pPr>
              <w:pStyle w:val="12"/>
            </w:pPr>
            <w:r>
              <w:t>科学技术支出</w:t>
            </w:r>
          </w:p>
        </w:tc>
        <w:tc>
          <w:tcPr>
            <w:tcW w:w="2551" w:type="dxa"/>
            <w:vAlign w:val="center"/>
          </w:tcPr>
          <w:p>
            <w:pPr>
              <w:pStyle w:val="11"/>
            </w:pPr>
            <w:r>
              <w:t>94.18</w:t>
            </w:r>
          </w:p>
        </w:tc>
        <w:tc>
          <w:tcPr>
            <w:tcW w:w="2551" w:type="dxa"/>
            <w:vAlign w:val="center"/>
          </w:tcPr>
          <w:p>
            <w:pPr>
              <w:pStyle w:val="11"/>
            </w:pPr>
            <w:r>
              <w:t>74.18</w:t>
            </w: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20604</w:t>
            </w:r>
          </w:p>
        </w:tc>
        <w:tc>
          <w:tcPr>
            <w:tcW w:w="4535" w:type="dxa"/>
            <w:vAlign w:val="center"/>
          </w:tcPr>
          <w:p>
            <w:pPr>
              <w:pStyle w:val="12"/>
            </w:pPr>
            <w:r>
              <w:t>技术研究与开发</w:t>
            </w:r>
          </w:p>
        </w:tc>
        <w:tc>
          <w:tcPr>
            <w:tcW w:w="2551" w:type="dxa"/>
            <w:vAlign w:val="center"/>
          </w:tcPr>
          <w:p>
            <w:pPr>
              <w:pStyle w:val="11"/>
            </w:pPr>
            <w:r>
              <w:t>84.18</w:t>
            </w:r>
          </w:p>
        </w:tc>
        <w:tc>
          <w:tcPr>
            <w:tcW w:w="2551" w:type="dxa"/>
            <w:vAlign w:val="center"/>
          </w:tcPr>
          <w:p>
            <w:pPr>
              <w:pStyle w:val="11"/>
            </w:pPr>
            <w:r>
              <w:t>74.18</w:t>
            </w: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2060401</w:t>
            </w:r>
          </w:p>
        </w:tc>
        <w:tc>
          <w:tcPr>
            <w:tcW w:w="4535" w:type="dxa"/>
            <w:vAlign w:val="center"/>
          </w:tcPr>
          <w:p>
            <w:pPr>
              <w:pStyle w:val="12"/>
            </w:pPr>
            <w:r>
              <w:t>机构运行</w:t>
            </w:r>
          </w:p>
        </w:tc>
        <w:tc>
          <w:tcPr>
            <w:tcW w:w="2551" w:type="dxa"/>
            <w:vAlign w:val="center"/>
          </w:tcPr>
          <w:p>
            <w:pPr>
              <w:pStyle w:val="11"/>
            </w:pPr>
            <w:r>
              <w:t>74.18</w:t>
            </w:r>
          </w:p>
        </w:tc>
        <w:tc>
          <w:tcPr>
            <w:tcW w:w="2551" w:type="dxa"/>
            <w:vAlign w:val="center"/>
          </w:tcPr>
          <w:p>
            <w:pPr>
              <w:pStyle w:val="11"/>
            </w:pPr>
            <w:r>
              <w:t>74.18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2060404</w:t>
            </w:r>
          </w:p>
        </w:tc>
        <w:tc>
          <w:tcPr>
            <w:tcW w:w="4535" w:type="dxa"/>
            <w:vAlign w:val="center"/>
          </w:tcPr>
          <w:p>
            <w:pPr>
              <w:pStyle w:val="12"/>
            </w:pPr>
            <w:r>
              <w:t>科技成果转化与扩散</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20608</w:t>
            </w:r>
          </w:p>
        </w:tc>
        <w:tc>
          <w:tcPr>
            <w:tcW w:w="4535" w:type="dxa"/>
            <w:vAlign w:val="center"/>
          </w:tcPr>
          <w:p>
            <w:pPr>
              <w:pStyle w:val="12"/>
            </w:pPr>
            <w:r>
              <w:t>科技交流与合作</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2060899</w:t>
            </w:r>
          </w:p>
        </w:tc>
        <w:tc>
          <w:tcPr>
            <w:tcW w:w="4535" w:type="dxa"/>
            <w:vAlign w:val="center"/>
          </w:tcPr>
          <w:p>
            <w:pPr>
              <w:pStyle w:val="12"/>
            </w:pPr>
            <w:r>
              <w:t>其他科技交流与合作支出</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17.72</w:t>
            </w:r>
          </w:p>
        </w:tc>
        <w:tc>
          <w:tcPr>
            <w:tcW w:w="2551" w:type="dxa"/>
            <w:vAlign w:val="center"/>
          </w:tcPr>
          <w:p>
            <w:pPr>
              <w:pStyle w:val="11"/>
            </w:pPr>
          </w:p>
        </w:tc>
        <w:tc>
          <w:tcPr>
            <w:tcW w:w="2551" w:type="dxa"/>
            <w:vAlign w:val="center"/>
          </w:tcPr>
          <w:p>
            <w:pPr>
              <w:pStyle w:val="11"/>
            </w:pPr>
            <w:r>
              <w:t>17.72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20701</w:t>
            </w:r>
          </w:p>
        </w:tc>
        <w:tc>
          <w:tcPr>
            <w:tcW w:w="4535" w:type="dxa"/>
            <w:vAlign w:val="center"/>
          </w:tcPr>
          <w:p>
            <w:pPr>
              <w:pStyle w:val="12"/>
            </w:pPr>
            <w:r>
              <w:t>文化和旅游</w:t>
            </w:r>
          </w:p>
        </w:tc>
        <w:tc>
          <w:tcPr>
            <w:tcW w:w="2551" w:type="dxa"/>
            <w:vAlign w:val="center"/>
          </w:tcPr>
          <w:p>
            <w:pPr>
              <w:pStyle w:val="11"/>
            </w:pPr>
            <w:r>
              <w:t>17.72</w:t>
            </w:r>
          </w:p>
        </w:tc>
        <w:tc>
          <w:tcPr>
            <w:tcW w:w="2551" w:type="dxa"/>
            <w:vAlign w:val="center"/>
          </w:tcPr>
          <w:p>
            <w:pPr>
              <w:pStyle w:val="11"/>
            </w:pPr>
          </w:p>
        </w:tc>
        <w:tc>
          <w:tcPr>
            <w:tcW w:w="2551" w:type="dxa"/>
            <w:vAlign w:val="center"/>
          </w:tcPr>
          <w:p>
            <w:pPr>
              <w:pStyle w:val="11"/>
            </w:pPr>
            <w:r>
              <w:t>17.72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2070110</w:t>
            </w:r>
          </w:p>
        </w:tc>
        <w:tc>
          <w:tcPr>
            <w:tcW w:w="4535" w:type="dxa"/>
            <w:vAlign w:val="center"/>
          </w:tcPr>
          <w:p>
            <w:pPr>
              <w:pStyle w:val="12"/>
            </w:pPr>
            <w:r>
              <w:t>文化和旅游交流与合作</w:t>
            </w:r>
          </w:p>
        </w:tc>
        <w:tc>
          <w:tcPr>
            <w:tcW w:w="2551" w:type="dxa"/>
            <w:vAlign w:val="center"/>
          </w:tcPr>
          <w:p>
            <w:pPr>
              <w:pStyle w:val="11"/>
            </w:pPr>
            <w:r>
              <w:t>17.72</w:t>
            </w:r>
          </w:p>
        </w:tc>
        <w:tc>
          <w:tcPr>
            <w:tcW w:w="2551" w:type="dxa"/>
            <w:vAlign w:val="center"/>
          </w:tcPr>
          <w:p>
            <w:pPr>
              <w:pStyle w:val="11"/>
            </w:pPr>
          </w:p>
        </w:tc>
        <w:tc>
          <w:tcPr>
            <w:tcW w:w="2551" w:type="dxa"/>
            <w:vAlign w:val="center"/>
          </w:tcPr>
          <w:p>
            <w:pPr>
              <w:pStyle w:val="11"/>
            </w:pPr>
            <w:r>
              <w:t>17.72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11.22</w:t>
            </w:r>
          </w:p>
        </w:tc>
        <w:tc>
          <w:tcPr>
            <w:tcW w:w="2551" w:type="dxa"/>
            <w:vAlign w:val="center"/>
          </w:tcPr>
          <w:p>
            <w:pPr>
              <w:pStyle w:val="11"/>
            </w:pPr>
            <w:r>
              <w:t>11.22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11.22</w:t>
            </w:r>
          </w:p>
        </w:tc>
        <w:tc>
          <w:tcPr>
            <w:tcW w:w="2551" w:type="dxa"/>
            <w:vAlign w:val="center"/>
          </w:tcPr>
          <w:p>
            <w:pPr>
              <w:pStyle w:val="11"/>
            </w:pPr>
            <w:r>
              <w:t>11.22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9.42</w:t>
            </w:r>
          </w:p>
        </w:tc>
        <w:tc>
          <w:tcPr>
            <w:tcW w:w="2551" w:type="dxa"/>
            <w:vAlign w:val="center"/>
          </w:tcPr>
          <w:p>
            <w:pPr>
              <w:pStyle w:val="11"/>
            </w:pPr>
            <w:r>
              <w:t>9.42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1.81</w:t>
            </w:r>
          </w:p>
        </w:tc>
        <w:tc>
          <w:tcPr>
            <w:tcW w:w="2551" w:type="dxa"/>
            <w:vAlign w:val="center"/>
          </w:tcPr>
          <w:p>
            <w:pPr>
              <w:pStyle w:val="11"/>
            </w:pPr>
            <w:r>
              <w:t>1.81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7.79</w:t>
            </w:r>
          </w:p>
        </w:tc>
        <w:tc>
          <w:tcPr>
            <w:tcW w:w="2551" w:type="dxa"/>
            <w:vAlign w:val="center"/>
          </w:tcPr>
          <w:p>
            <w:pPr>
              <w:pStyle w:val="11"/>
            </w:pPr>
            <w:r>
              <w:t>7.79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7.79</w:t>
            </w:r>
          </w:p>
        </w:tc>
        <w:tc>
          <w:tcPr>
            <w:tcW w:w="2551" w:type="dxa"/>
            <w:vAlign w:val="center"/>
          </w:tcPr>
          <w:p>
            <w:pPr>
              <w:pStyle w:val="11"/>
            </w:pPr>
            <w:r>
              <w:t>7.79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7.79</w:t>
            </w:r>
          </w:p>
        </w:tc>
        <w:tc>
          <w:tcPr>
            <w:tcW w:w="2551" w:type="dxa"/>
            <w:vAlign w:val="center"/>
          </w:tcPr>
          <w:p>
            <w:pPr>
              <w:pStyle w:val="11"/>
            </w:pPr>
            <w:r>
              <w:t>7.79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7.54</w:t>
            </w:r>
          </w:p>
        </w:tc>
        <w:tc>
          <w:tcPr>
            <w:tcW w:w="2551" w:type="dxa"/>
            <w:vAlign w:val="center"/>
          </w:tcPr>
          <w:p>
            <w:pPr>
              <w:pStyle w:val="11"/>
            </w:pPr>
            <w:r>
              <w:t>7.54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7.54</w:t>
            </w:r>
          </w:p>
        </w:tc>
        <w:tc>
          <w:tcPr>
            <w:tcW w:w="2551" w:type="dxa"/>
            <w:vAlign w:val="center"/>
          </w:tcPr>
          <w:p>
            <w:pPr>
              <w:pStyle w:val="11"/>
            </w:pPr>
            <w:r>
              <w:t>7.54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7.54</w:t>
            </w:r>
          </w:p>
        </w:tc>
        <w:tc>
          <w:tcPr>
            <w:tcW w:w="2551" w:type="dxa"/>
            <w:vAlign w:val="center"/>
          </w:tcPr>
          <w:p>
            <w:pPr>
              <w:pStyle w:val="11"/>
            </w:pPr>
            <w:r>
              <w:t>7.54</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901001秦皇岛北戴河新区政策研究室本级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100.74</w:t>
            </w:r>
          </w:p>
        </w:tc>
        <w:tc>
          <w:tcPr>
            <w:tcW w:w="2551" w:type="dxa"/>
            <w:vAlign w:val="center"/>
          </w:tcPr>
          <w:p>
            <w:pPr>
              <w:pStyle w:val="15"/>
            </w:pPr>
            <w:r>
              <w:t>93.50</w:t>
            </w:r>
          </w:p>
        </w:tc>
        <w:tc>
          <w:tcPr>
            <w:tcW w:w="2551" w:type="dxa"/>
            <w:vAlign w:val="center"/>
          </w:tcPr>
          <w:p>
            <w:pPr>
              <w:pStyle w:val="15"/>
            </w:pPr>
            <w:r>
              <w:t>7.24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93.50</w:t>
            </w:r>
          </w:p>
        </w:tc>
        <w:tc>
          <w:tcPr>
            <w:tcW w:w="2551" w:type="dxa"/>
            <w:vAlign w:val="center"/>
          </w:tcPr>
          <w:p>
            <w:pPr>
              <w:pStyle w:val="11"/>
            </w:pPr>
            <w:r>
              <w:t>93.50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36.78</w:t>
            </w:r>
          </w:p>
        </w:tc>
        <w:tc>
          <w:tcPr>
            <w:tcW w:w="2551" w:type="dxa"/>
            <w:vAlign w:val="center"/>
          </w:tcPr>
          <w:p>
            <w:pPr>
              <w:pStyle w:val="11"/>
            </w:pPr>
            <w:r>
              <w:t>36.78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7.07</w:t>
            </w:r>
          </w:p>
        </w:tc>
        <w:tc>
          <w:tcPr>
            <w:tcW w:w="2551" w:type="dxa"/>
            <w:vAlign w:val="center"/>
          </w:tcPr>
          <w:p>
            <w:pPr>
              <w:pStyle w:val="11"/>
            </w:pPr>
            <w:r>
              <w:t>7.07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3.62</w:t>
            </w:r>
          </w:p>
        </w:tc>
        <w:tc>
          <w:tcPr>
            <w:tcW w:w="2551" w:type="dxa"/>
            <w:vAlign w:val="center"/>
          </w:tcPr>
          <w:p>
            <w:pPr>
              <w:pStyle w:val="11"/>
            </w:pPr>
            <w:r>
              <w:t>3.62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18.93</w:t>
            </w:r>
          </w:p>
        </w:tc>
        <w:tc>
          <w:tcPr>
            <w:tcW w:w="2551" w:type="dxa"/>
            <w:vAlign w:val="center"/>
          </w:tcPr>
          <w:p>
            <w:pPr>
              <w:pStyle w:val="11"/>
            </w:pPr>
            <w:r>
              <w:t>18.93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9.42</w:t>
            </w:r>
          </w:p>
        </w:tc>
        <w:tc>
          <w:tcPr>
            <w:tcW w:w="2551" w:type="dxa"/>
            <w:vAlign w:val="center"/>
          </w:tcPr>
          <w:p>
            <w:pPr>
              <w:pStyle w:val="11"/>
            </w:pPr>
            <w:r>
              <w:t>9.42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1.81</w:t>
            </w:r>
          </w:p>
        </w:tc>
        <w:tc>
          <w:tcPr>
            <w:tcW w:w="2551" w:type="dxa"/>
            <w:vAlign w:val="center"/>
          </w:tcPr>
          <w:p>
            <w:pPr>
              <w:pStyle w:val="11"/>
            </w:pPr>
            <w:r>
              <w:t>1.81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3.96</w:t>
            </w:r>
          </w:p>
        </w:tc>
        <w:tc>
          <w:tcPr>
            <w:tcW w:w="2551" w:type="dxa"/>
            <w:vAlign w:val="center"/>
          </w:tcPr>
          <w:p>
            <w:pPr>
              <w:pStyle w:val="11"/>
            </w:pPr>
            <w:r>
              <w:t>3.96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3.83</w:t>
            </w:r>
          </w:p>
        </w:tc>
        <w:tc>
          <w:tcPr>
            <w:tcW w:w="2551" w:type="dxa"/>
            <w:vAlign w:val="center"/>
          </w:tcPr>
          <w:p>
            <w:pPr>
              <w:pStyle w:val="11"/>
            </w:pPr>
            <w:r>
              <w:t>3.83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0.54</w:t>
            </w:r>
          </w:p>
        </w:tc>
        <w:tc>
          <w:tcPr>
            <w:tcW w:w="2551" w:type="dxa"/>
            <w:vAlign w:val="center"/>
          </w:tcPr>
          <w:p>
            <w:pPr>
              <w:pStyle w:val="11"/>
            </w:pPr>
            <w:r>
              <w:t>0.54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7.54</w:t>
            </w:r>
          </w:p>
        </w:tc>
        <w:tc>
          <w:tcPr>
            <w:tcW w:w="2551" w:type="dxa"/>
            <w:vAlign w:val="center"/>
          </w:tcPr>
          <w:p>
            <w:pPr>
              <w:pStyle w:val="11"/>
            </w:pPr>
            <w:r>
              <w:t>7.54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7.08</w:t>
            </w:r>
          </w:p>
        </w:tc>
        <w:tc>
          <w:tcPr>
            <w:tcW w:w="2551" w:type="dxa"/>
            <w:vAlign w:val="center"/>
          </w:tcPr>
          <w:p>
            <w:pPr>
              <w:pStyle w:val="11"/>
            </w:pPr>
          </w:p>
        </w:tc>
        <w:tc>
          <w:tcPr>
            <w:tcW w:w="2551" w:type="dxa"/>
            <w:vAlign w:val="center"/>
          </w:tcPr>
          <w:p>
            <w:pPr>
              <w:pStyle w:val="11"/>
            </w:pPr>
            <w:r>
              <w:t>7.08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1.12</w:t>
            </w:r>
          </w:p>
        </w:tc>
        <w:tc>
          <w:tcPr>
            <w:tcW w:w="2551" w:type="dxa"/>
            <w:vAlign w:val="center"/>
          </w:tcPr>
          <w:p>
            <w:pPr>
              <w:pStyle w:val="11"/>
            </w:pPr>
          </w:p>
        </w:tc>
        <w:tc>
          <w:tcPr>
            <w:tcW w:w="2551" w:type="dxa"/>
            <w:vAlign w:val="center"/>
          </w:tcPr>
          <w:p>
            <w:pPr>
              <w:pStyle w:val="11"/>
            </w:pPr>
            <w:r>
              <w:t>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0.16</w:t>
            </w:r>
          </w:p>
        </w:tc>
        <w:tc>
          <w:tcPr>
            <w:tcW w:w="2551" w:type="dxa"/>
            <w:vAlign w:val="center"/>
          </w:tcPr>
          <w:p>
            <w:pPr>
              <w:pStyle w:val="11"/>
            </w:pPr>
          </w:p>
        </w:tc>
        <w:tc>
          <w:tcPr>
            <w:tcW w:w="2551" w:type="dxa"/>
            <w:vAlign w:val="center"/>
          </w:tcPr>
          <w:p>
            <w:pPr>
              <w:pStyle w:val="11"/>
            </w:pPr>
            <w:r>
              <w:t>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0.60</w:t>
            </w:r>
          </w:p>
        </w:tc>
        <w:tc>
          <w:tcPr>
            <w:tcW w:w="2551" w:type="dxa"/>
            <w:vAlign w:val="center"/>
          </w:tcPr>
          <w:p>
            <w:pPr>
              <w:pStyle w:val="11"/>
            </w:pPr>
          </w:p>
        </w:tc>
        <w:tc>
          <w:tcPr>
            <w:tcW w:w="2551" w:type="dxa"/>
            <w:vAlign w:val="center"/>
          </w:tcPr>
          <w:p>
            <w:pPr>
              <w:pStyle w:val="11"/>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0.64</w:t>
            </w:r>
          </w:p>
        </w:tc>
        <w:tc>
          <w:tcPr>
            <w:tcW w:w="2551" w:type="dxa"/>
            <w:vAlign w:val="center"/>
          </w:tcPr>
          <w:p>
            <w:pPr>
              <w:pStyle w:val="11"/>
            </w:pPr>
          </w:p>
        </w:tc>
        <w:tc>
          <w:tcPr>
            <w:tcW w:w="2551" w:type="dxa"/>
            <w:vAlign w:val="center"/>
          </w:tcPr>
          <w:p>
            <w:pPr>
              <w:pStyle w:val="11"/>
            </w:pPr>
            <w:r>
              <w:t>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2.30</w:t>
            </w:r>
          </w:p>
        </w:tc>
        <w:tc>
          <w:tcPr>
            <w:tcW w:w="2551" w:type="dxa"/>
            <w:vAlign w:val="center"/>
          </w:tcPr>
          <w:p>
            <w:pPr>
              <w:pStyle w:val="11"/>
            </w:pPr>
          </w:p>
        </w:tc>
        <w:tc>
          <w:tcPr>
            <w:tcW w:w="2551" w:type="dxa"/>
            <w:vAlign w:val="center"/>
          </w:tcPr>
          <w:p>
            <w:pPr>
              <w:pStyle w:val="11"/>
            </w:pPr>
            <w: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0.32</w:t>
            </w:r>
          </w:p>
        </w:tc>
        <w:tc>
          <w:tcPr>
            <w:tcW w:w="2551" w:type="dxa"/>
            <w:vAlign w:val="center"/>
          </w:tcPr>
          <w:p>
            <w:pPr>
              <w:pStyle w:val="11"/>
            </w:pPr>
          </w:p>
        </w:tc>
        <w:tc>
          <w:tcPr>
            <w:tcW w:w="2551" w:type="dxa"/>
            <w:vAlign w:val="center"/>
          </w:tcPr>
          <w:p>
            <w:pPr>
              <w:pStyle w:val="11"/>
            </w:pPr>
            <w: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0.08</w:t>
            </w:r>
          </w:p>
        </w:tc>
        <w:tc>
          <w:tcPr>
            <w:tcW w:w="2551" w:type="dxa"/>
            <w:vAlign w:val="center"/>
          </w:tcPr>
          <w:p>
            <w:pPr>
              <w:pStyle w:val="11"/>
            </w:pPr>
          </w:p>
        </w:tc>
        <w:tc>
          <w:tcPr>
            <w:tcW w:w="2551" w:type="dxa"/>
            <w:vAlign w:val="center"/>
          </w:tcPr>
          <w:p>
            <w:pPr>
              <w:pStyle w:val="11"/>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0.64</w:t>
            </w:r>
          </w:p>
        </w:tc>
        <w:tc>
          <w:tcPr>
            <w:tcW w:w="2551" w:type="dxa"/>
            <w:vAlign w:val="center"/>
          </w:tcPr>
          <w:p>
            <w:pPr>
              <w:pStyle w:val="11"/>
            </w:pPr>
          </w:p>
        </w:tc>
        <w:tc>
          <w:tcPr>
            <w:tcW w:w="2551" w:type="dxa"/>
            <w:vAlign w:val="center"/>
          </w:tcPr>
          <w:p>
            <w:pPr>
              <w:pStyle w:val="11"/>
            </w:pPr>
            <w:r>
              <w:t>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0.78</w:t>
            </w:r>
          </w:p>
        </w:tc>
        <w:tc>
          <w:tcPr>
            <w:tcW w:w="2551" w:type="dxa"/>
            <w:vAlign w:val="center"/>
          </w:tcPr>
          <w:p>
            <w:pPr>
              <w:pStyle w:val="11"/>
            </w:pPr>
          </w:p>
        </w:tc>
        <w:tc>
          <w:tcPr>
            <w:tcW w:w="2551" w:type="dxa"/>
            <w:vAlign w:val="center"/>
          </w:tcPr>
          <w:p>
            <w:pPr>
              <w:pStyle w:val="11"/>
            </w:pPr>
            <w:r>
              <w:t>0.78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0.44</w:t>
            </w:r>
          </w:p>
        </w:tc>
        <w:tc>
          <w:tcPr>
            <w:tcW w:w="2551" w:type="dxa"/>
            <w:vAlign w:val="center"/>
          </w:tcPr>
          <w:p>
            <w:pPr>
              <w:pStyle w:val="11"/>
            </w:pPr>
          </w:p>
        </w:tc>
        <w:tc>
          <w:tcPr>
            <w:tcW w:w="2551" w:type="dxa"/>
            <w:vAlign w:val="center"/>
          </w:tcPr>
          <w:p>
            <w:pPr>
              <w:pStyle w:val="11"/>
            </w:pPr>
            <w:r>
              <w:t>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0.16</w:t>
            </w:r>
          </w:p>
        </w:tc>
        <w:tc>
          <w:tcPr>
            <w:tcW w:w="2551" w:type="dxa"/>
            <w:vAlign w:val="center"/>
          </w:tcPr>
          <w:p>
            <w:pPr>
              <w:pStyle w:val="11"/>
            </w:pPr>
          </w:p>
        </w:tc>
        <w:tc>
          <w:tcPr>
            <w:tcW w:w="2551" w:type="dxa"/>
            <w:vAlign w:val="center"/>
          </w:tcPr>
          <w:p>
            <w:pPr>
              <w:pStyle w:val="11"/>
            </w:pPr>
            <w:r>
              <w:t>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0.16</w:t>
            </w:r>
          </w:p>
        </w:tc>
        <w:tc>
          <w:tcPr>
            <w:tcW w:w="2551" w:type="dxa"/>
            <w:vAlign w:val="center"/>
          </w:tcPr>
          <w:p>
            <w:pPr>
              <w:pStyle w:val="11"/>
            </w:pPr>
          </w:p>
        </w:tc>
        <w:tc>
          <w:tcPr>
            <w:tcW w:w="2551" w:type="dxa"/>
            <w:vAlign w:val="center"/>
          </w:tcPr>
          <w:p>
            <w:pPr>
              <w:pStyle w:val="11"/>
            </w:pPr>
            <w:r>
              <w:t>0.16</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901001秦皇岛北戴河新区政策研究室本级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901001秦皇岛北戴河新区政策研究室本级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901001秦皇岛北戴河新区政策研究室本级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rPr>
                <w:rFonts w:hint="default" w:eastAsia="方正书宋_GBK"/>
                <w:lang w:val="en-US" w:eastAsia="zh-CN"/>
              </w:rPr>
            </w:pPr>
            <w:r>
              <w:rPr>
                <w:rFonts w:hint="eastAsia"/>
                <w:lang w:val="en-US" w:eastAsia="zh-CN"/>
              </w:rPr>
              <w:t>0.08</w:t>
            </w:r>
          </w:p>
        </w:tc>
        <w:tc>
          <w:tcPr>
            <w:tcW w:w="2381" w:type="dxa"/>
            <w:vAlign w:val="center"/>
          </w:tcPr>
          <w:p>
            <w:pPr>
              <w:pStyle w:val="15"/>
              <w:rPr>
                <w:rFonts w:hint="default" w:eastAsia="方正书宋_GBK"/>
                <w:lang w:val="en-US" w:eastAsia="zh-CN"/>
              </w:rPr>
            </w:pPr>
            <w:r>
              <w:rPr>
                <w:rFonts w:hint="eastAsia"/>
                <w:lang w:val="en-US" w:eastAsia="zh-CN"/>
              </w:rPr>
              <w:t>0.08</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0.08</w:t>
            </w:r>
          </w:p>
        </w:tc>
        <w:tc>
          <w:tcPr>
            <w:tcW w:w="2381" w:type="dxa"/>
            <w:vAlign w:val="center"/>
          </w:tcPr>
          <w:p>
            <w:pPr>
              <w:pStyle w:val="11"/>
            </w:pPr>
            <w:r>
              <w:t>0.08</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0.08</w:t>
            </w:r>
          </w:p>
        </w:tc>
        <w:tc>
          <w:tcPr>
            <w:tcW w:w="2381" w:type="dxa"/>
            <w:vAlign w:val="center"/>
          </w:tcPr>
          <w:p>
            <w:pPr>
              <w:pStyle w:val="11"/>
            </w:pPr>
            <w:r>
              <w:t>0.08</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秦皇岛北戴河新区政策研究室本级2026年单位预算信息公开情况说明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按照《中华人民共和国预算法》、《地方预决算公开操作规程》和《关于进一步推进预算公开工作的实施意见》规定，现将秦皇岛北戴河新区政策研究室本级2026年单位预算公开如下：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rPr>
          <w:rFonts w:hint="eastAsia"/>
        </w:rPr>
      </w:pPr>
      <w:r>
        <w:rPr>
          <w:rFonts w:hint="eastAsia"/>
        </w:rPr>
        <w:t>根据《秦皇岛北戴河新区政策研究室职能配置、内设机构和人员编制规定》，秦皇岛北戴河新区政策研究室的主要职责是：</w:t>
      </w:r>
    </w:p>
    <w:p>
      <w:pPr>
        <w:pStyle w:val="17"/>
        <w:rPr>
          <w:rFonts w:hint="eastAsia"/>
        </w:rPr>
      </w:pPr>
      <w:r>
        <w:rPr>
          <w:rFonts w:hint="eastAsia"/>
        </w:rPr>
        <w:t>部门职责：</w:t>
      </w:r>
    </w:p>
    <w:p>
      <w:pPr>
        <w:pStyle w:val="17"/>
        <w:rPr>
          <w:rFonts w:hint="eastAsia"/>
        </w:rPr>
      </w:pPr>
      <w:r>
        <w:rPr>
          <w:rFonts w:hint="eastAsia"/>
        </w:rPr>
        <w:t>1.针对示范区生命健康产业发展中的难点、热点问题提供咨询建议。</w:t>
      </w:r>
    </w:p>
    <w:p>
      <w:pPr>
        <w:pStyle w:val="17"/>
        <w:rPr>
          <w:rFonts w:hint="eastAsia"/>
        </w:rPr>
      </w:pPr>
      <w:r>
        <w:rPr>
          <w:rFonts w:hint="eastAsia"/>
        </w:rPr>
        <w:t>2.研究制定示范区支持政策，对接省直相关部门、国家有关部委，全力争取示范区在国家政策层面改革创新、先行先试，持续获得国家政策支持，构建示范区政策支撑体系。</w:t>
      </w:r>
    </w:p>
    <w:p>
      <w:pPr>
        <w:pStyle w:val="17"/>
        <w:rPr>
          <w:rFonts w:hint="eastAsia"/>
        </w:rPr>
      </w:pPr>
      <w:r>
        <w:rPr>
          <w:rFonts w:hint="eastAsia"/>
        </w:rPr>
        <w:t>3.组织专家咨询委员会参与研究论证示范区发展战略的顶层设计，根据示范区发展需要，对示范区的战略定位、目标任务、实施路径、保障措施等进行系统深入研究，提出科学性、前瞻性兼具的解决方案，为工管委的科学决策提供有益参考，充分发挥对经济社会的引领作用。</w:t>
      </w:r>
    </w:p>
    <w:p>
      <w:pPr>
        <w:pStyle w:val="17"/>
      </w:pPr>
      <w:r>
        <w:rPr>
          <w:rFonts w:hint="eastAsia"/>
        </w:rPr>
        <w:t>4.承办新区工管委交办其他事项；负责研究院日常工作运行，负责文件收发、新闻宣传、档案保管等工作；负责会议组织、会务服务、值班管理等工作；负责研究院财务、后勤保障工作。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秦皇岛北戴河新区政策研究室本级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rPr>
          <w:rFonts w:hint="eastAsia"/>
        </w:rPr>
      </w:pPr>
      <w:r>
        <w:rPr>
          <w:rFonts w:hint="eastAsia"/>
        </w:rPr>
        <w:t>按照预算管理有关规定，目前部门预算的编制实行综合预算管理，即全部收入和支出都反映在预算中。秦皇岛北戴河新区政策研究室机关及所属事业单位的收支包含在部门预算中。</w:t>
      </w:r>
    </w:p>
    <w:p>
      <w:pPr>
        <w:pStyle w:val="18"/>
        <w:rPr>
          <w:rFonts w:hint="eastAsia"/>
        </w:rPr>
      </w:pPr>
      <w:r>
        <w:rPr>
          <w:rFonts w:hint="eastAsia"/>
        </w:rPr>
        <w:t>1、收入说明</w:t>
      </w:r>
    </w:p>
    <w:p>
      <w:pPr>
        <w:pStyle w:val="18"/>
        <w:rPr>
          <w:rFonts w:hint="eastAsia"/>
        </w:rPr>
      </w:pPr>
      <w:r>
        <w:rPr>
          <w:rFonts w:hint="eastAsia"/>
        </w:rPr>
        <w:t>反映本</w:t>
      </w:r>
      <w:r>
        <w:rPr>
          <w:rFonts w:hint="eastAsia"/>
          <w:lang w:val="en-US" w:eastAsia="zh-CN"/>
        </w:rPr>
        <w:t>单位</w:t>
      </w:r>
      <w:r>
        <w:rPr>
          <w:rFonts w:hint="eastAsia"/>
        </w:rPr>
        <w:t>当年全部收入。2026年预算收入138.46万元，其中：一般公共预算收入138.46万元，基金预算收入0.00万元，国有资本经营预算收入0.00万元，财政专户核拨收入0.00万元，单位资金收入0.00万元，上年结转结余0.00万元。</w:t>
      </w:r>
    </w:p>
    <w:p>
      <w:pPr>
        <w:pStyle w:val="18"/>
        <w:rPr>
          <w:rFonts w:hint="eastAsia"/>
        </w:rPr>
      </w:pPr>
      <w:r>
        <w:rPr>
          <w:rFonts w:hint="eastAsia"/>
        </w:rPr>
        <w:t>2、支出说明</w:t>
      </w:r>
    </w:p>
    <w:p>
      <w:pPr>
        <w:pStyle w:val="18"/>
        <w:rPr>
          <w:rFonts w:hint="eastAsia"/>
        </w:rPr>
      </w:pPr>
      <w:r>
        <w:rPr>
          <w:rFonts w:hint="eastAsia"/>
        </w:rPr>
        <w:t>收支预算总表支出栏、基本支出表、项目支出表按经济分类和支出功能分类科目编制，反映秦皇岛北戴河新区政策研究室年度</w:t>
      </w:r>
      <w:r>
        <w:rPr>
          <w:rFonts w:hint="eastAsia"/>
          <w:lang w:val="en-US" w:eastAsia="zh-CN"/>
        </w:rPr>
        <w:t>单位</w:t>
      </w:r>
      <w:r>
        <w:rPr>
          <w:rFonts w:hint="eastAsia"/>
        </w:rPr>
        <w:t>预算中支出预算的总体情况。2026年支出预算138.46万元，其中基本支出100.74万元，包括人员经费93.5万元和日常公用经费7.24万元；项目支出37.72万元，主要为主要为人员经费包括日常社会保险经费支出及工资奖金支出等，日常公用经费包括办公费、差旅费支出等，项目支出包括本年度3个项目的经费支出。</w:t>
      </w:r>
    </w:p>
    <w:p>
      <w:pPr>
        <w:pStyle w:val="18"/>
        <w:rPr>
          <w:rFonts w:hint="eastAsia"/>
        </w:rPr>
      </w:pPr>
      <w:r>
        <w:rPr>
          <w:rFonts w:hint="eastAsia"/>
        </w:rPr>
        <w:t>3、比上年增减情况</w:t>
      </w:r>
    </w:p>
    <w:p>
      <w:pPr>
        <w:pStyle w:val="18"/>
      </w:pPr>
      <w:r>
        <w:rPr>
          <w:rFonts w:hint="eastAsia"/>
        </w:rPr>
        <w:t>2026年预算收支安排138.46万元，较2025年预算减少50.73万元，其中：基本支出增加3.75万元，主要为人员经费增加及项目支出的减少。</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rPr>
          <w:rFonts w:hint="eastAsia"/>
        </w:rPr>
        <w:t>我</w:t>
      </w:r>
      <w:r>
        <w:rPr>
          <w:rFonts w:hint="eastAsia"/>
          <w:lang w:val="en-US" w:eastAsia="zh-CN"/>
        </w:rPr>
        <w:t>单位</w:t>
      </w:r>
      <w:r>
        <w:rPr>
          <w:rFonts w:hint="eastAsia"/>
        </w:rPr>
        <w:t>机关运行经费共计安排7.2</w:t>
      </w:r>
      <w:r>
        <w:rPr>
          <w:rFonts w:hint="eastAsia"/>
          <w:lang w:val="en-US" w:eastAsia="zh-CN"/>
        </w:rPr>
        <w:t>4</w:t>
      </w:r>
      <w:r>
        <w:rPr>
          <w:rFonts w:hint="eastAsia"/>
        </w:rPr>
        <w:t>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rPr>
          <w:rFonts w:hint="eastAsia"/>
        </w:rPr>
        <w:t>2026年，我</w:t>
      </w:r>
      <w:r>
        <w:rPr>
          <w:rFonts w:hint="eastAsia"/>
          <w:lang w:val="en-US" w:eastAsia="zh-CN"/>
        </w:rPr>
        <w:t>单位</w:t>
      </w:r>
      <w:r>
        <w:rPr>
          <w:rFonts w:hint="eastAsia"/>
        </w:rPr>
        <w:t>财政拨款“三公”经费预算安排0.08万元，其中因公出国（境）费0.00万元；公务用车购置及运维费0.00万元（其中：公务用车购置费为0.00万元，公务用车运维费0.00万元)；公务接待费0.08万元。与2025年相比减少0.00万元，增减变化的主要原因是无增减变化。</w:t>
      </w: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1、全国大健康产业园共同体经费绩效目标表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13031326P00000310015P</w:t>
            </w:r>
          </w:p>
        </w:tc>
        <w:tc>
          <w:tcPr>
            <w:tcW w:w="2835" w:type="dxa"/>
            <w:vAlign w:val="center"/>
          </w:tcPr>
          <w:p>
            <w:pPr>
              <w:pStyle w:val="10"/>
            </w:pPr>
            <w:r>
              <w:t>项目名称</w:t>
            </w:r>
          </w:p>
        </w:tc>
        <w:tc>
          <w:tcPr>
            <w:tcW w:w="6095" w:type="dxa"/>
            <w:gridSpan w:val="3"/>
            <w:vAlign w:val="center"/>
          </w:tcPr>
          <w:p>
            <w:pPr>
              <w:pStyle w:val="12"/>
            </w:pPr>
            <w:r>
              <w:t>全国大健康产业园共同体经费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全国大健康产业园共同体经费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1.举办全国大健康产业园共同体会议</w:t>
            </w:r>
          </w:p>
          <w:p>
            <w:pPr>
              <w:pStyle w:val="12"/>
            </w:pPr>
            <w:r>
              <w:t>2.发布《全国大健康产业园共同体发展蓝皮书》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论文调研报告数量</w:t>
            </w:r>
          </w:p>
        </w:tc>
        <w:tc>
          <w:tcPr>
            <w:tcW w:w="5386" w:type="dxa"/>
            <w:vAlign w:val="center"/>
          </w:tcPr>
          <w:p>
            <w:pPr>
              <w:pStyle w:val="12"/>
            </w:pPr>
            <w:r>
              <w:t>发布《全国大健康产业园共同体发展蓝皮书》</w:t>
            </w:r>
          </w:p>
        </w:tc>
        <w:tc>
          <w:tcPr>
            <w:tcW w:w="2268" w:type="dxa"/>
            <w:vAlign w:val="center"/>
          </w:tcPr>
          <w:p>
            <w:pPr>
              <w:pStyle w:val="12"/>
            </w:pPr>
            <w:r>
              <w:t>≥1个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论文调研报告数量</w:t>
            </w:r>
          </w:p>
        </w:tc>
        <w:tc>
          <w:tcPr>
            <w:tcW w:w="5386" w:type="dxa"/>
            <w:vAlign w:val="center"/>
          </w:tcPr>
          <w:p>
            <w:pPr>
              <w:pStyle w:val="12"/>
            </w:pPr>
            <w:r>
              <w:t>内刊</w:t>
            </w:r>
          </w:p>
        </w:tc>
        <w:tc>
          <w:tcPr>
            <w:tcW w:w="2268" w:type="dxa"/>
            <w:vAlign w:val="center"/>
          </w:tcPr>
          <w:p>
            <w:pPr>
              <w:pStyle w:val="12"/>
            </w:pPr>
            <w:r>
              <w:t>≥12个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会议举办次数</w:t>
            </w:r>
          </w:p>
        </w:tc>
        <w:tc>
          <w:tcPr>
            <w:tcW w:w="5386" w:type="dxa"/>
            <w:vAlign w:val="center"/>
          </w:tcPr>
          <w:p>
            <w:pPr>
              <w:pStyle w:val="12"/>
            </w:pPr>
            <w:r>
              <w:t>全国大健康产业园共同体会议</w:t>
            </w:r>
          </w:p>
        </w:tc>
        <w:tc>
          <w:tcPr>
            <w:tcW w:w="2268" w:type="dxa"/>
            <w:vAlign w:val="center"/>
          </w:tcPr>
          <w:p>
            <w:pPr>
              <w:pStyle w:val="12"/>
            </w:pPr>
            <w:r>
              <w:t>≥2次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争取各种支持示范区建设的政策</w:t>
            </w:r>
          </w:p>
        </w:tc>
        <w:tc>
          <w:tcPr>
            <w:tcW w:w="5386" w:type="dxa"/>
            <w:vAlign w:val="center"/>
          </w:tcPr>
          <w:p>
            <w:pPr>
              <w:pStyle w:val="12"/>
            </w:pPr>
            <w:r>
              <w:t>着眼示范区目前发展现状，研究制定支持和促进旅游、康养等产业发展政策措施</w:t>
            </w:r>
          </w:p>
        </w:tc>
        <w:tc>
          <w:tcPr>
            <w:tcW w:w="2268" w:type="dxa"/>
            <w:vAlign w:val="center"/>
          </w:tcPr>
          <w:p>
            <w:pPr>
              <w:pStyle w:val="12"/>
            </w:pPr>
            <w:r>
              <w:t>持续获得国家政策支持，构建示范区政策支撑体系</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争取相关政策</w:t>
            </w:r>
          </w:p>
        </w:tc>
        <w:tc>
          <w:tcPr>
            <w:tcW w:w="5386" w:type="dxa"/>
            <w:vAlign w:val="center"/>
          </w:tcPr>
          <w:p>
            <w:pPr>
              <w:pStyle w:val="12"/>
            </w:pPr>
            <w:r>
              <w:t>借助政策优势引入企业、项目数量</w:t>
            </w:r>
          </w:p>
        </w:tc>
        <w:tc>
          <w:tcPr>
            <w:tcW w:w="2268" w:type="dxa"/>
            <w:vAlign w:val="center"/>
          </w:tcPr>
          <w:p>
            <w:pPr>
              <w:pStyle w:val="12"/>
            </w:pPr>
            <w:r>
              <w:t>加大政策创新力度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调研成本</w:t>
            </w:r>
          </w:p>
        </w:tc>
        <w:tc>
          <w:tcPr>
            <w:tcW w:w="5386" w:type="dxa"/>
            <w:vAlign w:val="center"/>
          </w:tcPr>
          <w:p>
            <w:pPr>
              <w:pStyle w:val="12"/>
            </w:pPr>
            <w:r>
              <w:t>形成调研报告</w:t>
            </w:r>
          </w:p>
        </w:tc>
        <w:tc>
          <w:tcPr>
            <w:tcW w:w="2268" w:type="dxa"/>
            <w:vAlign w:val="center"/>
          </w:tcPr>
          <w:p>
            <w:pPr>
              <w:pStyle w:val="12"/>
            </w:pPr>
            <w:r>
              <w:t>≥2个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示范带动作用</w:t>
            </w:r>
          </w:p>
        </w:tc>
        <w:tc>
          <w:tcPr>
            <w:tcW w:w="5386" w:type="dxa"/>
            <w:vAlign w:val="center"/>
          </w:tcPr>
          <w:p>
            <w:pPr>
              <w:pStyle w:val="12"/>
            </w:pPr>
            <w:r>
              <w:t>通过专家影响力，提升示范区知名度</w:t>
            </w:r>
          </w:p>
        </w:tc>
        <w:tc>
          <w:tcPr>
            <w:tcW w:w="2268" w:type="dxa"/>
            <w:vAlign w:val="center"/>
          </w:tcPr>
          <w:p>
            <w:pPr>
              <w:pStyle w:val="12"/>
            </w:pPr>
            <w:r>
              <w:t>宣传支持示范区建设</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搭建沟通平台</w:t>
            </w:r>
          </w:p>
        </w:tc>
        <w:tc>
          <w:tcPr>
            <w:tcW w:w="5386" w:type="dxa"/>
            <w:vAlign w:val="center"/>
          </w:tcPr>
          <w:p>
            <w:pPr>
              <w:pStyle w:val="12"/>
            </w:pPr>
            <w:r>
              <w:t>参与决策咨询活动次数</w:t>
            </w:r>
          </w:p>
        </w:tc>
        <w:tc>
          <w:tcPr>
            <w:tcW w:w="2268" w:type="dxa"/>
            <w:vAlign w:val="center"/>
          </w:tcPr>
          <w:p>
            <w:pPr>
              <w:pStyle w:val="12"/>
            </w:pPr>
            <w:r>
              <w:t>≥10次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满意程度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2、示范区重大政策申报争取工作经费绩效目标表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13031326P000003100144</w:t>
            </w:r>
          </w:p>
        </w:tc>
        <w:tc>
          <w:tcPr>
            <w:tcW w:w="2835" w:type="dxa"/>
            <w:vAlign w:val="center"/>
          </w:tcPr>
          <w:p>
            <w:pPr>
              <w:pStyle w:val="10"/>
            </w:pPr>
            <w:r>
              <w:t>项目名称</w:t>
            </w:r>
          </w:p>
        </w:tc>
        <w:tc>
          <w:tcPr>
            <w:tcW w:w="6095" w:type="dxa"/>
            <w:gridSpan w:val="3"/>
            <w:vAlign w:val="center"/>
          </w:tcPr>
          <w:p>
            <w:pPr>
              <w:pStyle w:val="12"/>
            </w:pPr>
            <w:r>
              <w:t>示范区重大政策申报争取工作经费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研究制定示范区支持政策，对接省直相关部门、国家有关部委，全力争取示范区在国家政策层面改革创新、先行先试，持续获得国家政策支持，构建示范区政策支撑体系。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1.围绕破解阻碍生命健康产业的发展掣肘，加大政策创新力度。</w:t>
            </w:r>
          </w:p>
          <w:p>
            <w:pPr>
              <w:pStyle w:val="12"/>
            </w:pPr>
            <w:r>
              <w:t>2.研究制定示范区支持政策，对接省直相关部门、国家有关部委，全力争取示范区在国家政策层面改革创新、先行先试，</w:t>
            </w:r>
          </w:p>
          <w:p>
            <w:pPr>
              <w:pStyle w:val="12"/>
            </w:pPr>
            <w:r>
              <w:t>持续获得国家政策支持，构建示范区政策支撑体系。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论文、研究报告数量</w:t>
            </w:r>
          </w:p>
        </w:tc>
        <w:tc>
          <w:tcPr>
            <w:tcW w:w="5386" w:type="dxa"/>
            <w:vAlign w:val="center"/>
          </w:tcPr>
          <w:p>
            <w:pPr>
              <w:pStyle w:val="12"/>
            </w:pPr>
            <w:r>
              <w:t>研究制定争取政策数量</w:t>
            </w:r>
          </w:p>
        </w:tc>
        <w:tc>
          <w:tcPr>
            <w:tcW w:w="2268" w:type="dxa"/>
            <w:vAlign w:val="center"/>
          </w:tcPr>
          <w:p>
            <w:pPr>
              <w:pStyle w:val="12"/>
            </w:pPr>
            <w:r>
              <w:t>≥3个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争取各种支持示范区建设的政策</w:t>
            </w:r>
          </w:p>
        </w:tc>
        <w:tc>
          <w:tcPr>
            <w:tcW w:w="5386" w:type="dxa"/>
            <w:vAlign w:val="center"/>
          </w:tcPr>
          <w:p>
            <w:pPr>
              <w:pStyle w:val="12"/>
            </w:pPr>
            <w:r>
              <w:t>着眼示范区目前发展现状，研究制定支持和促进旅游、康养等产业发展政策措施</w:t>
            </w:r>
          </w:p>
        </w:tc>
        <w:tc>
          <w:tcPr>
            <w:tcW w:w="2268" w:type="dxa"/>
            <w:vAlign w:val="center"/>
          </w:tcPr>
          <w:p>
            <w:pPr>
              <w:pStyle w:val="12"/>
            </w:pPr>
            <w:r>
              <w:t>持续获得国家政策支持，构建示范区政策支撑体系</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争取相关政策</w:t>
            </w:r>
          </w:p>
        </w:tc>
        <w:tc>
          <w:tcPr>
            <w:tcW w:w="5386" w:type="dxa"/>
            <w:vAlign w:val="center"/>
          </w:tcPr>
          <w:p>
            <w:pPr>
              <w:pStyle w:val="12"/>
            </w:pPr>
            <w:r>
              <w:t>借助政策优势引入企业、项目数量</w:t>
            </w:r>
          </w:p>
        </w:tc>
        <w:tc>
          <w:tcPr>
            <w:tcW w:w="2268" w:type="dxa"/>
            <w:vAlign w:val="center"/>
          </w:tcPr>
          <w:p>
            <w:pPr>
              <w:pStyle w:val="12"/>
            </w:pPr>
            <w:r>
              <w:t>加大政策创新力度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调研成本</w:t>
            </w:r>
          </w:p>
        </w:tc>
        <w:tc>
          <w:tcPr>
            <w:tcW w:w="5386" w:type="dxa"/>
            <w:vAlign w:val="center"/>
          </w:tcPr>
          <w:p>
            <w:pPr>
              <w:pStyle w:val="12"/>
            </w:pPr>
            <w:r>
              <w:t>形成调研报告</w:t>
            </w:r>
          </w:p>
        </w:tc>
        <w:tc>
          <w:tcPr>
            <w:tcW w:w="2268" w:type="dxa"/>
            <w:vAlign w:val="center"/>
          </w:tcPr>
          <w:p>
            <w:pPr>
              <w:pStyle w:val="12"/>
            </w:pPr>
            <w:r>
              <w:t>≥2个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示范带动作用</w:t>
            </w:r>
          </w:p>
        </w:tc>
        <w:tc>
          <w:tcPr>
            <w:tcW w:w="5386" w:type="dxa"/>
            <w:vAlign w:val="center"/>
          </w:tcPr>
          <w:p>
            <w:pPr>
              <w:pStyle w:val="12"/>
            </w:pPr>
            <w:r>
              <w:t>示范带动作用</w:t>
            </w:r>
          </w:p>
        </w:tc>
        <w:tc>
          <w:tcPr>
            <w:tcW w:w="2268" w:type="dxa"/>
            <w:vAlign w:val="center"/>
          </w:tcPr>
          <w:p>
            <w:pPr>
              <w:pStyle w:val="12"/>
            </w:pPr>
            <w:r>
              <w:t>推动现有旅游康养产业提档升级，实现经济快速增长。</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通过政策优势引进项目</w:t>
            </w:r>
          </w:p>
        </w:tc>
        <w:tc>
          <w:tcPr>
            <w:tcW w:w="5386" w:type="dxa"/>
            <w:vAlign w:val="center"/>
          </w:tcPr>
          <w:p>
            <w:pPr>
              <w:pStyle w:val="12"/>
            </w:pPr>
            <w:r>
              <w:t>加大政策创新力度，借助政策优势引进优质项目</w:t>
            </w:r>
          </w:p>
        </w:tc>
        <w:tc>
          <w:tcPr>
            <w:tcW w:w="2268" w:type="dxa"/>
            <w:vAlign w:val="center"/>
          </w:tcPr>
          <w:p>
            <w:pPr>
              <w:pStyle w:val="12"/>
            </w:pPr>
            <w:r>
              <w:t>推动现有旅游康养产业提档升级，实现经济快速增长。</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满意程度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3、京津冀康养旅居学术交流会资金绩效目标表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13031326P000010100755</w:t>
            </w:r>
          </w:p>
        </w:tc>
        <w:tc>
          <w:tcPr>
            <w:tcW w:w="2835" w:type="dxa"/>
            <w:vAlign w:val="center"/>
          </w:tcPr>
          <w:p>
            <w:pPr>
              <w:pStyle w:val="10"/>
            </w:pPr>
            <w:r>
              <w:t>项目名称</w:t>
            </w:r>
          </w:p>
        </w:tc>
        <w:tc>
          <w:tcPr>
            <w:tcW w:w="6095" w:type="dxa"/>
            <w:gridSpan w:val="3"/>
            <w:vAlign w:val="center"/>
          </w:tcPr>
          <w:p>
            <w:pPr>
              <w:pStyle w:val="12"/>
            </w:pPr>
            <w:r>
              <w:t>京津冀康养旅居学术交流会资金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17.72</w:t>
            </w:r>
          </w:p>
        </w:tc>
        <w:tc>
          <w:tcPr>
            <w:tcW w:w="2835" w:type="dxa"/>
            <w:vAlign w:val="center"/>
          </w:tcPr>
          <w:p>
            <w:pPr>
              <w:pStyle w:val="10"/>
            </w:pPr>
            <w:r>
              <w:t>其中：财政    资金</w:t>
            </w:r>
          </w:p>
        </w:tc>
        <w:tc>
          <w:tcPr>
            <w:tcW w:w="2551" w:type="dxa"/>
            <w:vAlign w:val="center"/>
          </w:tcPr>
          <w:p>
            <w:pPr>
              <w:pStyle w:val="12"/>
            </w:pPr>
            <w:r>
              <w:t>17.72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用于京津冀康养旅居学术交流会资金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1.成功举办京津冀康养旅居学术交流会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成立委员会数量</w:t>
            </w:r>
          </w:p>
        </w:tc>
        <w:tc>
          <w:tcPr>
            <w:tcW w:w="5386" w:type="dxa"/>
            <w:vAlign w:val="center"/>
          </w:tcPr>
          <w:p>
            <w:pPr>
              <w:pStyle w:val="12"/>
            </w:pPr>
            <w:r>
              <w:t>成立委员会数量</w:t>
            </w:r>
          </w:p>
        </w:tc>
        <w:tc>
          <w:tcPr>
            <w:tcW w:w="2268" w:type="dxa"/>
            <w:vAlign w:val="center"/>
          </w:tcPr>
          <w:p>
            <w:pPr>
              <w:pStyle w:val="12"/>
            </w:pPr>
            <w:r>
              <w:t>1</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委员会覆盖率</w:t>
            </w:r>
          </w:p>
        </w:tc>
        <w:tc>
          <w:tcPr>
            <w:tcW w:w="5386" w:type="dxa"/>
            <w:vAlign w:val="center"/>
          </w:tcPr>
          <w:p>
            <w:pPr>
              <w:pStyle w:val="12"/>
            </w:pPr>
            <w:r>
              <w:t>委员会成本覆盖率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委员会完成及时率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委员会合格率</w:t>
            </w:r>
          </w:p>
        </w:tc>
        <w:tc>
          <w:tcPr>
            <w:tcW w:w="5386" w:type="dxa"/>
            <w:vAlign w:val="center"/>
          </w:tcPr>
          <w:p>
            <w:pPr>
              <w:pStyle w:val="12"/>
            </w:pPr>
            <w:r>
              <w:t>委员会合格率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委员会普及率</w:t>
            </w:r>
          </w:p>
        </w:tc>
        <w:tc>
          <w:tcPr>
            <w:tcW w:w="5386" w:type="dxa"/>
            <w:vAlign w:val="center"/>
          </w:tcPr>
          <w:p>
            <w:pPr>
              <w:pStyle w:val="12"/>
            </w:pPr>
            <w:r>
              <w:t>委员会普及率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新区生态质量</w:t>
            </w:r>
          </w:p>
        </w:tc>
        <w:tc>
          <w:tcPr>
            <w:tcW w:w="5386" w:type="dxa"/>
            <w:vAlign w:val="center"/>
          </w:tcPr>
          <w:p>
            <w:pPr>
              <w:pStyle w:val="12"/>
            </w:pPr>
            <w:r>
              <w:t>改善质量</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带动新区经济发展</w:t>
            </w:r>
          </w:p>
        </w:tc>
        <w:tc>
          <w:tcPr>
            <w:tcW w:w="5386" w:type="dxa"/>
            <w:vAlign w:val="center"/>
          </w:tcPr>
          <w:p>
            <w:pPr>
              <w:pStyle w:val="12"/>
            </w:pPr>
            <w:r>
              <w:t>带动新区经济发展</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长效机制建立</w:t>
            </w:r>
          </w:p>
        </w:tc>
        <w:tc>
          <w:tcPr>
            <w:tcW w:w="5386" w:type="dxa"/>
            <w:vAlign w:val="center"/>
          </w:tcPr>
          <w:p>
            <w:pPr>
              <w:pStyle w:val="12"/>
            </w:pPr>
            <w:r>
              <w:t>委员会后续影响情况</w:t>
            </w:r>
          </w:p>
        </w:tc>
        <w:tc>
          <w:tcPr>
            <w:tcW w:w="2268" w:type="dxa"/>
            <w:vAlign w:val="center"/>
          </w:tcPr>
          <w:p>
            <w:pPr>
              <w:pStyle w:val="12"/>
            </w:pPr>
            <w:r>
              <w:t>基本建立</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901001秦皇岛北戴河新区政策研究室本级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秦皇岛北戴河新区政策研究室本级上年末固定资产金额为</w:t>
      </w:r>
      <w:r>
        <w:rPr>
          <w:rFonts w:hint="eastAsia" w:eastAsia="方正仿宋_GBK" w:cs="Times New Roman"/>
          <w:b w:val="0"/>
          <w:color w:val="000000"/>
          <w:sz w:val="28"/>
          <w:lang w:val="en-US" w:eastAsia="zh-CN"/>
        </w:rPr>
        <w:t>1.7</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spacing w:before="0" w:after="0"/>
              <w:ind w:firstLine="0"/>
              <w:jc w:val="left"/>
              <w:outlineLvl w:val="9"/>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901秦皇岛北戴河新区政策研究室</w:t>
            </w:r>
          </w:p>
        </w:tc>
        <w:tc>
          <w:tcPr>
            <w:tcW w:w="5670" w:type="dxa"/>
            <w:gridSpan w:val="2"/>
            <w:tcBorders>
              <w:top w:val="single" w:color="FFFFFF" w:sz="6" w:space="0"/>
              <w:left w:val="single" w:color="FFFFFF" w:sz="6" w:space="0"/>
              <w:right w:val="single" w:color="FFFFFF" w:sz="6" w:space="0"/>
            </w:tcBorders>
            <w:vAlign w:val="center"/>
          </w:tcPr>
          <w:p>
            <w:pPr>
              <w:spacing w:before="0" w:after="0"/>
              <w:ind w:firstLine="0"/>
              <w:jc w:val="right"/>
              <w:outlineLvl w:val="9"/>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截止时间：202</w:t>
            </w:r>
            <w:r>
              <w:rPr>
                <w:rFonts w:hint="eastAsia" w:ascii="方正小标宋_GBK" w:hAnsi="方正小标宋_GBK" w:eastAsia="方正小标宋_GBK" w:cs="方正小标宋_GBK"/>
                <w:sz w:val="24"/>
                <w:szCs w:val="24"/>
                <w:lang w:val="en-US" w:eastAsia="zh-CN" w:bidi="ar-SA"/>
              </w:rPr>
              <w:t>5</w:t>
            </w:r>
            <w:r>
              <w:rPr>
                <w:rFonts w:ascii="方正小标宋_GBK" w:hAnsi="方正小标宋_GBK" w:eastAsia="方正小标宋_GBK" w:cs="方正小标宋_GBK"/>
                <w:sz w:val="24"/>
                <w:szCs w:val="24"/>
                <w:lang w:val="en-US" w:eastAsia="uk-UA" w:bidi="ar-SA"/>
              </w:rPr>
              <w:t>-12-31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   目</w:t>
            </w:r>
          </w:p>
        </w:tc>
        <w:tc>
          <w:tcPr>
            <w:tcW w:w="2835" w:type="dxa"/>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数量</w:t>
            </w:r>
          </w:p>
        </w:tc>
        <w:tc>
          <w:tcPr>
            <w:tcW w:w="2835" w:type="dxa"/>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资产总额</w:t>
            </w:r>
          </w:p>
        </w:tc>
        <w:tc>
          <w:tcPr>
            <w:tcW w:w="2835" w:type="dxa"/>
            <w:vAlign w:val="center"/>
          </w:tcPr>
          <w:p>
            <w:pPr>
              <w:spacing w:before="0" w:after="0"/>
              <w:ind w:firstLine="0"/>
              <w:jc w:val="center"/>
              <w:outlineLvl w:val="9"/>
              <w:rPr>
                <w:rFonts w:ascii="方正书宋_GBK" w:hAnsi="方正书宋_GBK" w:eastAsia="方正书宋_GBK" w:cs="方正书宋_GBK"/>
                <w:sz w:val="21"/>
                <w:szCs w:val="24"/>
                <w:lang w:val="en-US" w:eastAsia="uk-UA" w:bidi="ar-SA"/>
              </w:rPr>
            </w:pPr>
          </w:p>
        </w:tc>
        <w:tc>
          <w:tcPr>
            <w:tcW w:w="2835" w:type="dxa"/>
            <w:vAlign w:val="center"/>
          </w:tcPr>
          <w:p>
            <w:pPr>
              <w:spacing w:before="0" w:after="0"/>
              <w:ind w:firstLine="0"/>
              <w:jc w:val="right"/>
              <w:outlineLvl w:val="9"/>
              <w:rPr>
                <w:rFonts w:hint="default"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1、房屋（平方米）</w:t>
            </w:r>
          </w:p>
        </w:tc>
        <w:tc>
          <w:tcPr>
            <w:tcW w:w="2835" w:type="dxa"/>
            <w:vAlign w:val="center"/>
          </w:tcPr>
          <w:p>
            <w:pPr>
              <w:spacing w:before="0" w:after="0"/>
              <w:ind w:firstLine="0"/>
              <w:jc w:val="center"/>
              <w:outlineLvl w:val="9"/>
              <w:rPr>
                <w:rFonts w:ascii="方正书宋_GBK" w:hAnsi="方正书宋_GBK" w:eastAsia="方正书宋_GBK" w:cs="方正书宋_GBK"/>
                <w:sz w:val="21"/>
                <w:szCs w:val="24"/>
                <w:lang w:val="en-US" w:eastAsia="uk-UA" w:bidi="ar-SA"/>
              </w:rPr>
            </w:pPr>
          </w:p>
        </w:tc>
        <w:tc>
          <w:tcPr>
            <w:tcW w:w="2835" w:type="dxa"/>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其中：办公用房（平方米）</w:t>
            </w:r>
          </w:p>
        </w:tc>
        <w:tc>
          <w:tcPr>
            <w:tcW w:w="2835" w:type="dxa"/>
            <w:vAlign w:val="center"/>
          </w:tcPr>
          <w:p>
            <w:pPr>
              <w:spacing w:before="0" w:after="0"/>
              <w:ind w:firstLine="0"/>
              <w:jc w:val="center"/>
              <w:outlineLvl w:val="9"/>
              <w:rPr>
                <w:rFonts w:ascii="方正书宋_GBK" w:hAnsi="方正书宋_GBK" w:eastAsia="方正书宋_GBK" w:cs="方正书宋_GBK"/>
                <w:sz w:val="21"/>
                <w:szCs w:val="24"/>
                <w:lang w:val="en-US" w:eastAsia="uk-UA" w:bidi="ar-SA"/>
              </w:rPr>
            </w:pPr>
          </w:p>
        </w:tc>
        <w:tc>
          <w:tcPr>
            <w:tcW w:w="2835" w:type="dxa"/>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2、车辆（台、辆）</w:t>
            </w:r>
          </w:p>
        </w:tc>
        <w:tc>
          <w:tcPr>
            <w:tcW w:w="2835" w:type="dxa"/>
            <w:vAlign w:val="center"/>
          </w:tcPr>
          <w:p>
            <w:pPr>
              <w:spacing w:before="0" w:after="0"/>
              <w:ind w:firstLine="0"/>
              <w:jc w:val="center"/>
              <w:outlineLvl w:val="9"/>
              <w:rPr>
                <w:rFonts w:ascii="方正书宋_GBK" w:hAnsi="方正书宋_GBK" w:eastAsia="方正书宋_GBK" w:cs="方正书宋_GBK"/>
                <w:sz w:val="21"/>
                <w:szCs w:val="24"/>
                <w:lang w:val="en-US" w:eastAsia="uk-UA" w:bidi="ar-SA"/>
              </w:rPr>
            </w:pPr>
          </w:p>
        </w:tc>
        <w:tc>
          <w:tcPr>
            <w:tcW w:w="2835" w:type="dxa"/>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3、单价在20万元以上的设备</w:t>
            </w:r>
          </w:p>
        </w:tc>
        <w:tc>
          <w:tcPr>
            <w:tcW w:w="2835" w:type="dxa"/>
            <w:vAlign w:val="center"/>
          </w:tcPr>
          <w:p>
            <w:pPr>
              <w:spacing w:before="0" w:after="0"/>
              <w:ind w:firstLine="0"/>
              <w:jc w:val="center"/>
              <w:outlineLvl w:val="9"/>
              <w:rPr>
                <w:rFonts w:ascii="方正书宋_GBK" w:hAnsi="方正书宋_GBK" w:eastAsia="方正书宋_GBK" w:cs="方正书宋_GBK"/>
                <w:sz w:val="21"/>
                <w:szCs w:val="24"/>
                <w:lang w:val="en-US" w:eastAsia="uk-UA" w:bidi="ar-SA"/>
              </w:rPr>
            </w:pPr>
          </w:p>
        </w:tc>
        <w:tc>
          <w:tcPr>
            <w:tcW w:w="2835" w:type="dxa"/>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4、其他固定资产</w:t>
            </w:r>
          </w:p>
        </w:tc>
        <w:tc>
          <w:tcPr>
            <w:tcW w:w="2835" w:type="dxa"/>
            <w:vAlign w:val="center"/>
          </w:tcPr>
          <w:p>
            <w:pPr>
              <w:spacing w:before="0" w:after="0"/>
              <w:ind w:firstLine="0"/>
              <w:jc w:val="center"/>
              <w:outlineLvl w:val="9"/>
              <w:rPr>
                <w:rFonts w:ascii="方正书宋_GBK" w:hAnsi="方正书宋_GBK" w:eastAsia="方正书宋_GBK" w:cs="方正书宋_GBK"/>
                <w:sz w:val="21"/>
                <w:szCs w:val="24"/>
                <w:lang w:val="en-US" w:eastAsia="uk-UA" w:bidi="ar-SA"/>
              </w:rPr>
            </w:pPr>
          </w:p>
        </w:tc>
        <w:tc>
          <w:tcPr>
            <w:tcW w:w="2835" w:type="dxa"/>
            <w:vAlign w:val="center"/>
          </w:tcPr>
          <w:p>
            <w:pPr>
              <w:spacing w:before="0" w:after="0"/>
              <w:ind w:firstLine="0"/>
              <w:jc w:val="right"/>
              <w:outlineLvl w:val="9"/>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1.7</w:t>
            </w:r>
          </w:p>
        </w:tc>
      </w:tr>
    </w:tbl>
    <w:p>
      <w:pPr>
        <w:spacing w:before="0" w:after="0"/>
        <w:ind w:firstLine="640"/>
        <w:jc w:val="left"/>
        <w:outlineLvl w:val="9"/>
      </w:pPr>
      <w:bookmarkStart w:id="1" w:name="_GoBack"/>
      <w:bookmarkEnd w:id="1"/>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6180102"/>
    <w:rsid w:val="69D97D9A"/>
    <w:rsid w:val="75132F1D"/>
    <w:rsid w:val="7DAB6A1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TotalTime>2</TotalTime>
  <ScaleCrop>false</ScaleCrop>
  <LinksUpToDate>false</LinksUpToDate>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2026-03-09T15:34:00Z</dcterms:created>
  <dc:creator>Administrator</dc:creator>
  <cp:lastModifiedBy>XQZW</cp:lastModifiedBy>
  <dcterms:modified xsi:type="dcterms:W3CDTF">2026-03-16T06:17:06Z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