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北戴河新区</w:t>
      </w:r>
    </w:p>
    <w:p>
      <w:pPr>
        <w:spacing w:line="700" w:lineRule="exact"/>
        <w:jc w:val="center"/>
        <w:rPr>
          <w:rFonts w:hint="eastAsia" w:eastAsia="方正小标宋简体"/>
          <w:color w:val="000000"/>
          <w:sz w:val="44"/>
          <w:szCs w:val="44"/>
        </w:rPr>
      </w:pPr>
      <w:r>
        <w:rPr>
          <w:rFonts w:eastAsia="方正小标宋简体"/>
          <w:b w:val="0"/>
          <w:bCs w:val="0"/>
          <w:color w:val="000000"/>
          <w:sz w:val="44"/>
          <w:szCs w:val="44"/>
        </w:rPr>
        <w:t>关于</w:t>
      </w:r>
      <w:r>
        <w:rPr>
          <w:rFonts w:eastAsia="方正小标宋简体"/>
          <w:color w:val="000000"/>
          <w:sz w:val="44"/>
          <w:szCs w:val="44"/>
        </w:rPr>
        <w:t>2025年预算执行及2026年</w:t>
      </w:r>
    </w:p>
    <w:p>
      <w:pPr>
        <w:spacing w:line="7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预算草案的说明</w:t>
      </w:r>
    </w:p>
    <w:bookmarkEnd w:id="0"/>
    <w:p>
      <w:pPr>
        <w:spacing w:line="560" w:lineRule="exact"/>
        <w:ind w:firstLine="640" w:firstLineChars="200"/>
        <w:rPr>
          <w:rFonts w:ascii="黑体" w:eastAsia="黑体"/>
          <w:color w:val="000000"/>
          <w:sz w:val="32"/>
          <w:szCs w:val="32"/>
        </w:rPr>
      </w:pPr>
    </w:p>
    <w:p>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一、</w:t>
      </w:r>
      <w:r>
        <w:rPr>
          <w:rFonts w:hint="eastAsia" w:eastAsia="黑体"/>
          <w:color w:val="000000"/>
          <w:sz w:val="32"/>
          <w:szCs w:val="32"/>
        </w:rPr>
        <w:t>2025</w:t>
      </w:r>
      <w:r>
        <w:rPr>
          <w:rFonts w:hint="eastAsia" w:ascii="黑体" w:eastAsia="黑体"/>
          <w:color w:val="000000"/>
          <w:sz w:val="32"/>
          <w:szCs w:val="32"/>
        </w:rPr>
        <w:t>年预算执行情况</w:t>
      </w:r>
    </w:p>
    <w:p>
      <w:pPr>
        <w:spacing w:line="560" w:lineRule="exact"/>
        <w:ind w:firstLine="640" w:firstLineChars="200"/>
        <w:rPr>
          <w:rFonts w:ascii="楷体_GB2312" w:eastAsia="方正楷体简体"/>
          <w:bCs/>
          <w:color w:val="000000"/>
          <w:sz w:val="32"/>
          <w:szCs w:val="32"/>
        </w:rPr>
      </w:pPr>
      <w:r>
        <w:rPr>
          <w:rFonts w:hint="eastAsia" w:ascii="楷体_GB2312" w:eastAsia="方正楷体简体"/>
          <w:bCs/>
          <w:color w:val="000000"/>
          <w:sz w:val="32"/>
          <w:szCs w:val="32"/>
        </w:rPr>
        <w:t>（一）预算执行基本情况</w:t>
      </w:r>
    </w:p>
    <w:p>
      <w:pPr>
        <w:spacing w:line="560" w:lineRule="exact"/>
        <w:ind w:firstLine="640" w:firstLineChars="200"/>
        <w:rPr>
          <w:rFonts w:eastAsia="方正仿宋_GBK"/>
          <w:color w:val="000000"/>
          <w:sz w:val="32"/>
          <w:szCs w:val="32"/>
        </w:rPr>
      </w:pPr>
      <w:r>
        <w:rPr>
          <w:rFonts w:eastAsia="方正仿宋_GBK"/>
          <w:b/>
          <w:color w:val="000000"/>
          <w:sz w:val="32"/>
          <w:szCs w:val="32"/>
        </w:rPr>
        <w:t>1．一般公共预算完成情况。</w:t>
      </w:r>
      <w:r>
        <w:rPr>
          <w:rFonts w:eastAsia="方正仿宋_GBK"/>
          <w:color w:val="000000"/>
          <w:sz w:val="32"/>
          <w:szCs w:val="32"/>
        </w:rPr>
        <w:t>一般公共预算收入8.08亿元，完成预算的74.3%，下降23.4%</w:t>
      </w:r>
      <w:r>
        <w:rPr>
          <w:rFonts w:hint="eastAsia" w:eastAsia="方正仿宋_GBK"/>
          <w:color w:val="000000"/>
          <w:sz w:val="32"/>
          <w:szCs w:val="32"/>
        </w:rPr>
        <w:t>；</w:t>
      </w:r>
      <w:r>
        <w:rPr>
          <w:rFonts w:eastAsia="方正仿宋_GBK"/>
          <w:color w:val="000000"/>
          <w:sz w:val="32"/>
          <w:szCs w:val="32"/>
        </w:rPr>
        <w:t>一般公共预算支出18.74亿元，占预算的</w:t>
      </w:r>
      <w:r>
        <w:rPr>
          <w:rFonts w:hint="eastAsia" w:eastAsia="方正仿宋_GBK"/>
          <w:color w:val="000000"/>
          <w:sz w:val="32"/>
          <w:szCs w:val="32"/>
        </w:rPr>
        <w:t>68.8</w:t>
      </w:r>
      <w:r>
        <w:rPr>
          <w:rFonts w:eastAsia="方正仿宋_GBK"/>
          <w:color w:val="000000"/>
          <w:sz w:val="32"/>
          <w:szCs w:val="32"/>
        </w:rPr>
        <w:t>%，</w:t>
      </w:r>
      <w:r>
        <w:rPr>
          <w:rFonts w:hint="eastAsia" w:eastAsia="方正仿宋_GBK"/>
          <w:color w:val="000000"/>
          <w:sz w:val="32"/>
          <w:szCs w:val="32"/>
        </w:rPr>
        <w:t>增长</w:t>
      </w:r>
      <w:r>
        <w:rPr>
          <w:rFonts w:eastAsia="方正仿宋_GBK"/>
          <w:color w:val="000000"/>
          <w:sz w:val="32"/>
          <w:szCs w:val="32"/>
        </w:rPr>
        <w:t>15.1%。</w:t>
      </w:r>
    </w:p>
    <w:p>
      <w:pPr>
        <w:spacing w:line="560" w:lineRule="exact"/>
        <w:ind w:firstLine="640" w:firstLineChars="200"/>
        <w:rPr>
          <w:rFonts w:eastAsia="方正仿宋_GBK"/>
          <w:color w:val="000000"/>
          <w:sz w:val="32"/>
          <w:szCs w:val="32"/>
        </w:rPr>
      </w:pPr>
      <w:r>
        <w:rPr>
          <w:rFonts w:hint="eastAsia" w:eastAsia="方正仿宋_GBK"/>
          <w:b/>
          <w:color w:val="000000"/>
          <w:sz w:val="32"/>
          <w:szCs w:val="32"/>
        </w:rPr>
        <w:t>2．政府性基金预算完成情况。</w:t>
      </w:r>
      <w:r>
        <w:rPr>
          <w:rFonts w:hint="eastAsia" w:eastAsia="方正仿宋_GBK"/>
          <w:color w:val="000000"/>
          <w:sz w:val="32"/>
          <w:szCs w:val="32"/>
        </w:rPr>
        <w:t>政府性基金收入2.87亿元，完成</w:t>
      </w:r>
      <w:r>
        <w:rPr>
          <w:rFonts w:eastAsia="方正仿宋_GBK"/>
          <w:color w:val="000000"/>
          <w:sz w:val="32"/>
          <w:szCs w:val="32"/>
        </w:rPr>
        <w:t>预算的14.3%，同比下降20.1%，</w:t>
      </w:r>
      <w:r>
        <w:rPr>
          <w:rFonts w:hint="eastAsia" w:eastAsia="方正仿宋_GBK"/>
          <w:color w:val="000000"/>
          <w:sz w:val="32"/>
          <w:szCs w:val="32"/>
        </w:rPr>
        <w:t>其中：国有土地使用权出让收入2.7亿元；支出6.02亿元，占预算的27.1%，下降33.1%。</w:t>
      </w:r>
    </w:p>
    <w:p>
      <w:pPr>
        <w:spacing w:line="560" w:lineRule="exact"/>
        <w:ind w:firstLine="640" w:firstLineChars="200"/>
        <w:rPr>
          <w:rFonts w:eastAsia="方正仿宋_GBK"/>
          <w:color w:val="000000"/>
          <w:sz w:val="32"/>
          <w:szCs w:val="32"/>
        </w:rPr>
      </w:pPr>
      <w:r>
        <w:rPr>
          <w:rFonts w:hint="eastAsia" w:eastAsia="方正仿宋_GBK"/>
          <w:b/>
          <w:color w:val="000000"/>
          <w:sz w:val="32"/>
          <w:szCs w:val="32"/>
        </w:rPr>
        <w:t>3．社会保险基金预算完成情况。</w:t>
      </w:r>
      <w:r>
        <w:rPr>
          <w:rFonts w:hint="eastAsia" w:eastAsia="方正仿宋_GBK"/>
          <w:color w:val="000000"/>
          <w:sz w:val="32"/>
          <w:szCs w:val="32"/>
        </w:rPr>
        <w:t>社会保险基金收入1.28亿元（含城乡居民养老保险、机关事业养老保险），减少22.81%；支出1.16亿元，增长13.42%。收支相抵，年末滚存结余1.62亿元。</w:t>
      </w:r>
    </w:p>
    <w:p>
      <w:pPr>
        <w:spacing w:line="560" w:lineRule="exact"/>
        <w:ind w:firstLine="640" w:firstLineChars="200"/>
        <w:rPr>
          <w:rFonts w:eastAsia="方正仿宋_GBK"/>
          <w:color w:val="000000"/>
          <w:sz w:val="32"/>
          <w:szCs w:val="32"/>
        </w:rPr>
      </w:pPr>
      <w:r>
        <w:rPr>
          <w:rFonts w:eastAsia="方正仿宋_GBK"/>
          <w:b/>
          <w:color w:val="000000"/>
          <w:sz w:val="32"/>
          <w:szCs w:val="32"/>
        </w:rPr>
        <w:t>4</w:t>
      </w:r>
      <w:r>
        <w:rPr>
          <w:rFonts w:hint="eastAsia" w:eastAsia="方正仿宋_GBK"/>
          <w:b/>
          <w:color w:val="000000"/>
          <w:sz w:val="32"/>
          <w:szCs w:val="32"/>
        </w:rPr>
        <w:t>．</w:t>
      </w:r>
      <w:r>
        <w:rPr>
          <w:rFonts w:eastAsia="方正仿宋_GBK"/>
          <w:b/>
          <w:color w:val="000000"/>
          <w:sz w:val="32"/>
          <w:szCs w:val="32"/>
        </w:rPr>
        <w:t>政府债务预算执行情况。</w:t>
      </w:r>
      <w:r>
        <w:rPr>
          <w:rFonts w:hint="eastAsia" w:eastAsia="方正仿宋_GBK"/>
          <w:color w:val="000000"/>
          <w:sz w:val="32"/>
          <w:szCs w:val="32"/>
        </w:rPr>
        <w:t>新增政府债务限额18.99亿元，其中：一般债务限额0.7亿元，专项债务限额18.29亿元。</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争取政府一般债券资金0.7亿元，主要用于七里海片区电力配套工程项目、洋河北岸规划路配套电力项目、秦皇岛北戴河新区洋河三街市政道路工程等项目以及用于解决政府拖欠账款。争取政府专项债券资金18.29亿元，主要用于北戴河新区医疗产业园区基础设施配套建设项目、北戴河新区保障性租赁住房项目、北戴河新区京东研发产业园区基础设施配套建设项目（二期）等项目以及化解存量债务和用于解决政府拖欠账款。</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偿还政府债务本金2.71亿元，其中：一般债务0.31亿元（使用一般财力偿还0.1亿元，发行再融资债券偿还0.21亿元）；专项债务2.4亿元（发行再融资债券偿还2.16亿元，使用相应的政府性基金收入偿还0.24亿元）。政府债务付息2.18亿元。债务风险总体可控。</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截至2025年底，政府债务限额94.32亿元，其中：一般债务限额21.29亿元，专项债务限额73.03亿元。政府债务余额90.85亿元，其中：一般债务余额19.17亿元，专项债务余额71.68亿元。</w:t>
      </w:r>
    </w:p>
    <w:p>
      <w:pPr>
        <w:spacing w:line="560" w:lineRule="exact"/>
        <w:ind w:firstLine="640" w:firstLineChars="200"/>
        <w:rPr>
          <w:rFonts w:ascii="楷体_GB2312" w:eastAsia="方正楷体简体"/>
          <w:bCs/>
          <w:color w:val="000000"/>
          <w:sz w:val="32"/>
          <w:szCs w:val="32"/>
        </w:rPr>
      </w:pPr>
      <w:r>
        <w:rPr>
          <w:rFonts w:ascii="楷体_GB2312" w:eastAsia="方正楷体简体"/>
          <w:bCs/>
          <w:color w:val="000000"/>
          <w:sz w:val="32"/>
          <w:szCs w:val="32"/>
        </w:rPr>
        <w:t>（二）落实市人大决议和重点工作开展情况</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一年来，北戴河新区认真贯彻预算法及其实施条例、人大预算审查监督重点向支出预算和政策拓展的要求，</w:t>
      </w:r>
      <w:r>
        <w:rPr>
          <w:rFonts w:eastAsia="方正仿宋_GBK"/>
          <w:color w:val="000000"/>
          <w:sz w:val="32"/>
          <w:szCs w:val="32"/>
        </w:rPr>
        <w:t>紧紧围绕</w:t>
      </w:r>
      <w:r>
        <w:rPr>
          <w:rFonts w:hint="eastAsia" w:eastAsia="方正仿宋_GBK"/>
          <w:color w:val="000000"/>
          <w:sz w:val="32"/>
          <w:szCs w:val="32"/>
        </w:rPr>
        <w:t>工管委</w:t>
      </w:r>
      <w:r>
        <w:rPr>
          <w:rFonts w:eastAsia="方正仿宋_GBK"/>
          <w:color w:val="000000"/>
          <w:sz w:val="32"/>
          <w:szCs w:val="32"/>
        </w:rPr>
        <w:t>决策部署和</w:t>
      </w:r>
      <w:r>
        <w:rPr>
          <w:rFonts w:hint="eastAsia" w:eastAsia="方正仿宋_GBK"/>
          <w:color w:val="000000"/>
          <w:sz w:val="32"/>
          <w:szCs w:val="32"/>
        </w:rPr>
        <w:t>全年工作目标</w:t>
      </w:r>
      <w:r>
        <w:rPr>
          <w:rFonts w:eastAsia="方正仿宋_GBK"/>
          <w:color w:val="000000"/>
          <w:sz w:val="32"/>
          <w:szCs w:val="32"/>
        </w:rPr>
        <w:t>，</w:t>
      </w:r>
      <w:r>
        <w:rPr>
          <w:rFonts w:hint="eastAsia" w:eastAsia="方正仿宋_GBK"/>
          <w:color w:val="000000"/>
          <w:sz w:val="32"/>
          <w:szCs w:val="32"/>
        </w:rPr>
        <w:t>兜牢兜实“三保”底线</w:t>
      </w:r>
      <w:r>
        <w:rPr>
          <w:rFonts w:eastAsia="方正仿宋_GBK"/>
          <w:color w:val="000000"/>
          <w:sz w:val="32"/>
          <w:szCs w:val="32"/>
        </w:rPr>
        <w:t>，强化财政资源统筹，优化支出结构，有效防控财政风险，为</w:t>
      </w:r>
      <w:r>
        <w:rPr>
          <w:rFonts w:hint="eastAsia" w:eastAsia="方正仿宋_GBK"/>
          <w:color w:val="000000"/>
          <w:sz w:val="32"/>
          <w:szCs w:val="32"/>
        </w:rPr>
        <w:t>新区</w:t>
      </w:r>
      <w:r>
        <w:rPr>
          <w:rFonts w:eastAsia="方正仿宋_GBK"/>
          <w:color w:val="000000"/>
          <w:sz w:val="32"/>
          <w:szCs w:val="32"/>
        </w:rPr>
        <w:t>高质量发展提供坚实财政保障。</w:t>
      </w:r>
    </w:p>
    <w:p>
      <w:pPr>
        <w:adjustRightInd w:val="0"/>
        <w:snapToGrid w:val="0"/>
        <w:spacing w:line="560" w:lineRule="exact"/>
        <w:ind w:firstLine="640" w:firstLineChars="200"/>
        <w:rPr>
          <w:rFonts w:eastAsia="方正仿宋_GBK"/>
          <w:color w:val="000000"/>
          <w:sz w:val="32"/>
          <w:szCs w:val="32"/>
        </w:rPr>
      </w:pPr>
      <w:r>
        <w:rPr>
          <w:rFonts w:hint="eastAsia" w:eastAsia="方正仿宋_GBK"/>
          <w:b/>
          <w:color w:val="000000"/>
          <w:sz w:val="32"/>
          <w:szCs w:val="32"/>
        </w:rPr>
        <w:t>1.切实兜牢“三保”底线，保障财政平稳运行。</w:t>
      </w:r>
      <w:r>
        <w:rPr>
          <w:rFonts w:hint="eastAsia" w:eastAsia="方正仿宋_GBK"/>
          <w:color w:val="000000"/>
          <w:sz w:val="32"/>
          <w:szCs w:val="32"/>
        </w:rPr>
        <w:t>优先安排资</w:t>
      </w:r>
      <w:r>
        <w:rPr>
          <w:rFonts w:hint="eastAsia" w:eastAsia="方正仿宋_GBK"/>
          <w:color w:val="000000"/>
          <w:spacing w:val="-4"/>
          <w:sz w:val="32"/>
          <w:szCs w:val="32"/>
        </w:rPr>
        <w:t>金6.47亿元，兜牢“三保”及其他刚性支出底线，其中：“保工</w:t>
      </w:r>
      <w:r>
        <w:rPr>
          <w:rFonts w:hint="eastAsia" w:eastAsia="方正仿宋_GBK"/>
          <w:color w:val="000000"/>
          <w:spacing w:val="-2"/>
          <w:sz w:val="32"/>
          <w:szCs w:val="32"/>
        </w:rPr>
        <w:t>资”及其他编外人员经费支出4.98亿元，保障人员工资、津贴补贴按序时进度足额发放；“保基本民生”支出1.38亿元，保障教</w:t>
      </w:r>
      <w:r>
        <w:rPr>
          <w:rFonts w:hint="eastAsia" w:eastAsia="方正仿宋_GBK"/>
          <w:color w:val="000000"/>
          <w:sz w:val="32"/>
          <w:szCs w:val="32"/>
        </w:rPr>
        <w:t>育、社会保障、医疗等重点领域支出，村级支出、优抚对象补助</w:t>
      </w:r>
      <w:r>
        <w:rPr>
          <w:rFonts w:hint="eastAsia" w:eastAsia="方正仿宋_GBK"/>
          <w:color w:val="000000"/>
          <w:spacing w:val="-2"/>
          <w:sz w:val="32"/>
          <w:szCs w:val="32"/>
        </w:rPr>
        <w:t>资金以及各项民生政策落地落实；“保运转”支出0.11亿元，按</w:t>
      </w:r>
      <w:r>
        <w:rPr>
          <w:rFonts w:hint="eastAsia" w:eastAsia="方正仿宋_GBK"/>
          <w:color w:val="000000"/>
          <w:sz w:val="32"/>
          <w:szCs w:val="32"/>
        </w:rPr>
        <w:t>照上级贯彻落实习惯过紧日子要求，严格财政支出管理，提升预算约束刚性，压缩行政运行成本，统筹财力保障“三保”及刚性支出需求。</w:t>
      </w:r>
    </w:p>
    <w:p>
      <w:pPr>
        <w:spacing w:line="560" w:lineRule="exact"/>
        <w:ind w:firstLine="640" w:firstLineChars="200"/>
        <w:rPr>
          <w:rFonts w:eastAsia="方正仿宋_GBK"/>
          <w:color w:val="000000"/>
          <w:sz w:val="32"/>
          <w:szCs w:val="32"/>
        </w:rPr>
      </w:pPr>
      <w:r>
        <w:rPr>
          <w:rFonts w:hint="eastAsia" w:eastAsia="方正仿宋_GBK"/>
          <w:b/>
          <w:color w:val="000000"/>
          <w:sz w:val="32"/>
          <w:szCs w:val="32"/>
        </w:rPr>
        <w:t>2</w:t>
      </w:r>
      <w:r>
        <w:rPr>
          <w:rFonts w:hint="eastAsia" w:ascii="宋体" w:hAnsi="Courier New" w:eastAsia="方正仿宋_GBK" w:cs="Courier New"/>
          <w:b/>
          <w:color w:val="000000"/>
          <w:sz w:val="32"/>
          <w:szCs w:val="32"/>
        </w:rPr>
        <w:t>.</w:t>
      </w:r>
      <w:r>
        <w:rPr>
          <w:rFonts w:hint="eastAsia" w:eastAsia="方正仿宋_GBK"/>
          <w:b/>
          <w:color w:val="000000"/>
          <w:sz w:val="32"/>
          <w:szCs w:val="32"/>
        </w:rPr>
        <w:t>坚持保障改善民生，提升重点领域投入</w:t>
      </w:r>
      <w:r>
        <w:rPr>
          <w:rFonts w:hint="eastAsia" w:ascii="仿宋_GB2312" w:hAnsi="Courier New" w:eastAsia="方正仿宋_GBK" w:cs="Courier New"/>
          <w:b/>
          <w:color w:val="000000"/>
          <w:sz w:val="32"/>
          <w:szCs w:val="32"/>
        </w:rPr>
        <w:t>。</w:t>
      </w:r>
      <w:r>
        <w:rPr>
          <w:rFonts w:hint="eastAsia" w:eastAsia="方正仿宋_GBK"/>
          <w:color w:val="000000"/>
          <w:sz w:val="32"/>
          <w:szCs w:val="32"/>
        </w:rPr>
        <w:t>坚持以人民为中心的发展思想，持续加大民生及重点领域投入力度，有力保障了各项民生政策落实。</w:t>
      </w:r>
      <w:r>
        <w:rPr>
          <w:rFonts w:hint="eastAsia" w:eastAsia="方正仿宋_GBK"/>
          <w:b/>
          <w:bCs/>
          <w:color w:val="000000"/>
          <w:sz w:val="32"/>
          <w:szCs w:val="32"/>
        </w:rPr>
        <w:t>一是</w:t>
      </w:r>
      <w:r>
        <w:rPr>
          <w:rFonts w:hint="eastAsia" w:eastAsia="方正仿宋_GBK"/>
          <w:color w:val="000000"/>
          <w:sz w:val="32"/>
          <w:szCs w:val="32"/>
        </w:rPr>
        <w:t>保障教育经费支出，促进教育事业优先</w:t>
      </w:r>
      <w:r>
        <w:rPr>
          <w:rFonts w:hint="eastAsia" w:eastAsia="方正仿宋_GBK"/>
          <w:color w:val="000000"/>
          <w:spacing w:val="-2"/>
          <w:sz w:val="32"/>
          <w:szCs w:val="32"/>
        </w:rPr>
        <w:t>发展，教育支出0.85亿元，支持学前教育普惠发展，提升义务</w:t>
      </w:r>
      <w:r>
        <w:rPr>
          <w:rFonts w:hint="eastAsia" w:eastAsia="方正仿宋_GBK"/>
          <w:color w:val="000000"/>
          <w:sz w:val="32"/>
          <w:szCs w:val="32"/>
        </w:rPr>
        <w:t>教育保障力度，改善学校办学条件，有利保障各项教学工作开展。</w:t>
      </w:r>
      <w:r>
        <w:rPr>
          <w:rFonts w:hint="eastAsia" w:eastAsia="方正仿宋_GBK"/>
          <w:b/>
          <w:bCs/>
          <w:color w:val="000000"/>
          <w:sz w:val="32"/>
          <w:szCs w:val="32"/>
        </w:rPr>
        <w:t>二是</w:t>
      </w:r>
      <w:r>
        <w:rPr>
          <w:rFonts w:hint="eastAsia" w:eastAsia="方正仿宋_GBK"/>
          <w:color w:val="000000"/>
          <w:sz w:val="32"/>
          <w:szCs w:val="32"/>
        </w:rPr>
        <w:t>增强卫生健康保障力度，提升基本医疗保障水平，卫生健康</w:t>
      </w:r>
      <w:r>
        <w:rPr>
          <w:rFonts w:hint="eastAsia" w:eastAsia="方正仿宋_GBK"/>
          <w:color w:val="000000"/>
          <w:spacing w:val="-2"/>
          <w:sz w:val="32"/>
          <w:szCs w:val="32"/>
        </w:rPr>
        <w:t>支出2.41亿元，城乡居民医保财政补助标准、基本公共卫生人均</w:t>
      </w:r>
      <w:r>
        <w:rPr>
          <w:rFonts w:hint="eastAsia" w:eastAsia="方正仿宋_GBK"/>
          <w:color w:val="000000"/>
          <w:sz w:val="32"/>
          <w:szCs w:val="32"/>
        </w:rPr>
        <w:t>补助标准均按照国家标准足额保障，提升医疗服务与保障能力水平，加大基层卫生医疗机构补助资金投入。</w:t>
      </w:r>
      <w:r>
        <w:rPr>
          <w:rFonts w:hint="eastAsia" w:eastAsia="方正仿宋_GBK"/>
          <w:b/>
          <w:bCs/>
          <w:color w:val="000000"/>
          <w:sz w:val="32"/>
          <w:szCs w:val="32"/>
        </w:rPr>
        <w:t>三是</w:t>
      </w:r>
      <w:r>
        <w:rPr>
          <w:rFonts w:hint="eastAsia" w:eastAsia="方正仿宋_GBK"/>
          <w:color w:val="000000"/>
          <w:sz w:val="32"/>
          <w:szCs w:val="32"/>
        </w:rPr>
        <w:t>加强社会保障管</w:t>
      </w:r>
      <w:r>
        <w:rPr>
          <w:rFonts w:hint="eastAsia" w:eastAsia="方正仿宋_GBK"/>
          <w:color w:val="000000"/>
          <w:spacing w:val="-2"/>
          <w:sz w:val="32"/>
          <w:szCs w:val="32"/>
        </w:rPr>
        <w:t>理，坚决兜牢基本民生底线，社会保障支出1.76亿元，稳步推进</w:t>
      </w:r>
      <w:r>
        <w:rPr>
          <w:rFonts w:hint="eastAsia" w:eastAsia="方正仿宋_GBK"/>
          <w:color w:val="000000"/>
          <w:sz w:val="32"/>
          <w:szCs w:val="32"/>
        </w:rPr>
        <w:t>社保提标，城乡居民基础养老金最低标准、职工基本养老金增长</w:t>
      </w:r>
      <w:r>
        <w:rPr>
          <w:rFonts w:hint="eastAsia" w:ascii="宋体" w:hAnsi="Courier New" w:eastAsia="方正仿宋_GBK"/>
          <w:color w:val="000000"/>
          <w:sz w:val="32"/>
          <w:szCs w:val="32"/>
        </w:rPr>
        <w:t>；保障</w:t>
      </w:r>
      <w:r>
        <w:rPr>
          <w:rFonts w:hint="eastAsia" w:eastAsia="方正仿宋_GBK"/>
          <w:color w:val="000000"/>
          <w:sz w:val="32"/>
          <w:szCs w:val="32"/>
        </w:rPr>
        <w:t>城乡居民、机关事业单位养老保险</w:t>
      </w:r>
      <w:r>
        <w:rPr>
          <w:rFonts w:hint="eastAsia" w:ascii="宋体" w:hAnsi="Courier New" w:eastAsia="方正仿宋_GBK"/>
          <w:color w:val="000000"/>
          <w:sz w:val="32"/>
          <w:szCs w:val="32"/>
        </w:rPr>
        <w:t>区级补助资金</w:t>
      </w:r>
      <w:r>
        <w:rPr>
          <w:rFonts w:hint="eastAsia" w:eastAsia="方正仿宋_GBK"/>
          <w:color w:val="000000"/>
          <w:sz w:val="32"/>
          <w:szCs w:val="32"/>
        </w:rPr>
        <w:t>0.23亿元；城市、农村低保标准和困难残疾人生活补贴、重度残疾人护理补贴标准提高，有力保障了困难群众基本生活。深入落实就业优先战略，筹措各类资金442万元，鼓励企业吸纳就业、支持高校毕业生等重点群体就业创业，落实创业担保贷款贴息政策等。</w:t>
      </w:r>
      <w:r>
        <w:rPr>
          <w:rFonts w:hint="eastAsia" w:ascii="宋体" w:hAnsi="Courier New" w:eastAsia="方正仿宋_GBK"/>
          <w:b/>
          <w:bCs/>
          <w:color w:val="000000"/>
          <w:sz w:val="32"/>
          <w:szCs w:val="32"/>
        </w:rPr>
        <w:t>四是</w:t>
      </w:r>
      <w:r>
        <w:rPr>
          <w:rFonts w:hint="eastAsia" w:ascii="宋体" w:hAnsi="Courier New" w:eastAsia="方正仿宋_GBK"/>
          <w:color w:val="000000"/>
          <w:spacing w:val="-2"/>
          <w:sz w:val="32"/>
          <w:szCs w:val="32"/>
        </w:rPr>
        <w:t>促进文化旅游体育事业发展，</w:t>
      </w:r>
      <w:r>
        <w:rPr>
          <w:rFonts w:hint="eastAsia" w:eastAsia="方正仿宋_GBK"/>
          <w:color w:val="000000"/>
          <w:spacing w:val="-2"/>
          <w:sz w:val="32"/>
          <w:szCs w:val="32"/>
        </w:rPr>
        <w:t>文化旅游体育和传媒支出0.11亿元，</w:t>
      </w:r>
      <w:r>
        <w:rPr>
          <w:rFonts w:hint="eastAsia" w:eastAsia="方正仿宋_GBK"/>
          <w:color w:val="000000"/>
          <w:sz w:val="32"/>
          <w:szCs w:val="32"/>
        </w:rPr>
        <w:t>支持海钓锦标赛、帆船赛事等，提升文化事业繁荣发展和公共文化服务体系建设。</w:t>
      </w:r>
    </w:p>
    <w:p>
      <w:pPr>
        <w:adjustRightInd w:val="0"/>
        <w:snapToGrid w:val="0"/>
        <w:spacing w:line="560" w:lineRule="exact"/>
        <w:ind w:firstLine="640" w:firstLineChars="200"/>
        <w:rPr>
          <w:rFonts w:eastAsia="方正仿宋_GBK"/>
          <w:color w:val="000000"/>
          <w:sz w:val="32"/>
          <w:szCs w:val="32"/>
        </w:rPr>
      </w:pPr>
      <w:r>
        <w:rPr>
          <w:rFonts w:hint="eastAsia" w:eastAsia="方正仿宋_GBK"/>
          <w:b/>
          <w:color w:val="000000"/>
          <w:sz w:val="32"/>
          <w:szCs w:val="32"/>
        </w:rPr>
        <w:t>3.加大城乡建设支持力度，提升城乡发展水平。一是</w:t>
      </w:r>
      <w:r>
        <w:rPr>
          <w:rFonts w:hint="eastAsia" w:ascii="宋体" w:hAnsi="Courier New" w:eastAsia="方正仿宋_GBK"/>
          <w:color w:val="000000"/>
          <w:sz w:val="32"/>
          <w:szCs w:val="32"/>
        </w:rPr>
        <w:t>牢固树</w:t>
      </w:r>
      <w:r>
        <w:rPr>
          <w:rFonts w:hint="eastAsia" w:ascii="宋体" w:hAnsi="Courier New" w:eastAsia="方正仿宋_GBK"/>
          <w:color w:val="000000"/>
          <w:spacing w:val="-2"/>
          <w:sz w:val="32"/>
          <w:szCs w:val="32"/>
        </w:rPr>
        <w:t>立绿色发展理念，生态环保支持力度加大，</w:t>
      </w:r>
      <w:r>
        <w:rPr>
          <w:rFonts w:hint="eastAsia" w:eastAsia="方正仿宋_GBK"/>
          <w:color w:val="000000"/>
          <w:spacing w:val="-2"/>
          <w:sz w:val="32"/>
          <w:szCs w:val="32"/>
        </w:rPr>
        <w:t>生态环保支出0.25亿</w:t>
      </w:r>
      <w:r>
        <w:rPr>
          <w:rFonts w:hint="eastAsia" w:eastAsia="方正仿宋_GBK"/>
          <w:color w:val="000000"/>
          <w:sz w:val="32"/>
          <w:szCs w:val="32"/>
        </w:rPr>
        <w:t>元，积极推动污染防治，保障农村地区冬季清洁取暖、重点流域水污染防治等工作开展；大力支持生态保护修复，保障城区绿地养护、公园保洁和绿化补植工作和海洋生态保护修复工程开展。</w:t>
      </w:r>
      <w:r>
        <w:rPr>
          <w:rFonts w:hint="eastAsia" w:eastAsia="方正仿宋_GBK"/>
          <w:b/>
          <w:bCs/>
          <w:color w:val="000000"/>
          <w:spacing w:val="-2"/>
          <w:sz w:val="32"/>
          <w:szCs w:val="32"/>
        </w:rPr>
        <w:t>二是</w:t>
      </w:r>
      <w:r>
        <w:rPr>
          <w:rFonts w:hint="eastAsia" w:eastAsia="方正仿宋_GBK"/>
          <w:color w:val="000000"/>
          <w:spacing w:val="-2"/>
          <w:sz w:val="32"/>
          <w:szCs w:val="32"/>
        </w:rPr>
        <w:t>乡村振兴战略深入实施，农业农村支出1.36亿元。推进乡村</w:t>
      </w:r>
      <w:r>
        <w:rPr>
          <w:rFonts w:hint="eastAsia" w:eastAsia="方正仿宋_GBK"/>
          <w:color w:val="000000"/>
          <w:sz w:val="32"/>
          <w:szCs w:val="32"/>
        </w:rPr>
        <w:t>建设行动，支持农村人居环境整治，推动农村污水、垃圾治理和村容村貌清洁提升，农村人居环境持续改善；加大村级组织运转资金投入，提升村级组织服务群众能力。促进渔业产业发展，支持渔船渔港综合保障和渔业资源养护，落实渔业成品油价格补贴，支持打造优势特色产业集群。</w:t>
      </w:r>
      <w:r>
        <w:rPr>
          <w:rFonts w:hint="eastAsia" w:eastAsia="方正仿宋_GBK"/>
          <w:b/>
          <w:bCs/>
          <w:color w:val="000000"/>
          <w:sz w:val="32"/>
          <w:szCs w:val="32"/>
        </w:rPr>
        <w:t>三是</w:t>
      </w:r>
      <w:r>
        <w:rPr>
          <w:rFonts w:hint="eastAsia" w:eastAsia="方正仿宋_GBK"/>
          <w:color w:val="000000"/>
          <w:sz w:val="32"/>
          <w:szCs w:val="32"/>
        </w:rPr>
        <w:t>提升城市维护水平，安排支出0.71亿元，加强城市环卫保洁、供水供热、</w:t>
      </w:r>
      <w:r>
        <w:rPr>
          <w:rFonts w:hint="eastAsia" w:eastAsia="方正仿宋_GBK"/>
          <w:color w:val="000000"/>
          <w:spacing w:val="-2"/>
          <w:sz w:val="32"/>
          <w:szCs w:val="32"/>
        </w:rPr>
        <w:t>市政设施等资金</w:t>
      </w:r>
      <w:r>
        <w:rPr>
          <w:rFonts w:hint="eastAsia" w:eastAsia="方正仿宋_GBK"/>
          <w:color w:val="000000"/>
          <w:sz w:val="32"/>
          <w:szCs w:val="32"/>
        </w:rPr>
        <w:t>保障，提升城市公共事业服务水平。</w:t>
      </w:r>
    </w:p>
    <w:p>
      <w:pPr>
        <w:spacing w:line="560" w:lineRule="exact"/>
        <w:ind w:firstLine="640" w:firstLineChars="200"/>
        <w:rPr>
          <w:rFonts w:eastAsia="方正仿宋_GBK"/>
          <w:color w:val="000000"/>
          <w:sz w:val="32"/>
          <w:szCs w:val="32"/>
        </w:rPr>
      </w:pPr>
      <w:r>
        <w:rPr>
          <w:rFonts w:hint="eastAsia" w:eastAsia="方正仿宋_GBK"/>
          <w:b/>
          <w:color w:val="000000"/>
          <w:sz w:val="32"/>
          <w:szCs w:val="32"/>
        </w:rPr>
        <w:t>4.助力营商环境持续优化，助推高质量发展。</w:t>
      </w:r>
      <w:r>
        <w:rPr>
          <w:rFonts w:hint="eastAsia" w:eastAsia="方正仿宋_GBK"/>
          <w:color w:val="000000"/>
          <w:sz w:val="32"/>
          <w:szCs w:val="32"/>
        </w:rPr>
        <w:t>把优化营商环境作为推动高质量发展的关键一招，认真落实优化营商环境措施。</w:t>
      </w:r>
      <w:r>
        <w:rPr>
          <w:rFonts w:hint="eastAsia" w:eastAsia="方正仿宋_GBK"/>
          <w:b/>
          <w:bCs/>
          <w:color w:val="000000"/>
          <w:sz w:val="32"/>
          <w:szCs w:val="32"/>
        </w:rPr>
        <w:t>一是</w:t>
      </w:r>
      <w:r>
        <w:rPr>
          <w:rFonts w:hint="eastAsia" w:eastAsia="方正仿宋_GBK"/>
          <w:color w:val="000000"/>
          <w:sz w:val="32"/>
          <w:szCs w:val="32"/>
        </w:rPr>
        <w:t>产业发展支持政策不断完善，统筹调度资金，保障重点产业发展，按照重点产业发展扶持资金管理办法和加快推进生物医药健康产业高质量发展的十条措施，拨付资金0.29亿元，支持企业创新发展。</w:t>
      </w:r>
      <w:r>
        <w:rPr>
          <w:rFonts w:hint="eastAsia" w:eastAsia="方正仿宋_GBK"/>
          <w:b/>
          <w:bCs/>
          <w:color w:val="000000"/>
          <w:sz w:val="32"/>
          <w:szCs w:val="32"/>
        </w:rPr>
        <w:t>二是</w:t>
      </w:r>
      <w:r>
        <w:rPr>
          <w:rFonts w:hint="eastAsia" w:eastAsia="方正仿宋_GBK"/>
          <w:color w:val="000000"/>
          <w:sz w:val="32"/>
          <w:szCs w:val="32"/>
        </w:rPr>
        <w:t>全力支持重点项目建设。安排资金1.72亿元，保障北京中医药大学东方学院、区域医疗中心等重点项目。</w:t>
      </w:r>
      <w:r>
        <w:rPr>
          <w:rFonts w:hint="eastAsia" w:eastAsia="方正仿宋_GBK"/>
          <w:b/>
          <w:color w:val="000000"/>
          <w:sz w:val="32"/>
          <w:szCs w:val="32"/>
        </w:rPr>
        <w:t>三</w:t>
      </w:r>
      <w:r>
        <w:rPr>
          <w:rFonts w:hint="eastAsia" w:eastAsia="方正仿宋_GBK"/>
          <w:b/>
          <w:bCs/>
          <w:color w:val="000000"/>
          <w:sz w:val="32"/>
          <w:szCs w:val="32"/>
        </w:rPr>
        <w:t>是</w:t>
      </w:r>
      <w:r>
        <w:rPr>
          <w:rFonts w:hint="eastAsia" w:eastAsia="方正仿宋_GBK"/>
          <w:color w:val="000000"/>
          <w:sz w:val="32"/>
          <w:szCs w:val="32"/>
        </w:rPr>
        <w:t>政府采购功能充分发挥。严格落实政府采购授予中小企业预留份额、价格扣除优惠等政策，各部门、单位限额标准以上的货物、工程、服务全部编制政府采购预算。落实政府采购“双盲”评审改革，公开招标项目全部实现专家“盲抽”、评审“盲评”。</w:t>
      </w:r>
    </w:p>
    <w:p>
      <w:pPr>
        <w:adjustRightInd w:val="0"/>
        <w:snapToGrid w:val="0"/>
        <w:spacing w:line="560" w:lineRule="exact"/>
        <w:ind w:firstLine="640" w:firstLineChars="200"/>
        <w:rPr>
          <w:rFonts w:eastAsia="方正仿宋_GBK"/>
          <w:color w:val="000000"/>
          <w:sz w:val="32"/>
          <w:szCs w:val="32"/>
        </w:rPr>
      </w:pPr>
      <w:r>
        <w:rPr>
          <w:rFonts w:hint="eastAsia" w:eastAsia="方正仿宋_GBK"/>
          <w:b/>
          <w:color w:val="000000"/>
          <w:sz w:val="32"/>
          <w:szCs w:val="32"/>
        </w:rPr>
        <w:t>5.提高财政监管效能，保障资金安全高效运行。</w:t>
      </w:r>
      <w:r>
        <w:rPr>
          <w:rFonts w:hint="eastAsia" w:eastAsia="方正仿宋_GBK"/>
          <w:color w:val="000000"/>
          <w:sz w:val="32"/>
          <w:szCs w:val="32"/>
        </w:rPr>
        <w:t>牢固树立法治意识和绩效理念，建立健全管理制度和运行机制，财政管理科学化规范化水平进一步提升。</w:t>
      </w:r>
      <w:r>
        <w:rPr>
          <w:rFonts w:hint="eastAsia" w:eastAsia="方正仿宋_GBK"/>
          <w:b/>
          <w:color w:val="000000"/>
          <w:sz w:val="32"/>
          <w:szCs w:val="32"/>
        </w:rPr>
        <w:t>一是</w:t>
      </w:r>
      <w:r>
        <w:rPr>
          <w:rFonts w:hint="eastAsia" w:eastAsia="方正仿宋_GBK"/>
          <w:color w:val="000000"/>
          <w:sz w:val="32"/>
          <w:szCs w:val="32"/>
        </w:rPr>
        <w:t>加强资金评审监督，健全财政评审机制，做好项目资金预算和结算评审。完成48个项目共5.54亿元资金预算评审，审减资金2291万元；完成52个项目共0.33亿元结算评审，审减资金133万元；完成52个项目共2.03亿元结算资金复审，在初审审减1734万元基础上，复审审减245万元，进一步提高财政资金配置。</w:t>
      </w:r>
      <w:r>
        <w:rPr>
          <w:rFonts w:hint="eastAsia" w:eastAsia="方正仿宋_GBK"/>
          <w:b/>
          <w:bCs/>
          <w:color w:val="000000"/>
          <w:sz w:val="32"/>
          <w:szCs w:val="32"/>
        </w:rPr>
        <w:t>二是</w:t>
      </w:r>
      <w:r>
        <w:rPr>
          <w:rFonts w:hint="eastAsia" w:eastAsia="方正仿宋_GBK"/>
          <w:color w:val="000000"/>
          <w:sz w:val="32"/>
          <w:szCs w:val="32"/>
        </w:rPr>
        <w:t>重点绩效评价，组织财政重点绩效评价10项，评价资金1.78亿元，保障财政资金合理使用、优化财政资源配置。</w:t>
      </w:r>
      <w:r>
        <w:rPr>
          <w:rFonts w:hint="eastAsia" w:eastAsia="方正仿宋_GBK"/>
          <w:b/>
          <w:bCs/>
          <w:color w:val="000000"/>
          <w:sz w:val="32"/>
          <w:szCs w:val="32"/>
        </w:rPr>
        <w:t>三是</w:t>
      </w:r>
      <w:r>
        <w:rPr>
          <w:rFonts w:hint="eastAsia" w:eastAsia="方正仿宋_GBK"/>
          <w:color w:val="000000"/>
          <w:sz w:val="32"/>
          <w:szCs w:val="32"/>
        </w:rPr>
        <w:t>预算绩效管理改革持续深化。深化预算绩效管理改革，进一步提升绩效目标指标质量，全面开展绩效运行监控，深入推进预算管理一体化、行政事业单位资产、地方政府债务等全部纳入一体化系统，实现同平台互联互通。</w:t>
      </w:r>
    </w:p>
    <w:p>
      <w:pPr>
        <w:spacing w:line="560" w:lineRule="exact"/>
        <w:ind w:firstLine="640" w:firstLineChars="200"/>
        <w:rPr>
          <w:rFonts w:eastAsia="方正仿宋_GBK"/>
          <w:color w:val="000000"/>
          <w:sz w:val="32"/>
          <w:szCs w:val="32"/>
        </w:rPr>
      </w:pPr>
      <w:r>
        <w:rPr>
          <w:rFonts w:hint="eastAsia" w:eastAsia="方正仿宋_GBK"/>
          <w:b/>
          <w:color w:val="000000"/>
          <w:sz w:val="32"/>
          <w:szCs w:val="32"/>
        </w:rPr>
        <w:t>6.牢固树立底线思维，保障财政安全平稳运行。</w:t>
      </w:r>
      <w:r>
        <w:rPr>
          <w:rFonts w:hint="eastAsia" w:eastAsia="方正仿宋_GBK"/>
          <w:color w:val="000000"/>
          <w:sz w:val="32"/>
          <w:szCs w:val="32"/>
        </w:rPr>
        <w:t>坚持统筹发展和安全，强化底线思维，积极稳妥化解风险隐患，坚决防止发生系统性风险。</w:t>
      </w:r>
      <w:r>
        <w:rPr>
          <w:rFonts w:hint="eastAsia" w:eastAsia="方正仿宋_GBK"/>
          <w:b/>
          <w:bCs/>
          <w:color w:val="000000"/>
          <w:sz w:val="32"/>
          <w:szCs w:val="32"/>
        </w:rPr>
        <w:t>一是</w:t>
      </w:r>
      <w:r>
        <w:rPr>
          <w:rFonts w:hint="eastAsia" w:eastAsia="方正仿宋_GBK"/>
          <w:color w:val="000000"/>
          <w:sz w:val="32"/>
          <w:szCs w:val="32"/>
        </w:rPr>
        <w:t>政府债务风险有效防控。债务本息足额纳入</w:t>
      </w:r>
      <w:r>
        <w:rPr>
          <w:rFonts w:hint="eastAsia" w:eastAsia="方正仿宋_GBK"/>
          <w:color w:val="000000"/>
          <w:spacing w:val="-4"/>
          <w:sz w:val="32"/>
          <w:szCs w:val="32"/>
        </w:rPr>
        <w:t>预算，及时按时偿还债务本息4.89亿元（再融资债券还本资金2.37</w:t>
      </w:r>
      <w:r>
        <w:rPr>
          <w:rFonts w:hint="eastAsia" w:eastAsia="方正仿宋_GBK"/>
          <w:color w:val="000000"/>
          <w:sz w:val="32"/>
          <w:szCs w:val="32"/>
        </w:rPr>
        <w:t>亿元），继续保持“零违约”。积极争取到位政府债券资金18.99亿元，用于重点项目建设、化解存量债务及解决政府拖欠账款。</w:t>
      </w:r>
      <w:r>
        <w:rPr>
          <w:rFonts w:hint="eastAsia" w:eastAsia="方正仿宋_GBK"/>
          <w:b/>
          <w:bCs/>
          <w:color w:val="000000"/>
          <w:sz w:val="32"/>
          <w:szCs w:val="32"/>
        </w:rPr>
        <w:t>二是</w:t>
      </w:r>
      <w:r>
        <w:rPr>
          <w:rFonts w:hint="eastAsia" w:eastAsia="方正仿宋_GBK"/>
          <w:color w:val="000000"/>
          <w:sz w:val="32"/>
          <w:szCs w:val="32"/>
        </w:rPr>
        <w:t>基层财政平稳运行。加大财政保障能力，狠抓基层运转保障，强化运行监控，按要求保障“三保”支出，确保财政正常运转。</w:t>
      </w:r>
      <w:r>
        <w:rPr>
          <w:rFonts w:hint="eastAsia" w:eastAsia="方正仿宋_GBK"/>
          <w:b/>
          <w:bCs/>
          <w:color w:val="000000"/>
          <w:sz w:val="32"/>
          <w:szCs w:val="32"/>
        </w:rPr>
        <w:t>三是</w:t>
      </w:r>
      <w:r>
        <w:rPr>
          <w:rFonts w:hint="eastAsia" w:eastAsia="方正仿宋_GBK"/>
          <w:color w:val="000000"/>
          <w:sz w:val="32"/>
          <w:szCs w:val="32"/>
        </w:rPr>
        <w:t>持续强化财会监督提质提效，加强财会监督与统计监督有机贯通、相互协调；组织开展党政机关经费管理相关情况专项核查和2025年度会计信息质量检查、联合审计部门开展教育和卫健领域财政资金管理使用情况专项检查，保障财政资金安全、规范、有效运行。</w:t>
      </w:r>
    </w:p>
    <w:p>
      <w:pPr>
        <w:spacing w:line="560" w:lineRule="exact"/>
        <w:ind w:firstLine="624" w:firstLineChars="200"/>
        <w:rPr>
          <w:rFonts w:ascii="黑体" w:eastAsia="黑体"/>
          <w:color w:val="000000"/>
          <w:sz w:val="32"/>
          <w:szCs w:val="32"/>
        </w:rPr>
      </w:pPr>
      <w:r>
        <w:rPr>
          <w:rFonts w:hint="eastAsia" w:eastAsia="方正仿宋_GBK"/>
          <w:color w:val="000000"/>
          <w:spacing w:val="-4"/>
          <w:sz w:val="32"/>
          <w:szCs w:val="32"/>
        </w:rPr>
        <w:t>2025年的成绩来之不易，这是市委、市政府坚强领导的结果，</w:t>
      </w:r>
      <w:r>
        <w:rPr>
          <w:rFonts w:hint="eastAsia" w:eastAsia="方正仿宋_GBK"/>
          <w:color w:val="000000"/>
          <w:sz w:val="32"/>
          <w:szCs w:val="32"/>
        </w:rPr>
        <w:t>是市人大依法监督、市政协民主监督的结果，也是全区各部门团结一心、共同努力的结果。在总结成绩的同时，我们也清醒地认识到，预算执行和财政工作中还存在一些困难和问题，主要是：受经济下行压力加大影响，财政收入持续增长的基础还不牢固，收入结构有待优化；民生政策提标等支出需求刚性增长，财政收支矛盾更加突出，预算平衡压力进一步加大；部门绩效理念树得不牢，部分财政资金支出进度不够快，使用效益需要进一步提升。对此，我们一定高度重视，认真研究，积极采取措施予以解决。</w:t>
      </w:r>
    </w:p>
    <w:p>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二、</w:t>
      </w:r>
      <w:r>
        <w:rPr>
          <w:rFonts w:eastAsia="黑体"/>
          <w:color w:val="000000"/>
          <w:sz w:val="32"/>
          <w:szCs w:val="32"/>
        </w:rPr>
        <w:t>20</w:t>
      </w:r>
      <w:r>
        <w:rPr>
          <w:rFonts w:hint="eastAsia" w:eastAsia="黑体"/>
          <w:color w:val="000000"/>
          <w:sz w:val="32"/>
          <w:szCs w:val="32"/>
        </w:rPr>
        <w:t>26</w:t>
      </w:r>
      <w:r>
        <w:rPr>
          <w:rFonts w:hint="eastAsia" w:ascii="黑体" w:eastAsia="黑体"/>
          <w:color w:val="000000"/>
          <w:sz w:val="32"/>
          <w:szCs w:val="32"/>
        </w:rPr>
        <w:t>年预算编制情况</w:t>
      </w:r>
    </w:p>
    <w:p>
      <w:pPr>
        <w:spacing w:line="560" w:lineRule="exact"/>
        <w:ind w:firstLine="632" w:firstLineChars="200"/>
        <w:rPr>
          <w:rFonts w:eastAsia="方正仿宋_GBK"/>
          <w:color w:val="000000"/>
          <w:sz w:val="32"/>
          <w:szCs w:val="32"/>
        </w:rPr>
      </w:pPr>
      <w:r>
        <w:rPr>
          <w:rFonts w:hint="eastAsia" w:eastAsia="方正仿宋_GBK"/>
          <w:color w:val="000000"/>
          <w:spacing w:val="-2"/>
          <w:sz w:val="32"/>
          <w:szCs w:val="32"/>
        </w:rPr>
        <w:t>2026年是“十五五”规划开局之年，科学高效编制2026年</w:t>
      </w:r>
      <w:r>
        <w:rPr>
          <w:rFonts w:hint="eastAsia" w:eastAsia="方正仿宋_GBK"/>
          <w:color w:val="000000"/>
          <w:sz w:val="32"/>
          <w:szCs w:val="32"/>
        </w:rPr>
        <w:t>预算、做好各项财政工作，具有十分重要的意义。</w:t>
      </w:r>
    </w:p>
    <w:p>
      <w:pPr>
        <w:spacing w:line="560" w:lineRule="exact"/>
        <w:ind w:firstLine="640" w:firstLineChars="200"/>
        <w:rPr>
          <w:rFonts w:ascii="楷体_GB2312" w:eastAsia="方正楷体简体"/>
          <w:bCs/>
          <w:color w:val="000000"/>
          <w:sz w:val="32"/>
          <w:szCs w:val="32"/>
        </w:rPr>
      </w:pPr>
      <w:r>
        <w:rPr>
          <w:rFonts w:hint="eastAsia" w:ascii="楷体_GB2312" w:eastAsia="方正楷体简体"/>
          <w:bCs/>
          <w:color w:val="000000"/>
          <w:sz w:val="32"/>
          <w:szCs w:val="32"/>
        </w:rPr>
        <w:t>（一）</w:t>
      </w:r>
      <w:r>
        <w:rPr>
          <w:rFonts w:hint="eastAsia" w:eastAsia="方正楷体简体"/>
          <w:bCs/>
          <w:color w:val="000000"/>
          <w:sz w:val="32"/>
          <w:szCs w:val="32"/>
        </w:rPr>
        <w:t>2026</w:t>
      </w:r>
      <w:r>
        <w:rPr>
          <w:rFonts w:hint="eastAsia" w:ascii="楷体_GB2312" w:eastAsia="方正楷体简体"/>
          <w:bCs/>
          <w:color w:val="000000"/>
          <w:sz w:val="32"/>
          <w:szCs w:val="32"/>
        </w:rPr>
        <w:t>年预算编制的指导思想和基本原则</w:t>
      </w:r>
    </w:p>
    <w:p>
      <w:pPr>
        <w:spacing w:line="560" w:lineRule="exact"/>
        <w:ind w:firstLine="640" w:firstLineChars="200"/>
        <w:rPr>
          <w:rFonts w:eastAsia="方正仿宋_GBK"/>
          <w:color w:val="000000"/>
          <w:sz w:val="32"/>
          <w:szCs w:val="32"/>
        </w:rPr>
      </w:pPr>
      <w:r>
        <w:rPr>
          <w:rFonts w:hint="eastAsia" w:eastAsia="方正仿宋_GBK"/>
          <w:bCs/>
          <w:color w:val="000000"/>
          <w:sz w:val="32"/>
          <w:szCs w:val="32"/>
        </w:rPr>
        <w:t>预算编制的指导思想是：</w:t>
      </w:r>
      <w:r>
        <w:rPr>
          <w:rFonts w:hint="eastAsia" w:ascii="黑体" w:hAnsi="黑体" w:eastAsia="黑体"/>
          <w:color w:val="000000"/>
          <w:sz w:val="32"/>
          <w:szCs w:val="32"/>
        </w:rPr>
        <w:t>以习近平新时代中国特色社会主义思想为指导，深入贯彻党的二十大和二十届历次全会精神，按照中央、省、市经济工作会议部署，全面落实新区工管委决策，深入贯彻新发展理念，着力推动高质量发展，坚持稳中求进工作总基调，继续推进落实更加积极的财政政策，加强财政科学管理，优化财政支出结构，坚持党政机关过紧日子，积极有序防范化解债务风险，推动新区经济实现质的有效提升和量的合理增长，增进民生福祉，为实现“十五五”良好开局提供有力支撑。</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围绕上述指导思想，2026年预算编制坚持政治引领、务实创新，统筹兼顾、突出重点，厉行节约、讲求绩效，积极稳妥、防控风险的基本原则，重点把握以下几个方面：</w:t>
      </w:r>
      <w:r>
        <w:rPr>
          <w:rFonts w:hint="eastAsia" w:eastAsia="方正仿宋_GBK"/>
          <w:b/>
          <w:bCs/>
          <w:color w:val="000000"/>
          <w:sz w:val="32"/>
          <w:szCs w:val="32"/>
        </w:rPr>
        <w:t>一是</w:t>
      </w:r>
      <w:r>
        <w:rPr>
          <w:rFonts w:hint="eastAsia" w:eastAsia="方正仿宋_GBK"/>
          <w:color w:val="000000"/>
          <w:sz w:val="32"/>
          <w:szCs w:val="32"/>
        </w:rPr>
        <w:t>全面落实各项决策部署。深入学习贯彻党的二十大和二十届历次全会精神，着力保障中央、省、市重大决策部署落实。</w:t>
      </w:r>
      <w:r>
        <w:rPr>
          <w:rFonts w:hint="eastAsia" w:eastAsia="方正仿宋_GBK"/>
          <w:b/>
          <w:bCs/>
          <w:color w:val="000000"/>
          <w:sz w:val="32"/>
          <w:szCs w:val="32"/>
        </w:rPr>
        <w:t>二是</w:t>
      </w:r>
      <w:r>
        <w:rPr>
          <w:rFonts w:hint="eastAsia" w:eastAsia="方正仿宋_GBK"/>
          <w:color w:val="000000"/>
          <w:sz w:val="32"/>
          <w:szCs w:val="32"/>
        </w:rPr>
        <w:t>调整优化支出结构。坚持集中财力办大事，运用零基预算理念，着力保障重大战略、重大部署、重大项目落地。</w:t>
      </w:r>
      <w:r>
        <w:rPr>
          <w:rFonts w:hint="eastAsia" w:eastAsia="方正仿宋_GBK"/>
          <w:b/>
          <w:bCs/>
          <w:color w:val="000000"/>
          <w:sz w:val="32"/>
          <w:szCs w:val="32"/>
        </w:rPr>
        <w:t>三是</w:t>
      </w:r>
      <w:r>
        <w:rPr>
          <w:rFonts w:hint="eastAsia" w:eastAsia="方正仿宋_GBK"/>
          <w:color w:val="000000"/>
          <w:sz w:val="32"/>
          <w:szCs w:val="32"/>
        </w:rPr>
        <w:t>兜牢兜实民生底线。始终坚持将“三保”作为财政支出的第一次序，严格按照保障范围、政策标准足额编制预算。</w:t>
      </w:r>
      <w:r>
        <w:rPr>
          <w:rFonts w:hint="eastAsia" w:eastAsia="方正仿宋_GBK"/>
          <w:b/>
          <w:bCs/>
          <w:color w:val="000000"/>
          <w:sz w:val="32"/>
          <w:szCs w:val="32"/>
        </w:rPr>
        <w:t>四是</w:t>
      </w:r>
      <w:r>
        <w:rPr>
          <w:rFonts w:hint="eastAsia" w:eastAsia="方正仿宋_GBK"/>
          <w:color w:val="000000"/>
          <w:sz w:val="32"/>
          <w:szCs w:val="32"/>
        </w:rPr>
        <w:t>更加突出绩效导向。坚持“花钱必问效”，强化绩效预算全过程管理，推进绩效评价结果运用，提高财政资金使用效益。</w:t>
      </w:r>
      <w:r>
        <w:rPr>
          <w:rFonts w:hint="eastAsia" w:eastAsia="方正仿宋_GBK"/>
          <w:b/>
          <w:bCs/>
          <w:color w:val="000000"/>
          <w:sz w:val="32"/>
          <w:szCs w:val="32"/>
        </w:rPr>
        <w:t>五是</w:t>
      </w:r>
      <w:r>
        <w:rPr>
          <w:rFonts w:hint="eastAsia" w:eastAsia="方正仿宋_GBK"/>
          <w:color w:val="000000"/>
          <w:sz w:val="32"/>
          <w:szCs w:val="32"/>
        </w:rPr>
        <w:t>牢固树立过紧日子思想，继续压减“三公”经费预算，严控一般性支出，兼顾部门事业发展需要，把有限的资金用在关键处、紧要时。</w:t>
      </w:r>
      <w:r>
        <w:rPr>
          <w:rFonts w:hint="eastAsia" w:eastAsia="方正仿宋_GBK"/>
          <w:b/>
          <w:bCs/>
          <w:color w:val="000000"/>
          <w:sz w:val="32"/>
          <w:szCs w:val="32"/>
        </w:rPr>
        <w:t>六是</w:t>
      </w:r>
      <w:r>
        <w:rPr>
          <w:rFonts w:hint="eastAsia" w:eastAsia="方正仿宋_GBK"/>
          <w:color w:val="000000"/>
          <w:sz w:val="32"/>
          <w:szCs w:val="32"/>
        </w:rPr>
        <w:t>深化预算制度改革。贯彻落实财政体制改革，完善国有资产管理体制机制，以改革创新促发展提升。</w:t>
      </w:r>
      <w:r>
        <w:rPr>
          <w:rFonts w:hint="eastAsia" w:eastAsia="方正仿宋_GBK"/>
          <w:b/>
          <w:bCs/>
          <w:color w:val="000000"/>
          <w:sz w:val="32"/>
          <w:szCs w:val="32"/>
        </w:rPr>
        <w:t>七是</w:t>
      </w:r>
      <w:r>
        <w:rPr>
          <w:rFonts w:hint="eastAsia" w:eastAsia="方正仿宋_GBK"/>
          <w:color w:val="000000"/>
          <w:sz w:val="32"/>
          <w:szCs w:val="32"/>
        </w:rPr>
        <w:t>有效防控财政风险。落实政府债券还本付息资金，强化政府债务管理，防范化解政府债务风险。</w:t>
      </w:r>
    </w:p>
    <w:p>
      <w:pPr>
        <w:spacing w:line="560" w:lineRule="exact"/>
        <w:ind w:firstLine="640" w:firstLineChars="200"/>
        <w:rPr>
          <w:rFonts w:ascii="楷体_GB2312" w:eastAsia="方正楷体简体"/>
          <w:bCs/>
          <w:color w:val="000000"/>
          <w:sz w:val="32"/>
          <w:szCs w:val="32"/>
        </w:rPr>
      </w:pPr>
      <w:r>
        <w:rPr>
          <w:rFonts w:hint="eastAsia" w:ascii="楷体_GB2312" w:eastAsia="方正楷体简体"/>
          <w:bCs/>
          <w:color w:val="000000"/>
          <w:sz w:val="32"/>
          <w:szCs w:val="32"/>
        </w:rPr>
        <w:t>（二）</w:t>
      </w:r>
      <w:r>
        <w:rPr>
          <w:rFonts w:hint="eastAsia" w:eastAsia="方正楷体简体"/>
          <w:bCs/>
          <w:color w:val="000000"/>
          <w:sz w:val="32"/>
          <w:szCs w:val="32"/>
        </w:rPr>
        <w:t>2026</w:t>
      </w:r>
      <w:r>
        <w:rPr>
          <w:rFonts w:hint="eastAsia" w:ascii="楷体_GB2312" w:eastAsia="方正楷体简体"/>
          <w:bCs/>
          <w:color w:val="000000"/>
          <w:sz w:val="32"/>
          <w:szCs w:val="32"/>
        </w:rPr>
        <w:t>年区级预算草案</w:t>
      </w:r>
    </w:p>
    <w:p>
      <w:pPr>
        <w:spacing w:line="560" w:lineRule="exact"/>
        <w:ind w:firstLine="640" w:firstLineChars="200"/>
        <w:outlineLvl w:val="2"/>
        <w:rPr>
          <w:rFonts w:ascii="方正仿宋简体" w:hAnsi="方正仿宋简体" w:eastAsia="方正仿宋_GBK" w:cs="方正仿宋简体"/>
          <w:b/>
          <w:bCs/>
          <w:color w:val="000000"/>
          <w:sz w:val="32"/>
          <w:szCs w:val="32"/>
        </w:rPr>
      </w:pPr>
      <w:r>
        <w:rPr>
          <w:rFonts w:hint="eastAsia" w:eastAsia="方正仿宋_GBK" w:cs="方正仿宋简体"/>
          <w:b/>
          <w:bCs/>
          <w:color w:val="000000"/>
          <w:sz w:val="32"/>
          <w:szCs w:val="32"/>
        </w:rPr>
        <w:t>1</w:t>
      </w:r>
      <w:r>
        <w:rPr>
          <w:rFonts w:hint="eastAsia" w:ascii="方正仿宋简体" w:hAnsi="方正仿宋简体" w:eastAsia="方正仿宋_GBK" w:cs="方正仿宋简体"/>
          <w:b/>
          <w:bCs/>
          <w:color w:val="000000"/>
          <w:sz w:val="32"/>
          <w:szCs w:val="32"/>
        </w:rPr>
        <w:t>.一般公共预算安排情况</w:t>
      </w:r>
    </w:p>
    <w:p>
      <w:pPr>
        <w:spacing w:line="560" w:lineRule="exact"/>
        <w:ind w:firstLine="640" w:firstLineChars="200"/>
        <w:outlineLvl w:val="2"/>
        <w:rPr>
          <w:rFonts w:eastAsia="方正仿宋_GBK"/>
          <w:color w:val="000000"/>
          <w:sz w:val="32"/>
          <w:szCs w:val="32"/>
        </w:rPr>
      </w:pPr>
      <w:r>
        <w:rPr>
          <w:rFonts w:eastAsia="方正仿宋_GBK"/>
          <w:color w:val="000000"/>
          <w:sz w:val="32"/>
          <w:szCs w:val="32"/>
        </w:rPr>
        <w:t>（1）一般公共预算收入及财力安排情况</w:t>
      </w:r>
    </w:p>
    <w:p>
      <w:pPr>
        <w:spacing w:line="560" w:lineRule="exact"/>
        <w:ind w:firstLine="640" w:firstLineChars="200"/>
        <w:rPr>
          <w:rFonts w:eastAsia="方正仿宋_GBK"/>
          <w:color w:val="000000"/>
          <w:sz w:val="32"/>
          <w:szCs w:val="32"/>
        </w:rPr>
      </w:pPr>
      <w:r>
        <w:rPr>
          <w:rFonts w:eastAsia="方正仿宋_GBK"/>
          <w:color w:val="000000"/>
          <w:sz w:val="32"/>
          <w:szCs w:val="32"/>
        </w:rPr>
        <w:t>2026年区级一般公共预算收入预期目标为8.56亿元，增长6%，其中：税收收入预期目标5.15亿元，非税收入预期目标3.41亿元。综合考虑上级税收返还收入0.86亿元、财力性补助收入738万元、调入资金6.62亿元以及扣减上解上级支出0.32亿元等收支因素，2026年区级一般公共预算财力为15.8亿元，比上年减少6.41亿元。</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（2）一般公共预算支出安排</w:t>
      </w:r>
      <w:r>
        <w:rPr>
          <w:rFonts w:hint="eastAsia" w:eastAsia="方正仿宋_GBK"/>
          <w:color w:val="000000"/>
          <w:sz w:val="32"/>
          <w:szCs w:val="32"/>
        </w:rPr>
        <w:t>情况</w:t>
      </w:r>
    </w:p>
    <w:p>
      <w:pPr>
        <w:adjustRightInd w:val="0"/>
        <w:snapToGrid w:val="0"/>
        <w:spacing w:line="560" w:lineRule="exact"/>
        <w:ind w:firstLine="640" w:firstLineChars="200"/>
        <w:rPr>
          <w:rFonts w:eastAsia="方正仿宋_GBK"/>
          <w:color w:val="000000"/>
          <w:sz w:val="32"/>
          <w:szCs w:val="32"/>
        </w:rPr>
      </w:pPr>
      <w:r>
        <w:rPr>
          <w:rFonts w:hint="eastAsia" w:eastAsia="方正仿宋_GBK"/>
          <w:color w:val="000000"/>
          <w:sz w:val="32"/>
          <w:szCs w:val="32"/>
        </w:rPr>
        <w:t>按照重点保障人员经费、基本民生、重大政策重点项目贯彻落实、政府债务还本付息等“三保”及刚性支出需求，全年</w:t>
      </w:r>
      <w:r>
        <w:rPr>
          <w:rFonts w:hint="eastAsia" w:eastAsia="方正仿宋_GBK"/>
          <w:color w:val="000000"/>
          <w:spacing w:val="-2"/>
          <w:sz w:val="32"/>
          <w:szCs w:val="32"/>
        </w:rPr>
        <w:t>安排财政支出15.8亿元。其中：区级一般公共预算支出15.45亿元，政府债务还本支出0.35亿元。主要重点支出安排情况如下：</w:t>
      </w:r>
    </w:p>
    <w:p>
      <w:pPr>
        <w:adjustRightInd w:val="0"/>
        <w:snapToGrid w:val="0"/>
        <w:spacing w:line="560" w:lineRule="exact"/>
        <w:ind w:firstLine="640" w:firstLineChars="200"/>
        <w:rPr>
          <w:color w:val="000000"/>
          <w:spacing w:val="-4"/>
        </w:rPr>
      </w:pPr>
      <w:r>
        <w:rPr>
          <w:rFonts w:hint="eastAsia" w:eastAsia="方正仿宋_GBK"/>
          <w:b/>
          <w:bCs/>
          <w:color w:val="000000"/>
          <w:sz w:val="32"/>
          <w:szCs w:val="32"/>
        </w:rPr>
        <w:t>第一，兜牢兜实“三保”底线，足额保障刚性支出。</w:t>
      </w:r>
      <w:r>
        <w:rPr>
          <w:rFonts w:hint="eastAsia" w:eastAsia="方正仿宋_GBK"/>
          <w:color w:val="000000"/>
          <w:sz w:val="32"/>
          <w:szCs w:val="32"/>
        </w:rPr>
        <w:t>坚持尽力而为、量力而行，落实过紧日子思想，严控一般性支出安排，严格按照“三保”及刚性支出保障范围，足额编制优先保障。优先安排资金3.54亿元，其中：“保工资”资金2.42亿元，“保运转”资金0.16亿元，“保基本民生”资金0.96亿元。统筹财力安排资金2.78亿元，充分保障“三保”外人员及编外人员经费；安排资金0.9亿元，用于增人增资及工资调整等支出。</w:t>
      </w:r>
      <w:r>
        <w:rPr>
          <w:rFonts w:hint="eastAsia" w:eastAsia="方正仿宋_GBK"/>
          <w:color w:val="000000"/>
          <w:spacing w:val="-4"/>
          <w:sz w:val="32"/>
          <w:szCs w:val="32"/>
        </w:rPr>
        <w:t>安排供热、供电、城区环境保洁、园林绿化及城市设施维修等城市公共运维资金0.37亿元，优化城市环境、提升城市治理能力。</w:t>
      </w:r>
    </w:p>
    <w:p>
      <w:pPr>
        <w:spacing w:line="560" w:lineRule="exact"/>
        <w:ind w:firstLine="640" w:firstLineChars="200"/>
        <w:rPr>
          <w:rFonts w:ascii="仿宋_GB2312" w:eastAsia="方正仿宋_GBK"/>
          <w:b/>
          <w:bCs/>
          <w:color w:val="000000"/>
          <w:sz w:val="32"/>
          <w:szCs w:val="32"/>
        </w:rPr>
      </w:pPr>
      <w:r>
        <w:rPr>
          <w:rFonts w:hint="eastAsia" w:eastAsia="方正仿宋_GBK"/>
          <w:b/>
          <w:bCs/>
          <w:color w:val="000000"/>
          <w:sz w:val="32"/>
          <w:szCs w:val="32"/>
        </w:rPr>
        <w:t>第二，全额安排政府债务偿还资金。</w:t>
      </w:r>
      <w:r>
        <w:rPr>
          <w:rFonts w:hint="eastAsia" w:eastAsia="方正仿宋_GBK"/>
          <w:color w:val="000000"/>
          <w:sz w:val="32"/>
          <w:szCs w:val="32"/>
        </w:rPr>
        <w:t>足额安排政府债务还本付息资金0.9亿元，其中：政府债务还本0.35亿元，付息及发行费0.55亿元。</w:t>
      </w:r>
    </w:p>
    <w:p>
      <w:pPr>
        <w:shd w:val="clear" w:color="auto" w:fill="FFFFFF"/>
        <w:spacing w:line="560" w:lineRule="exact"/>
        <w:ind w:firstLine="640" w:firstLineChars="200"/>
        <w:textAlignment w:val="baseline"/>
        <w:rPr>
          <w:rFonts w:eastAsia="方正仿宋_GBK"/>
          <w:color w:val="000000"/>
          <w:sz w:val="32"/>
          <w:szCs w:val="32"/>
        </w:rPr>
      </w:pPr>
      <w:r>
        <w:rPr>
          <w:rFonts w:hint="eastAsia" w:eastAsia="方正仿宋_GBK"/>
          <w:b/>
          <w:bCs/>
          <w:color w:val="000000"/>
          <w:sz w:val="32"/>
          <w:szCs w:val="32"/>
        </w:rPr>
        <w:t>第三，重点提升社会保障水平。</w:t>
      </w:r>
      <w:r>
        <w:rPr>
          <w:rFonts w:hint="eastAsia" w:eastAsia="方正仿宋_GBK"/>
          <w:color w:val="000000"/>
          <w:spacing w:val="-4"/>
          <w:sz w:val="32"/>
          <w:szCs w:val="32"/>
        </w:rPr>
        <w:t>安排资金2.69亿元，健全基</w:t>
      </w:r>
      <w:r>
        <w:rPr>
          <w:rFonts w:hint="eastAsia" w:eastAsia="方正仿宋_GBK"/>
          <w:color w:val="000000"/>
          <w:sz w:val="32"/>
          <w:szCs w:val="32"/>
        </w:rPr>
        <w:t>本公共服务体系，提高公共服务水平，在发展中保障和改善民生。</w:t>
      </w:r>
      <w:r>
        <w:rPr>
          <w:rFonts w:hint="eastAsia" w:eastAsia="方正仿宋_GBK"/>
          <w:color w:val="000000"/>
          <w:spacing w:val="-2"/>
          <w:sz w:val="32"/>
          <w:szCs w:val="32"/>
        </w:rPr>
        <w:t>包括：推动教育高质量发展资金0.44亿元，确保教育投入稳定增</w:t>
      </w:r>
      <w:r>
        <w:rPr>
          <w:rFonts w:hint="eastAsia" w:eastAsia="方正仿宋_GBK"/>
          <w:color w:val="000000"/>
          <w:sz w:val="32"/>
          <w:szCs w:val="32"/>
        </w:rPr>
        <w:t>长，巩固完善义务教育保障机制，加强教师队伍建设，改善学校基本办学条件，推动高质量教育发展需求；推进卫生健康体系建</w:t>
      </w:r>
      <w:r>
        <w:rPr>
          <w:rFonts w:hint="eastAsia" w:eastAsia="方正仿宋_GBK"/>
          <w:color w:val="000000"/>
          <w:spacing w:val="-4"/>
          <w:sz w:val="32"/>
          <w:szCs w:val="32"/>
        </w:rPr>
        <w:t>设经费1.22亿元，落实基本公共卫生服务经费人均财政补助标准，</w:t>
      </w:r>
      <w:r>
        <w:rPr>
          <w:rFonts w:hint="eastAsia" w:eastAsia="方正仿宋_GBK"/>
          <w:color w:val="000000"/>
          <w:sz w:val="32"/>
          <w:szCs w:val="32"/>
        </w:rPr>
        <w:t>健全公共卫生体系；推动医疗保障事业稳步发展资金0.15亿元，保障城乡居民基本医疗保险，夯实医疗救助托底作用，落实重点</w:t>
      </w:r>
      <w:r>
        <w:rPr>
          <w:rFonts w:hint="eastAsia" w:eastAsia="方正仿宋_GBK"/>
          <w:color w:val="000000"/>
          <w:spacing w:val="-2"/>
          <w:sz w:val="32"/>
          <w:szCs w:val="32"/>
        </w:rPr>
        <w:t>帮扶人群医疗保障；完善社会保障体系资金0.79亿元，重点用于落实城乡居民养老保险、医疗保险等社会保</w:t>
      </w:r>
      <w:r>
        <w:rPr>
          <w:rFonts w:hint="eastAsia" w:eastAsia="方正仿宋_GBK"/>
          <w:color w:val="000000"/>
          <w:sz w:val="32"/>
          <w:szCs w:val="32"/>
        </w:rPr>
        <w:t>险提标扩面政策，保障社会救助、优抚安置等工作，稳步提升</w:t>
      </w:r>
      <w:r>
        <w:rPr>
          <w:rFonts w:hint="eastAsia" w:eastAsia="方正仿宋_GBK"/>
          <w:color w:val="000000"/>
          <w:spacing w:val="-2"/>
          <w:sz w:val="32"/>
          <w:szCs w:val="32"/>
        </w:rPr>
        <w:t>保障水平，增进民生福祉；文化服务体系建设资金900万元，持</w:t>
      </w:r>
      <w:r>
        <w:rPr>
          <w:rFonts w:hint="eastAsia" w:eastAsia="方正仿宋_GBK"/>
          <w:color w:val="000000"/>
          <w:sz w:val="32"/>
          <w:szCs w:val="32"/>
        </w:rPr>
        <w:t>续推进公共文化及农村文化建设。</w:t>
      </w:r>
    </w:p>
    <w:p>
      <w:pPr>
        <w:spacing w:line="560" w:lineRule="exact"/>
        <w:ind w:firstLine="640" w:firstLineChars="200"/>
        <w:rPr>
          <w:rFonts w:eastAsia="方正仿宋_GBK"/>
          <w:color w:val="000000"/>
          <w:sz w:val="32"/>
          <w:szCs w:val="32"/>
        </w:rPr>
      </w:pPr>
      <w:r>
        <w:rPr>
          <w:rFonts w:hint="eastAsia" w:eastAsia="方正仿宋_GBK"/>
          <w:b/>
          <w:bCs/>
          <w:color w:val="000000"/>
          <w:sz w:val="32"/>
          <w:szCs w:val="32"/>
        </w:rPr>
        <w:t>第四，积极促进发展方式绿色转型。</w:t>
      </w:r>
      <w:r>
        <w:rPr>
          <w:rFonts w:hint="eastAsia" w:eastAsia="方正仿宋_GBK"/>
          <w:color w:val="000000"/>
          <w:sz w:val="32"/>
          <w:szCs w:val="32"/>
        </w:rPr>
        <w:t>安排资金1.49亿元，深入实施可持续发展战略，构建生态文明体系，持续改善环境质量。包括：水污染防治资金0.12亿元，重点用于入海河流水质保障服务项目，持续实施水污染防治计划，改善河流水质；</w:t>
      </w:r>
      <w:r>
        <w:rPr>
          <w:rFonts w:hint="eastAsia" w:eastAsia="方正仿宋_GBK"/>
          <w:color w:val="000000"/>
          <w:spacing w:val="-2"/>
          <w:sz w:val="32"/>
          <w:szCs w:val="32"/>
        </w:rPr>
        <w:t>大气污染防治资金586万元，主要保障冬季清洁取暖改造资金及</w:t>
      </w:r>
      <w:r>
        <w:rPr>
          <w:rFonts w:hint="eastAsia" w:eastAsia="方正仿宋_GBK"/>
          <w:color w:val="000000"/>
          <w:sz w:val="32"/>
          <w:szCs w:val="32"/>
        </w:rPr>
        <w:t>洁净煤补贴；继续推动海洋生态保护修复工程实施资金0.54亿</w:t>
      </w:r>
      <w:r>
        <w:rPr>
          <w:rFonts w:hint="eastAsia" w:eastAsia="方正仿宋_GBK"/>
          <w:color w:val="000000"/>
          <w:spacing w:val="-4"/>
          <w:sz w:val="32"/>
          <w:szCs w:val="32"/>
        </w:rPr>
        <w:t>元，重点用于金沙湾及七里海生态保护修复工程退养；造林绿化0.77亿元，重点用于实施造林绿化及土地流转、园林养护等项目。</w:t>
      </w:r>
    </w:p>
    <w:p>
      <w:pPr>
        <w:shd w:val="clear" w:color="auto" w:fill="FFFFFF"/>
        <w:spacing w:line="560" w:lineRule="exact"/>
        <w:ind w:firstLine="640" w:firstLineChars="200"/>
        <w:textAlignment w:val="baseline"/>
        <w:rPr>
          <w:rFonts w:eastAsia="方正仿宋_GBK"/>
          <w:color w:val="000000"/>
          <w:sz w:val="32"/>
          <w:szCs w:val="32"/>
        </w:rPr>
      </w:pPr>
      <w:r>
        <w:rPr>
          <w:rFonts w:hint="eastAsia" w:eastAsia="方正仿宋_GBK"/>
          <w:b/>
          <w:bCs/>
          <w:color w:val="000000"/>
          <w:sz w:val="32"/>
          <w:szCs w:val="32"/>
        </w:rPr>
        <w:t>第五，持续推进乡村振兴战略实施。</w:t>
      </w:r>
      <w:r>
        <w:rPr>
          <w:rFonts w:hint="eastAsia" w:eastAsia="方正仿宋_GBK"/>
          <w:color w:val="000000"/>
          <w:sz w:val="32"/>
          <w:szCs w:val="32"/>
        </w:rPr>
        <w:t>安排经费0.33亿元，全面推进乡村振兴战略，持续巩固脱贫攻坚成果，改善乡村环境。包括：农村人居环境改善资金0.16亿元，重点用于农村冬季清洁取暖、农村环卫保洁、河道保洁及污水治理等项目；加强村级组织运转和服务群众能力，安排村级支出0.16亿元，足额落实村干部工资补贴，保障村级办公经费及村党组织活动经费；其他乡村振兴补助资金127万元。</w:t>
      </w:r>
    </w:p>
    <w:p>
      <w:pPr>
        <w:spacing w:line="560" w:lineRule="exact"/>
        <w:ind w:firstLine="640" w:firstLineChars="200"/>
        <w:rPr>
          <w:rFonts w:eastAsia="方正仿宋_GBK"/>
          <w:color w:val="000000"/>
          <w:sz w:val="32"/>
          <w:szCs w:val="32"/>
        </w:rPr>
      </w:pPr>
      <w:r>
        <w:rPr>
          <w:rFonts w:hint="eastAsia" w:eastAsia="方正仿宋_GBK"/>
          <w:b/>
          <w:bCs/>
          <w:color w:val="000000"/>
          <w:sz w:val="32"/>
          <w:szCs w:val="32"/>
        </w:rPr>
        <w:t>第六，加快推进经济高质量发展。</w:t>
      </w:r>
      <w:r>
        <w:rPr>
          <w:rFonts w:hint="eastAsia" w:eastAsia="方正仿宋_GBK"/>
          <w:color w:val="000000"/>
          <w:sz w:val="32"/>
          <w:szCs w:val="32"/>
        </w:rPr>
        <w:t>安排资金2.43亿元，着力推动产业兴区，促进新区可持续发展，提升核心竞争力。包括：产业引导及重点产业发展扶持资金和项目前期费等1.46亿元，增强产业创新扶持力度，助力生命健康产业快速发展；基础设施建设资金0.9亿元，夯实区域设施建设发展水平；招商引</w:t>
      </w:r>
      <w:r>
        <w:rPr>
          <w:rFonts w:hint="eastAsia" w:eastAsia="方正仿宋_GBK"/>
          <w:color w:val="000000"/>
          <w:spacing w:val="-2"/>
          <w:sz w:val="32"/>
          <w:szCs w:val="32"/>
        </w:rPr>
        <w:t>资等资金安排349万元，发挥财政资金引领带动作用，积极推进招商引资，持续优化营商环境，助推经济高质量发展；推进旅游文化体育产业发展资金417万元，促进生态文旅产业健康发展。</w:t>
      </w:r>
    </w:p>
    <w:p>
      <w:pPr>
        <w:spacing w:line="560" w:lineRule="exact"/>
        <w:ind w:firstLine="640" w:firstLineChars="200"/>
        <w:rPr>
          <w:rFonts w:eastAsia="方正仿宋_GBK"/>
          <w:color w:val="000000"/>
          <w:sz w:val="32"/>
          <w:szCs w:val="32"/>
        </w:rPr>
      </w:pPr>
      <w:r>
        <w:rPr>
          <w:rFonts w:hint="eastAsia" w:eastAsia="方正仿宋_GBK"/>
          <w:b/>
          <w:bCs/>
          <w:color w:val="000000"/>
          <w:sz w:val="32"/>
          <w:szCs w:val="32"/>
        </w:rPr>
        <w:t>第七，稳步提升城市治理水平。</w:t>
      </w:r>
      <w:r>
        <w:rPr>
          <w:rFonts w:hint="eastAsia" w:eastAsia="方正仿宋_GBK"/>
          <w:color w:val="000000"/>
          <w:sz w:val="32"/>
          <w:szCs w:val="32"/>
        </w:rPr>
        <w:t>提升城市和社会治理水平，维护公共安全。安排资金0.17亿元，加强安全体系和能力建设，</w:t>
      </w:r>
      <w:r>
        <w:rPr>
          <w:rFonts w:hint="eastAsia" w:eastAsia="方正仿宋_GBK"/>
          <w:color w:val="000000"/>
          <w:spacing w:val="-2"/>
          <w:sz w:val="32"/>
          <w:szCs w:val="32"/>
        </w:rPr>
        <w:t>保障人民生命安全，维护社会稳定。公共安全经费0.11亿元，用</w:t>
      </w:r>
      <w:r>
        <w:rPr>
          <w:rFonts w:hint="eastAsia" w:eastAsia="方正仿宋_GBK"/>
          <w:color w:val="000000"/>
          <w:sz w:val="32"/>
          <w:szCs w:val="32"/>
        </w:rPr>
        <w:t>于公共安全设施运行维护、司法和法律服务等项目；安排安全生产、应急防灾减灾项目资金556万元，提升应急救援能力，加强安全生产监管。</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此外，安排预备费0.2亿元。</w:t>
      </w:r>
    </w:p>
    <w:p>
      <w:pPr>
        <w:spacing w:line="560" w:lineRule="exact"/>
        <w:ind w:firstLine="640" w:firstLineChars="200"/>
        <w:outlineLvl w:val="2"/>
        <w:rPr>
          <w:rFonts w:eastAsia="方正仿宋_GBK"/>
          <w:b/>
          <w:bCs/>
          <w:color w:val="000000"/>
          <w:sz w:val="32"/>
          <w:szCs w:val="32"/>
        </w:rPr>
      </w:pPr>
      <w:r>
        <w:rPr>
          <w:rFonts w:eastAsia="方正仿宋_GBK"/>
          <w:b/>
          <w:bCs/>
          <w:color w:val="000000"/>
          <w:sz w:val="32"/>
          <w:szCs w:val="32"/>
        </w:rPr>
        <w:t>2.政府性基金预算安排情况</w:t>
      </w:r>
    </w:p>
    <w:p>
      <w:pPr>
        <w:spacing w:line="560" w:lineRule="exact"/>
        <w:ind w:firstLine="624" w:firstLineChars="200"/>
        <w:rPr>
          <w:rFonts w:eastAsia="方正仿宋_GBK"/>
          <w:color w:val="000000"/>
          <w:sz w:val="32"/>
          <w:szCs w:val="32"/>
        </w:rPr>
      </w:pPr>
      <w:r>
        <w:rPr>
          <w:rFonts w:hint="eastAsia" w:eastAsia="方正仿宋_GBK"/>
          <w:color w:val="000000"/>
          <w:spacing w:val="-4"/>
          <w:sz w:val="32"/>
          <w:szCs w:val="32"/>
        </w:rPr>
        <w:t>本级收入预算安排15亿元，其中：国有土地使用权出让收入</w:t>
      </w:r>
      <w:r>
        <w:rPr>
          <w:rFonts w:hint="eastAsia" w:eastAsia="方正仿宋_GBK"/>
          <w:color w:val="000000"/>
          <w:spacing w:val="-2"/>
          <w:sz w:val="32"/>
          <w:szCs w:val="32"/>
        </w:rPr>
        <w:t>14.5亿元，城市基础设施配套费收入0.49亿元，污水处理费收入</w:t>
      </w:r>
      <w:r>
        <w:rPr>
          <w:rFonts w:hint="eastAsia" w:eastAsia="方正仿宋_GBK"/>
          <w:color w:val="000000"/>
          <w:sz w:val="32"/>
          <w:szCs w:val="32"/>
        </w:rPr>
        <w:t>10万元。加上再融资专项债券收入6.03亿元，提前通知的转移支付资金72万元，收入总计21.04亿元。</w:t>
      </w:r>
    </w:p>
    <w:p>
      <w:pPr>
        <w:spacing w:line="560" w:lineRule="exact"/>
        <w:ind w:firstLine="624" w:firstLineChars="200"/>
        <w:rPr>
          <w:rFonts w:eastAsia="方正仿宋_GBK"/>
          <w:color w:val="000000"/>
          <w:spacing w:val="-4"/>
          <w:sz w:val="32"/>
          <w:szCs w:val="32"/>
        </w:rPr>
      </w:pPr>
      <w:r>
        <w:rPr>
          <w:rFonts w:hint="eastAsia" w:eastAsia="方正仿宋_GBK"/>
          <w:color w:val="000000"/>
          <w:spacing w:val="-4"/>
          <w:sz w:val="32"/>
          <w:szCs w:val="32"/>
        </w:rPr>
        <w:t>根据收支平衡原则，本级支出预算安排9.79亿元，加上调出资金4.62亿元、债务还本支出6.63亿元（其中：本级财力偿还0.6亿元，再融资债还本支出6.03亿元），支出总计21.04亿元。</w:t>
      </w:r>
    </w:p>
    <w:p>
      <w:pPr>
        <w:spacing w:line="560" w:lineRule="exact"/>
        <w:ind w:firstLine="600" w:firstLineChars="200"/>
        <w:outlineLvl w:val="2"/>
        <w:rPr>
          <w:rFonts w:eastAsia="方正仿宋_GBK"/>
          <w:b/>
          <w:bCs/>
          <w:color w:val="000000"/>
          <w:sz w:val="30"/>
          <w:szCs w:val="30"/>
        </w:rPr>
      </w:pPr>
      <w:r>
        <w:rPr>
          <w:rFonts w:hint="eastAsia" w:eastAsia="方正仿宋_GBK"/>
          <w:b/>
          <w:bCs/>
          <w:color w:val="000000"/>
          <w:sz w:val="30"/>
          <w:szCs w:val="30"/>
        </w:rPr>
        <w:t>3.社会保险基金预算安排情况</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2026年区级统筹社会保险基金共2项，其中：</w:t>
      </w:r>
    </w:p>
    <w:p>
      <w:pPr>
        <w:spacing w:line="560" w:lineRule="exact"/>
        <w:ind w:firstLine="632" w:firstLineChars="200"/>
        <w:rPr>
          <w:rFonts w:eastAsia="方正仿宋_GBK"/>
          <w:color w:val="000000"/>
          <w:sz w:val="32"/>
          <w:szCs w:val="32"/>
        </w:rPr>
      </w:pPr>
      <w:r>
        <w:rPr>
          <w:rFonts w:hint="eastAsia" w:eastAsia="方正仿宋_GBK"/>
          <w:color w:val="000000"/>
          <w:spacing w:val="-2"/>
          <w:sz w:val="32"/>
          <w:szCs w:val="32"/>
        </w:rPr>
        <w:t>城乡居民基本养老保险基金上年结余1.53亿元，本年收入预</w:t>
      </w:r>
      <w:r>
        <w:rPr>
          <w:rFonts w:hint="eastAsia" w:eastAsia="方正仿宋_GBK"/>
          <w:color w:val="000000"/>
          <w:sz w:val="32"/>
          <w:szCs w:val="32"/>
        </w:rPr>
        <w:t>计0.53亿元，本年支出预计0.50亿元，年末滚存结余预计1.56亿元。</w:t>
      </w:r>
    </w:p>
    <w:p>
      <w:pPr>
        <w:spacing w:line="560" w:lineRule="exact"/>
        <w:ind w:firstLine="632" w:firstLineChars="200"/>
        <w:rPr>
          <w:rFonts w:eastAsia="方正仿宋_GBK"/>
          <w:color w:val="000000"/>
          <w:sz w:val="32"/>
          <w:szCs w:val="32"/>
        </w:rPr>
      </w:pPr>
      <w:r>
        <w:rPr>
          <w:rFonts w:hint="eastAsia" w:eastAsia="方正仿宋_GBK"/>
          <w:color w:val="000000"/>
          <w:spacing w:val="-2"/>
          <w:sz w:val="32"/>
          <w:szCs w:val="32"/>
        </w:rPr>
        <w:t>机关事业单位基本养老保险上年结余0.08亿元，本年基金收</w:t>
      </w:r>
      <w:r>
        <w:rPr>
          <w:rFonts w:hint="eastAsia" w:eastAsia="方正仿宋_GBK"/>
          <w:color w:val="000000"/>
          <w:sz w:val="32"/>
          <w:szCs w:val="32"/>
        </w:rPr>
        <w:t>入预计0.75亿元（包含区级补贴资金0.22亿元），本年支出预计0.79亿元，年末滚存结余预计为0.04亿元。</w:t>
      </w:r>
    </w:p>
    <w:p>
      <w:pPr>
        <w:spacing w:line="560" w:lineRule="exact"/>
        <w:ind w:firstLine="632" w:firstLineChars="200"/>
        <w:rPr>
          <w:rFonts w:eastAsia="方正仿宋_GBK"/>
          <w:color w:val="000000"/>
          <w:sz w:val="32"/>
          <w:szCs w:val="32"/>
        </w:rPr>
      </w:pPr>
      <w:r>
        <w:rPr>
          <w:rFonts w:hint="eastAsia" w:eastAsia="方正仿宋_GBK"/>
          <w:color w:val="000000"/>
          <w:spacing w:val="-2"/>
          <w:sz w:val="32"/>
          <w:szCs w:val="32"/>
        </w:rPr>
        <w:t>需要说明的是，2026年到期政府债券本息已足额列入年初预</w:t>
      </w:r>
      <w:r>
        <w:rPr>
          <w:rFonts w:hint="eastAsia" w:eastAsia="方正仿宋_GBK"/>
          <w:color w:val="000000"/>
          <w:spacing w:val="-4"/>
          <w:sz w:val="32"/>
          <w:szCs w:val="32"/>
        </w:rPr>
        <w:t>算，需偿还一般债券本金3.43亿元，支付利息及相关费用0.55亿</w:t>
      </w:r>
      <w:r>
        <w:rPr>
          <w:rFonts w:hint="eastAsia" w:eastAsia="方正仿宋_GBK"/>
          <w:color w:val="000000"/>
          <w:spacing w:val="-2"/>
          <w:sz w:val="32"/>
          <w:szCs w:val="32"/>
        </w:rPr>
        <w:t>元，本息合计3.98亿元，其中：通过发行再融资债券偿还到期本</w:t>
      </w:r>
      <w:r>
        <w:rPr>
          <w:rFonts w:hint="eastAsia" w:eastAsia="方正仿宋_GBK"/>
          <w:color w:val="000000"/>
          <w:sz w:val="32"/>
          <w:szCs w:val="32"/>
        </w:rPr>
        <w:t>金3.08亿元，通过一般公共预算安排偿还本息0.9亿元。需偿还专项债券本金6.63亿元，支付利息及相关费用1.95亿元，本息合计8.58亿元，其中：争取再融资债券偿还到期本金6.03亿元，通过政府性基金预算安排偿还本息2.55亿元。</w:t>
      </w:r>
    </w:p>
    <w:p>
      <w:pPr>
        <w:spacing w:line="560" w:lineRule="exact"/>
        <w:ind w:firstLine="624" w:firstLineChars="200"/>
        <w:rPr>
          <w:rFonts w:eastAsia="方正仿宋_GBK"/>
          <w:color w:val="000000"/>
          <w:sz w:val="32"/>
          <w:szCs w:val="32"/>
        </w:rPr>
      </w:pPr>
      <w:r>
        <w:rPr>
          <w:rFonts w:hint="eastAsia" w:eastAsia="方正仿宋_GBK"/>
          <w:color w:val="000000"/>
          <w:spacing w:val="-4"/>
          <w:sz w:val="32"/>
          <w:szCs w:val="32"/>
        </w:rPr>
        <w:t>新区共有3家区属企业，均处于亏损或待注销状态，2026年</w:t>
      </w:r>
      <w:r>
        <w:rPr>
          <w:rFonts w:hint="eastAsia" w:eastAsia="方正仿宋_GBK"/>
          <w:color w:val="000000"/>
          <w:sz w:val="32"/>
          <w:szCs w:val="32"/>
        </w:rPr>
        <w:t>不能取得国有资本经营收入，故未编制国有资本经营预算。此外，</w:t>
      </w:r>
      <w:r>
        <w:rPr>
          <w:rFonts w:eastAsia="方正仿宋_GBK"/>
          <w:color w:val="000000"/>
          <w:sz w:val="32"/>
          <w:szCs w:val="32"/>
        </w:rPr>
        <w:t>区级共收到上级财政提前通知专项转移支付资金</w:t>
      </w:r>
      <w:r>
        <w:rPr>
          <w:rFonts w:hint="eastAsia" w:eastAsia="方正仿宋_GBK"/>
          <w:color w:val="000000"/>
          <w:spacing w:val="-2"/>
          <w:sz w:val="32"/>
          <w:szCs w:val="32"/>
        </w:rPr>
        <w:t>1.9亿</w:t>
      </w:r>
      <w:r>
        <w:rPr>
          <w:rFonts w:eastAsia="方正仿宋_GBK"/>
          <w:color w:val="000000"/>
          <w:spacing w:val="-2"/>
          <w:sz w:val="32"/>
          <w:szCs w:val="32"/>
        </w:rPr>
        <w:t>元，按照专款专用使用方向，已全部细化编制到具体项目</w:t>
      </w:r>
      <w:r>
        <w:rPr>
          <w:rFonts w:eastAsia="方正仿宋_GBK"/>
          <w:color w:val="000000"/>
          <w:sz w:val="32"/>
          <w:szCs w:val="32"/>
        </w:rPr>
        <w:t>和单位。</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按照预算法及其实施条例规定，在2026年预算年度开始后、市人代会批准预算之前，新区财政需将必要的基本支出、政府债务还本付息等资金进行预拨，待市人代会批准预算后，再正式予以下达。</w:t>
      </w:r>
    </w:p>
    <w:p>
      <w:pPr>
        <w:spacing w:line="540" w:lineRule="exact"/>
        <w:ind w:firstLine="640" w:firstLineChars="200"/>
        <w:rPr>
          <w:rFonts w:ascii="黑体" w:eastAsia="黑体" w:cs="黑体"/>
          <w:color w:val="000000"/>
          <w:sz w:val="32"/>
          <w:szCs w:val="32"/>
        </w:rPr>
      </w:pPr>
      <w:r>
        <w:rPr>
          <w:rFonts w:hint="eastAsia" w:ascii="黑体" w:eastAsia="黑体" w:cs="黑体"/>
          <w:color w:val="000000"/>
          <w:sz w:val="32"/>
          <w:szCs w:val="32"/>
        </w:rPr>
        <w:t>三、</w:t>
      </w:r>
      <w:r>
        <w:rPr>
          <w:rFonts w:hint="eastAsia" w:eastAsia="黑体" w:cs="黑体"/>
          <w:color w:val="000000"/>
          <w:sz w:val="32"/>
          <w:szCs w:val="32"/>
        </w:rPr>
        <w:t>2026</w:t>
      </w:r>
      <w:r>
        <w:rPr>
          <w:rFonts w:hint="eastAsia" w:ascii="黑体" w:eastAsia="黑体" w:cs="黑体"/>
          <w:color w:val="000000"/>
          <w:sz w:val="32"/>
          <w:szCs w:val="32"/>
        </w:rPr>
        <w:t>年预算执行重点工作</w:t>
      </w:r>
    </w:p>
    <w:p>
      <w:pPr>
        <w:shd w:val="clear" w:color="auto" w:fill="FFFFFF"/>
        <w:spacing w:line="540" w:lineRule="exact"/>
        <w:ind w:firstLine="640" w:firstLineChars="200"/>
        <w:textAlignment w:val="baseline"/>
        <w:rPr>
          <w:rFonts w:eastAsia="方正仿宋_GBK"/>
          <w:color w:val="000000"/>
          <w:sz w:val="32"/>
          <w:szCs w:val="32"/>
        </w:rPr>
      </w:pPr>
      <w:r>
        <w:rPr>
          <w:rFonts w:hint="eastAsia" w:eastAsia="方正仿宋_GBK"/>
          <w:color w:val="000000"/>
          <w:sz w:val="32"/>
          <w:szCs w:val="32"/>
        </w:rPr>
        <w:t>围绕上述指导思想和预算安排，2026年我们将进一步加强预算管理，抓好以下重点工作。</w:t>
      </w:r>
    </w:p>
    <w:p>
      <w:pPr>
        <w:spacing w:line="540" w:lineRule="exact"/>
        <w:ind w:firstLine="640" w:firstLineChars="200"/>
        <w:rPr>
          <w:rFonts w:eastAsia="方正仿宋_GBK"/>
          <w:color w:val="000000"/>
          <w:sz w:val="32"/>
          <w:szCs w:val="32"/>
        </w:rPr>
      </w:pPr>
      <w:r>
        <w:rPr>
          <w:rFonts w:hint="eastAsia" w:ascii="方正楷体简体" w:hAnsi="方正楷体简体" w:eastAsia="方正楷体简体" w:cs="方正楷体简体"/>
          <w:bCs/>
          <w:color w:val="000000"/>
          <w:sz w:val="32"/>
          <w:szCs w:val="32"/>
        </w:rPr>
        <w:t>（一）加强收支管理，提高财政资金质量。</w:t>
      </w:r>
      <w:r>
        <w:rPr>
          <w:rFonts w:hint="eastAsia" w:ascii="方正仿宋简体" w:hAnsi="方正仿宋简体" w:eastAsia="方正仿宋_GBK" w:cs="方正仿宋简体"/>
          <w:b/>
          <w:color w:val="000000"/>
          <w:sz w:val="32"/>
          <w:szCs w:val="32"/>
        </w:rPr>
        <w:t>一是</w:t>
      </w:r>
      <w:r>
        <w:rPr>
          <w:rFonts w:hint="eastAsia" w:eastAsia="方正仿宋_GBK"/>
          <w:color w:val="000000"/>
          <w:sz w:val="32"/>
          <w:szCs w:val="32"/>
        </w:rPr>
        <w:t>依法依规组织财政收入，科学研判财经形势，强化财税部门协调联动，加强税源监控分析，做到依法征收、应收尽收。</w:t>
      </w:r>
      <w:r>
        <w:rPr>
          <w:rFonts w:hint="eastAsia" w:eastAsia="方正仿宋_GBK"/>
          <w:b/>
          <w:color w:val="000000"/>
          <w:sz w:val="32"/>
          <w:szCs w:val="32"/>
        </w:rPr>
        <w:t>二是</w:t>
      </w:r>
      <w:r>
        <w:rPr>
          <w:rFonts w:hint="eastAsia" w:eastAsia="方正仿宋_GBK"/>
          <w:color w:val="000000"/>
          <w:sz w:val="32"/>
          <w:szCs w:val="32"/>
        </w:rPr>
        <w:t>加强与自然资源、住建部门配合，加快推进土地出转让进度，增加土地出让收入。</w:t>
      </w:r>
      <w:r>
        <w:rPr>
          <w:rFonts w:hint="eastAsia" w:eastAsia="方正仿宋_GBK"/>
          <w:b/>
          <w:color w:val="000000"/>
          <w:sz w:val="32"/>
          <w:szCs w:val="32"/>
        </w:rPr>
        <w:t>三是</w:t>
      </w:r>
      <w:r>
        <w:rPr>
          <w:rFonts w:hint="eastAsia" w:eastAsia="方正仿宋_GBK"/>
          <w:color w:val="000000"/>
          <w:sz w:val="32"/>
          <w:szCs w:val="32"/>
        </w:rPr>
        <w:t>深入研究上级政策和资金支持动向，及时梳理省市重点项目，找准与新区项目的对接点，加大争取资金力度。加强跑办申请新增专项债券额度，积极争取债务限额。</w:t>
      </w:r>
    </w:p>
    <w:p>
      <w:pPr>
        <w:spacing w:line="540" w:lineRule="exact"/>
        <w:ind w:firstLine="640" w:firstLineChars="200"/>
        <w:contextualSpacing/>
        <w:rPr>
          <w:rFonts w:eastAsia="方正仿宋_GBK"/>
          <w:color w:val="000000"/>
          <w:sz w:val="32"/>
          <w:szCs w:val="32"/>
        </w:rPr>
      </w:pPr>
      <w:r>
        <w:rPr>
          <w:rFonts w:hint="eastAsia" w:ascii="方正楷体简体" w:hAnsi="方正楷体简体" w:eastAsia="方正楷体简体" w:cs="方正楷体简体"/>
          <w:bCs/>
          <w:color w:val="000000"/>
          <w:sz w:val="32"/>
          <w:szCs w:val="32"/>
        </w:rPr>
        <w:t>（二）优化支出结构，充分发挥财政保障作用。</w:t>
      </w:r>
      <w:r>
        <w:rPr>
          <w:rFonts w:hint="eastAsia" w:eastAsia="方正仿宋_GBK"/>
          <w:b/>
          <w:color w:val="000000"/>
          <w:sz w:val="32"/>
          <w:szCs w:val="32"/>
        </w:rPr>
        <w:t>一是</w:t>
      </w:r>
      <w:r>
        <w:rPr>
          <w:rFonts w:hint="eastAsia" w:eastAsia="方正仿宋_GBK"/>
          <w:color w:val="000000"/>
          <w:sz w:val="32"/>
          <w:szCs w:val="32"/>
        </w:rPr>
        <w:t>加大民生投入，在兜底“三保”的基础上，加强涉及教育、医疗等重点民生领域的资金支出，落实弱势群体基本生活保障，支持乡村振兴战略。</w:t>
      </w:r>
      <w:r>
        <w:rPr>
          <w:rFonts w:hint="eastAsia" w:eastAsia="方正仿宋_GBK"/>
          <w:b/>
          <w:color w:val="000000"/>
          <w:sz w:val="32"/>
          <w:szCs w:val="32"/>
        </w:rPr>
        <w:t>二是</w:t>
      </w:r>
      <w:r>
        <w:rPr>
          <w:rFonts w:hint="eastAsia" w:eastAsia="方正仿宋_GBK"/>
          <w:color w:val="000000"/>
          <w:sz w:val="32"/>
          <w:szCs w:val="32"/>
        </w:rPr>
        <w:t>强化重点支出保障，积极筹措发展资金，为重点产业发展、基础设施建设、环境保护、重大风险防范化解等提供有力支撑。</w:t>
      </w:r>
      <w:r>
        <w:rPr>
          <w:rFonts w:hint="eastAsia" w:eastAsia="方正仿宋_GBK"/>
          <w:b/>
          <w:color w:val="000000"/>
          <w:sz w:val="32"/>
          <w:szCs w:val="32"/>
        </w:rPr>
        <w:t>三是</w:t>
      </w:r>
      <w:r>
        <w:rPr>
          <w:rFonts w:hint="eastAsia" w:eastAsia="方正仿宋_GBK"/>
          <w:color w:val="000000"/>
          <w:sz w:val="32"/>
          <w:szCs w:val="32"/>
        </w:rPr>
        <w:t>全面落实政府过紧日子要求，建立完善节约保障机制，充分考虑财政承受力，严把预算支出关口，提高财政支出的精准性、有效性。</w:t>
      </w:r>
    </w:p>
    <w:p>
      <w:pPr>
        <w:spacing w:line="540" w:lineRule="exact"/>
        <w:ind w:firstLine="640" w:firstLineChars="200"/>
        <w:rPr>
          <w:rFonts w:eastAsia="方正仿宋_GBK"/>
          <w:color w:val="000000"/>
          <w:sz w:val="32"/>
          <w:szCs w:val="32"/>
        </w:rPr>
      </w:pPr>
      <w:r>
        <w:rPr>
          <w:rFonts w:hint="eastAsia" w:ascii="方正楷体简体" w:hAnsi="方正楷体简体" w:eastAsia="方正楷体简体" w:cs="方正楷体简体"/>
          <w:bCs/>
          <w:color w:val="000000"/>
          <w:sz w:val="32"/>
          <w:szCs w:val="32"/>
        </w:rPr>
        <w:t>（三）深化体制改革，提高财政政策调控作用。</w:t>
      </w:r>
      <w:r>
        <w:rPr>
          <w:rFonts w:hint="eastAsia" w:eastAsia="方正仿宋_GBK"/>
          <w:b/>
          <w:color w:val="000000"/>
          <w:sz w:val="32"/>
          <w:szCs w:val="32"/>
        </w:rPr>
        <w:t>一是</w:t>
      </w:r>
      <w:r>
        <w:rPr>
          <w:rFonts w:hint="eastAsia" w:eastAsia="方正仿宋_GBK"/>
          <w:color w:val="000000"/>
          <w:sz w:val="32"/>
          <w:szCs w:val="32"/>
        </w:rPr>
        <w:t>对标财政科学管理要求，深化零基预算改革，打破支出固化格局，科学合理安排预算，推动建立有保有压、可增可减、动态调整的预算分配机制。</w:t>
      </w:r>
      <w:r>
        <w:rPr>
          <w:rFonts w:hint="eastAsia" w:eastAsia="方正仿宋_GBK"/>
          <w:b/>
          <w:color w:val="000000"/>
          <w:sz w:val="32"/>
          <w:szCs w:val="32"/>
        </w:rPr>
        <w:t>二是</w:t>
      </w:r>
      <w:r>
        <w:rPr>
          <w:rFonts w:hint="eastAsia" w:eastAsia="方正仿宋_GBK"/>
          <w:color w:val="000000"/>
          <w:sz w:val="32"/>
          <w:szCs w:val="32"/>
        </w:rPr>
        <w:t>有效发挥政府债券投资拉动作用，加强专项债项目谋划储备，提升项目质量，着力拉动有效投资。强化财政金融协同联动，健全财政支持普惠金融发展政策体系，全面落实财政引导金融支持实体经济发展十条措施，撬动更多金融资本支持经济发展。</w:t>
      </w:r>
      <w:r>
        <w:rPr>
          <w:rFonts w:hint="eastAsia" w:eastAsia="方正仿宋_GBK"/>
          <w:b/>
          <w:color w:val="000000"/>
          <w:sz w:val="32"/>
          <w:szCs w:val="32"/>
        </w:rPr>
        <w:t>三是</w:t>
      </w:r>
      <w:r>
        <w:rPr>
          <w:rFonts w:hint="eastAsia" w:eastAsia="方正仿宋_GBK"/>
          <w:color w:val="000000"/>
          <w:sz w:val="32"/>
          <w:szCs w:val="32"/>
        </w:rPr>
        <w:t>严格行政事业性国有资产管理，强化资产配置、使用、处置和分类盘活，提高利用效率。</w:t>
      </w:r>
    </w:p>
    <w:p>
      <w:pPr>
        <w:spacing w:line="540" w:lineRule="exact"/>
        <w:ind w:firstLine="640" w:firstLineChars="200"/>
        <w:rPr>
          <w:rFonts w:ascii="仿宋_GB2312" w:eastAsia="方正仿宋_GBK"/>
          <w:color w:val="000000"/>
          <w:sz w:val="32"/>
          <w:szCs w:val="32"/>
        </w:rPr>
      </w:pPr>
      <w:r>
        <w:rPr>
          <w:rFonts w:hint="eastAsia" w:ascii="方正楷体简体" w:hAnsi="方正楷体简体" w:eastAsia="方正楷体简体" w:cs="方正楷体简体"/>
          <w:bCs/>
          <w:color w:val="000000"/>
          <w:sz w:val="32"/>
          <w:szCs w:val="32"/>
        </w:rPr>
        <w:t>（四）树立底线思维，防控财政运行风险。</w:t>
      </w:r>
      <w:r>
        <w:rPr>
          <w:rFonts w:hint="eastAsia" w:eastAsia="方正仿宋_GBK"/>
          <w:b/>
          <w:color w:val="000000"/>
          <w:sz w:val="32"/>
          <w:szCs w:val="32"/>
        </w:rPr>
        <w:t>一是</w:t>
      </w:r>
      <w:r>
        <w:rPr>
          <w:rFonts w:hint="eastAsia" w:eastAsia="方正仿宋_GBK"/>
          <w:color w:val="000000"/>
          <w:sz w:val="32"/>
          <w:szCs w:val="32"/>
        </w:rPr>
        <w:t>兜牢兜实基层“三保”底线，加强“三保”支出预算审核，压实“三保”主体责任，确保预算安排不留缺口；加强“三保”运行监控，确保基层财政平稳运行。</w:t>
      </w:r>
      <w:r>
        <w:rPr>
          <w:rFonts w:hint="eastAsia" w:eastAsia="方正仿宋_GBK"/>
          <w:b/>
          <w:color w:val="000000"/>
          <w:sz w:val="32"/>
          <w:szCs w:val="32"/>
        </w:rPr>
        <w:t>二是</w:t>
      </w:r>
      <w:r>
        <w:rPr>
          <w:rFonts w:hint="eastAsia" w:eastAsia="方正仿宋_GBK"/>
          <w:color w:val="000000"/>
          <w:sz w:val="32"/>
          <w:szCs w:val="32"/>
        </w:rPr>
        <w:t>加强政府债务管理，严格地方政府债务限额管理，确保政府债券本息按时足额偿付；坚决遏制新增隐性债务，稳妥化解存量债务，牢牢守住不发生系统性风险的底线。</w:t>
      </w:r>
      <w:r>
        <w:rPr>
          <w:rFonts w:hint="eastAsia" w:eastAsia="方正仿宋_GBK"/>
          <w:b/>
          <w:color w:val="000000"/>
          <w:sz w:val="32"/>
          <w:szCs w:val="32"/>
        </w:rPr>
        <w:t>三是</w:t>
      </w:r>
      <w:r>
        <w:rPr>
          <w:rFonts w:hint="eastAsia" w:eastAsia="方正仿宋_GBK"/>
          <w:color w:val="000000"/>
          <w:sz w:val="32"/>
          <w:szCs w:val="32"/>
        </w:rPr>
        <w:t>强化预算绩效管理，健全重大政策和项目事前评估机制，加强重点绩效评价和结果运用，提升财政资金绩效。</w:t>
      </w:r>
    </w:p>
    <w:p>
      <w:pPr>
        <w:spacing w:line="540" w:lineRule="exact"/>
        <w:ind w:firstLine="640" w:firstLineChars="200"/>
        <w:rPr>
          <w:color w:val="000000"/>
        </w:rPr>
      </w:pPr>
      <w:r>
        <w:rPr>
          <w:rFonts w:hint="eastAsia" w:ascii="方正楷体简体" w:hAnsi="方正楷体简体" w:eastAsia="方正楷体简体" w:cs="方正楷体简体"/>
          <w:bCs/>
          <w:color w:val="000000"/>
          <w:sz w:val="32"/>
          <w:szCs w:val="32"/>
        </w:rPr>
        <w:t>（五）规范财经纪律，提升财政监管水平。</w:t>
      </w:r>
      <w:r>
        <w:rPr>
          <w:rFonts w:hint="eastAsia" w:eastAsia="方正仿宋_GBK"/>
          <w:b/>
          <w:color w:val="000000"/>
          <w:sz w:val="32"/>
          <w:szCs w:val="32"/>
        </w:rPr>
        <w:t>一是</w:t>
      </w:r>
      <w:r>
        <w:rPr>
          <w:rFonts w:hint="eastAsia" w:eastAsia="方正仿宋_GBK"/>
          <w:color w:val="000000"/>
          <w:sz w:val="32"/>
          <w:szCs w:val="32"/>
        </w:rPr>
        <w:t>认真贯彻预算法及其实施条例，进一步强化预算约束，严格执行人大批准的预算，严控预算调剂和追加，自觉接受人大预算决算监督审查。</w:t>
      </w:r>
      <w:r>
        <w:rPr>
          <w:rFonts w:hint="eastAsia" w:eastAsia="方正仿宋_GBK"/>
          <w:b/>
          <w:color w:val="000000"/>
          <w:sz w:val="32"/>
          <w:szCs w:val="32"/>
        </w:rPr>
        <w:t>二是</w:t>
      </w:r>
      <w:r>
        <w:rPr>
          <w:rFonts w:hint="eastAsia" w:eastAsia="方正仿宋_GBK"/>
          <w:color w:val="000000"/>
          <w:sz w:val="32"/>
          <w:szCs w:val="32"/>
        </w:rPr>
        <w:t>健全财会监督配套制度，完善财会监督与审计监督、统计监督等其他监督的贯通协调机制。开展财会监督专项行动，严格转移支付资金监管，推动资金规范使用、政策高效落实。</w:t>
      </w:r>
      <w:r>
        <w:rPr>
          <w:rFonts w:eastAsia="方正仿宋_GBK"/>
          <w:b/>
          <w:color w:val="000000"/>
          <w:sz w:val="32"/>
          <w:szCs w:val="32"/>
        </w:rPr>
        <w:t>三是</w:t>
      </w:r>
      <w:r>
        <w:rPr>
          <w:rFonts w:eastAsia="方正仿宋_GBK"/>
          <w:color w:val="000000"/>
          <w:kern w:val="0"/>
          <w:sz w:val="32"/>
          <w:szCs w:val="32"/>
        </w:rPr>
        <w:t>抓好财政资金监管，加强重点项目资金</w:t>
      </w:r>
      <w:r>
        <w:rPr>
          <w:rFonts w:hint="eastAsia" w:eastAsia="方正仿宋_GBK"/>
          <w:color w:val="000000"/>
          <w:kern w:val="0"/>
          <w:sz w:val="32"/>
          <w:szCs w:val="32"/>
        </w:rPr>
        <w:t>预算、结决算</w:t>
      </w:r>
      <w:r>
        <w:rPr>
          <w:rFonts w:eastAsia="方正仿宋_GBK"/>
          <w:color w:val="000000"/>
          <w:kern w:val="0"/>
          <w:sz w:val="32"/>
          <w:szCs w:val="32"/>
        </w:rPr>
        <w:t>审核监管，降低投资成本</w:t>
      </w:r>
      <w:r>
        <w:rPr>
          <w:rFonts w:hint="eastAsia" w:eastAsia="方正仿宋_GBK"/>
          <w:color w:val="000000"/>
          <w:kern w:val="0"/>
          <w:sz w:val="32"/>
          <w:szCs w:val="32"/>
        </w:rPr>
        <w:t>，提高政府投资效益</w:t>
      </w:r>
      <w:r>
        <w:rPr>
          <w:rFonts w:eastAsia="方正仿宋_GBK"/>
          <w:color w:val="000000"/>
          <w:kern w:val="0"/>
          <w:sz w:val="32"/>
          <w:szCs w:val="32"/>
        </w:rPr>
        <w:t>；强</w:t>
      </w:r>
      <w:r>
        <w:rPr>
          <w:rFonts w:eastAsia="方正仿宋_GBK"/>
          <w:color w:val="000000"/>
          <w:sz w:val="32"/>
          <w:szCs w:val="32"/>
        </w:rPr>
        <w:t>化专项资金和存量资金监督，提高资金使用效益；做好会计信息质量监督检查，严肃财经纪律。</w:t>
      </w:r>
    </w:p>
    <w:p>
      <w:pPr>
        <w:adjustRightInd w:val="0"/>
        <w:snapToGrid w:val="0"/>
        <w:spacing w:line="560" w:lineRule="exact"/>
        <w:rPr>
          <w:rFonts w:eastAsia="方正仿宋_GBK"/>
          <w:color w:val="000000"/>
          <w:sz w:val="32"/>
          <w:szCs w:val="32"/>
        </w:rPr>
      </w:pPr>
      <w:r>
        <w:rPr>
          <w:rFonts w:eastAsia="方正仿宋_GBK"/>
          <w:color w:val="000000"/>
        </w:rPr>
        <mc:AlternateContent>
          <mc:Choice Requires="wpg">
            <w:drawing>
              <wp:anchor distT="0" distB="0" distL="114300" distR="114300" simplePos="0" relativeHeight="251659264" behindDoc="0" locked="0" layoutInCell="1" allowOverlap="1">
                <wp:simplePos x="0" y="0"/>
                <wp:positionH relativeFrom="column">
                  <wp:posOffset>-55245</wp:posOffset>
                </wp:positionH>
                <wp:positionV relativeFrom="paragraph">
                  <wp:posOffset>1208405</wp:posOffset>
                </wp:positionV>
                <wp:extent cx="5647055" cy="444500"/>
                <wp:effectExtent l="0" t="0" r="0" b="0"/>
                <wp:wrapNone/>
                <wp:docPr id="5" name="组合 5"/>
                <wp:cNvGraphicFramePr/>
                <a:graphic xmlns:a="http://schemas.openxmlformats.org/drawingml/2006/main">
                  <a:graphicData uri="http://schemas.microsoft.com/office/word/2010/wordprocessingGroup">
                    <wpg:wgp>
                      <wpg:cNvGrpSpPr/>
                      <wpg:grpSpPr>
                        <a:xfrm>
                          <a:off x="0" y="0"/>
                          <a:ext cx="5647055" cy="444500"/>
                          <a:chOff x="1448" y="14259"/>
                          <a:chExt cx="8893" cy="700"/>
                        </a:xfrm>
                        <a:effectLst/>
                      </wpg:grpSpPr>
                      <wps:wsp>
                        <wps:cNvPr id="6" name="直接箭头连接符 10"/>
                        <wps:cNvCnPr>
                          <a:cxnSpLocks noChangeShapeType="1"/>
                        </wps:cNvCnPr>
                        <wps:spPr bwMode="auto">
                          <a:xfrm>
                            <a:off x="1477" y="14321"/>
                            <a:ext cx="8844" cy="0"/>
                          </a:xfrm>
                          <a:prstGeom prst="straightConnector1">
                            <a:avLst/>
                          </a:prstGeom>
                          <a:noFill/>
                          <a:ln w="9525">
                            <a:solidFill>
                              <a:srgbClr val="000000"/>
                            </a:solidFill>
                            <a:round/>
                          </a:ln>
                          <a:effectLst/>
                        </wps:spPr>
                        <wps:bodyPr/>
                      </wps:wsp>
                      <wps:wsp>
                        <wps:cNvPr id="7" name="直接箭头连接符 7"/>
                        <wps:cNvCnPr>
                          <a:cxnSpLocks noChangeShapeType="1"/>
                        </wps:cNvCnPr>
                        <wps:spPr bwMode="auto">
                          <a:xfrm>
                            <a:off x="1477" y="14959"/>
                            <a:ext cx="8844" cy="0"/>
                          </a:xfrm>
                          <a:prstGeom prst="straightConnector1">
                            <a:avLst/>
                          </a:prstGeom>
                          <a:noFill/>
                          <a:ln w="9525">
                            <a:solidFill>
                              <a:srgbClr val="000000"/>
                            </a:solidFill>
                            <a:round/>
                          </a:ln>
                          <a:effectLst/>
                        </wps:spPr>
                        <wps:bodyPr/>
                      </wps:wsp>
                      <wps:wsp>
                        <wps:cNvPr id="8" name="文本框 2"/>
                        <wps:cNvSpPr txBox="1">
                          <a:spLocks noChangeArrowheads="1"/>
                        </wps:cNvSpPr>
                        <wps:spPr bwMode="auto">
                          <a:xfrm>
                            <a:off x="1448" y="14259"/>
                            <a:ext cx="4037" cy="582"/>
                          </a:xfrm>
                          <a:prstGeom prst="rect">
                            <a:avLst/>
                          </a:prstGeom>
                          <a:noFill/>
                          <a:ln>
                            <a:noFill/>
                          </a:ln>
                          <a:effectLst/>
                        </wps:spPr>
                        <wps:txbx>
                          <w:txbxContent>
                            <w:p>
                              <w:pPr>
                                <w:ind w:left="105" w:leftChars="50"/>
                              </w:pPr>
                              <w:r>
                                <w:rPr>
                                  <w:rFonts w:hint="eastAsia" w:ascii="方正仿宋简体" w:eastAsia="方正仿宋_GBK" w:cs="Calibri"/>
                                  <w:spacing w:val="-8"/>
                                  <w:sz w:val="28"/>
                                  <w:szCs w:val="28"/>
                                </w:rPr>
                                <w:t>市十五届人大八次会议秘书处</w:t>
                              </w:r>
                            </w:p>
                          </w:txbxContent>
                        </wps:txbx>
                        <wps:bodyPr rot="0" vert="horz" wrap="square" lIns="91440" tIns="45720" rIns="91440" bIns="45720" anchor="t" anchorCtr="0" upright="1">
                          <a:noAutofit/>
                        </wps:bodyPr>
                      </wps:wsp>
                      <wps:wsp>
                        <wps:cNvPr id="9" name="文本框 2"/>
                        <wps:cNvSpPr txBox="1">
                          <a:spLocks noChangeArrowheads="1"/>
                        </wps:cNvSpPr>
                        <wps:spPr bwMode="auto">
                          <a:xfrm>
                            <a:off x="7288" y="14259"/>
                            <a:ext cx="3053" cy="582"/>
                          </a:xfrm>
                          <a:prstGeom prst="rect">
                            <a:avLst/>
                          </a:prstGeom>
                          <a:noFill/>
                          <a:ln>
                            <a:noFill/>
                          </a:ln>
                          <a:effectLst/>
                        </wps:spPr>
                        <wps:txbx>
                          <w:txbxContent>
                            <w:p>
                              <w:pPr>
                                <w:ind w:right="105" w:rightChars="50"/>
                                <w:jc w:val="right"/>
                              </w:pPr>
                              <w:r>
                                <w:rPr>
                                  <w:rFonts w:eastAsia="方正仿宋_GBK"/>
                                  <w:sz w:val="28"/>
                                  <w:szCs w:val="28"/>
                                </w:rPr>
                                <w:t>2026年</w:t>
                              </w:r>
                              <w:r>
                                <w:rPr>
                                  <w:rFonts w:hint="eastAsia" w:eastAsia="方正仿宋_GBK"/>
                                  <w:sz w:val="28"/>
                                  <w:szCs w:val="28"/>
                                </w:rPr>
                                <w:t>1</w:t>
                              </w:r>
                              <w:r>
                                <w:rPr>
                                  <w:rFonts w:eastAsia="方正仿宋_GBK"/>
                                  <w:sz w:val="28"/>
                                  <w:szCs w:val="28"/>
                                </w:rPr>
                                <w:t>月</w:t>
                              </w:r>
                              <w:r>
                                <w:rPr>
                                  <w:rFonts w:hint="eastAsia" w:eastAsia="方正仿宋_GBK"/>
                                  <w:sz w:val="28"/>
                                  <w:szCs w:val="28"/>
                                </w:rPr>
                                <w:t>31</w:t>
                              </w:r>
                              <w:r>
                                <w:rPr>
                                  <w:rFonts w:eastAsia="方正仿宋_GBK"/>
                                  <w:sz w:val="28"/>
                                  <w:szCs w:val="28"/>
                                </w:rPr>
                                <w:t>日印发</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35pt;margin-top:95.15pt;height:35pt;width:444.65pt;z-index:251659264;mso-width-relative:page;mso-height-relative:page;" coordorigin="1448,14259" coordsize="8893,700" o:gfxdata="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IQ0kTrZAAAACgEAAA8AAAAAAAAAAQAgAAAAIgAAAGRycy9kb3ducmV2Lnht&#10;bFBLAQIUABQAAAAIAIdO4kDUzcUrTgMAAD8LAAAOAAAAAAAAAAEAIAAAACgBAABkcnMvZTJvRG9j&#10;LnhtbFBLBQYAAAAABgAGAFkBAADoBgAAAAA=&#10;">
                <o:lock v:ext="edit" grouping="f" rotation="f" aspectratio="f"/>
                <v:shape id="直接箭头连接符 10" o:spid="_x0000_s1026" o:spt="32" type="#_x0000_t32" style="position:absolute;left:1477;top:14321;height:0;width:884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path arrowok="t"/>
                  <v:fill on="f" focussize="0,0"/>
                  <v:stroke/>
                  <v:imagedata o:title=""/>
                  <o:lock v:ext="edit" grouping="f" rotation="f" aspectratio="f"/>
                </v:shape>
                <v:shape id="_x0000_s1026" o:spid="_x0000_s1026" o:spt="32" type="#_x0000_t32" style="position:absolute;left:1477;top:14959;height:0;width:884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path arrowok="t"/>
                  <v:fill on="f" focussize="0,0"/>
                  <v:stroke/>
                  <v:imagedata o:title=""/>
                  <o:lock v:ext="edit" grouping="f" rotation="f" aspectratio="f"/>
                </v:shape>
                <v:shape id="文本框 2" o:spid="_x0000_s1026" o:spt="202" type="#_x0000_t202" style="position:absolute;left:1448;top:14259;height:582;width:403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v:path/>
                  <v:fill on="f" focussize="0,0"/>
                  <v:stroke on="f"/>
                  <v:imagedata o:title=""/>
                  <o:lock v:ext="edit" grouping="f" rotation="f" text="f" aspectratio="f"/>
                  <v:textbox>
                    <w:txbxContent>
                      <w:p>
                        <w:pPr>
                          <w:ind w:left="105" w:leftChars="50"/>
                        </w:pPr>
                        <w:r>
                          <w:rPr>
                            <w:rFonts w:hint="eastAsia" w:ascii="方正仿宋简体" w:eastAsia="方正仿宋_GBK" w:cs="Calibri"/>
                            <w:spacing w:val="-8"/>
                            <w:sz w:val="28"/>
                            <w:szCs w:val="28"/>
                          </w:rPr>
                          <w:t>市十五届人大八次会议秘书处</w:t>
                        </w:r>
                      </w:p>
                    </w:txbxContent>
                  </v:textbox>
                </v:shape>
                <v:shape id="文本框 2" o:spid="_x0000_s1026" o:spt="202" type="#_x0000_t202" style="position:absolute;left:7288;top:14259;height:582;width:305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v:path/>
                  <v:fill on="f" focussize="0,0"/>
                  <v:stroke on="f"/>
                  <v:imagedata o:title=""/>
                  <o:lock v:ext="edit" grouping="f" rotation="f" text="f" aspectratio="f"/>
                  <v:textbox>
                    <w:txbxContent>
                      <w:p>
                        <w:pPr>
                          <w:ind w:right="105" w:rightChars="50"/>
                          <w:jc w:val="right"/>
                        </w:pPr>
                        <w:r>
                          <w:rPr>
                            <w:rFonts w:eastAsia="方正仿宋_GBK"/>
                            <w:sz w:val="28"/>
                            <w:szCs w:val="28"/>
                          </w:rPr>
                          <w:t>2026年</w:t>
                        </w:r>
                        <w:r>
                          <w:rPr>
                            <w:rFonts w:hint="eastAsia" w:eastAsia="方正仿宋_GBK"/>
                            <w:sz w:val="28"/>
                            <w:szCs w:val="28"/>
                          </w:rPr>
                          <w:t>1</w:t>
                        </w:r>
                        <w:r>
                          <w:rPr>
                            <w:rFonts w:eastAsia="方正仿宋_GBK"/>
                            <w:sz w:val="28"/>
                            <w:szCs w:val="28"/>
                          </w:rPr>
                          <w:t>月</w:t>
                        </w:r>
                        <w:r>
                          <w:rPr>
                            <w:rFonts w:hint="eastAsia" w:eastAsia="方正仿宋_GBK"/>
                            <w:sz w:val="28"/>
                            <w:szCs w:val="28"/>
                          </w:rPr>
                          <w:t>31</w:t>
                        </w:r>
                        <w:r>
                          <w:rPr>
                            <w:rFonts w:eastAsia="方正仿宋_GBK"/>
                            <w:sz w:val="28"/>
                            <w:szCs w:val="28"/>
                          </w:rPr>
                          <w:t>日印发</w:t>
                        </w:r>
                      </w:p>
                    </w:txbxContent>
                  </v:textbox>
                </v:shape>
              </v:group>
            </w:pict>
          </mc:Fallback>
        </mc:AlternateContent>
      </w:r>
    </w:p>
    <w:p/>
    <w:sectPr>
      <w:headerReference r:id="rId3" w:type="default"/>
      <w:footerReference r:id="rId4" w:type="default"/>
      <w:footerReference r:id="rId5" w:type="even"/>
      <w:pgSz w:w="11906" w:h="16838"/>
      <w:pgMar w:top="2098" w:right="1588" w:bottom="1871" w:left="1588" w:header="851" w:footer="124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210" w:leftChars="100" w:right="210" w:rightChars="100"/>
      <w:jc w:val="right"/>
      <w:rPr>
        <w:rFonts w:hint="eastAsia"/>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44</w:t>
    </w:r>
    <w:r>
      <w:rPr>
        <w:rStyle w:val="6"/>
        <w:rFonts w:ascii="宋体" w:hAnsi="宋体"/>
        <w:sz w:val="28"/>
        <w:szCs w:val="28"/>
      </w:rPr>
      <w:fldChar w:fldCharType="end"/>
    </w:r>
    <w:r>
      <w:rPr>
        <w:rStyle w:val="6"/>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226C8"/>
    <w:rsid w:val="44F2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rPr>
      <w:rFonts w:cs="Times New Roman"/>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2026-02-24T03:16:00Z</dcterms:created>
  <dc:creator>XQZW</dc:creator>
  <cp:lastModifiedBy>XQZW</cp:lastModifiedBy>
  <dcterms:modified xsi:type="dcterms:W3CDTF">2026-02-24T03:16:52Z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