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一、秦皇岛北戴河新区综合办公室本级收支预算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二、秦皇岛北戴河新区廉政办收支预算</w:t>
      </w:r>
      <w:r>
        <w:tab/>
      </w:r>
      <w:r>
        <w:fldChar w:fldCharType="begin"/>
      </w:r>
      <w:r>
        <w:instrText xml:space="preserve">PAGEREF _Toc_4_4_0000000002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一、秦皇岛北戴河新区综合办公室本级收支预算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5968.71</w:t>
            </w:r>
          </w:p>
        </w:tc>
        <w:tc>
          <w:tcPr>
            <w:tcW w:w="4535" w:type="dxa"/>
            <w:vAlign w:val="center"/>
          </w:tcPr>
          <w:p>
            <w:pPr>
              <w:pStyle w:val="12"/>
            </w:pPr>
            <w:r>
              <w:t>一、一般公共服务支出</w:t>
            </w:r>
          </w:p>
        </w:tc>
        <w:tc>
          <w:tcPr>
            <w:tcW w:w="2126" w:type="dxa"/>
            <w:vAlign w:val="center"/>
          </w:tcPr>
          <w:p>
            <w:pPr>
              <w:pStyle w:val="11"/>
            </w:pPr>
            <w:r>
              <w:t>5063.72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183.91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5968.71</w:t>
            </w:r>
          </w:p>
        </w:tc>
        <w:tc>
          <w:tcPr>
            <w:tcW w:w="4535" w:type="dxa"/>
            <w:vAlign w:val="center"/>
          </w:tcPr>
          <w:p>
            <w:pPr>
              <w:pStyle w:val="14"/>
            </w:pPr>
            <w:r>
              <w:t>本年支出合计</w:t>
            </w:r>
          </w:p>
        </w:tc>
        <w:tc>
          <w:tcPr>
            <w:tcW w:w="2126" w:type="dxa"/>
            <w:vAlign w:val="center"/>
          </w:tcPr>
          <w:p>
            <w:pPr>
              <w:pStyle w:val="15"/>
            </w:pPr>
            <w:r>
              <w:t>5968.71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5968.71</w:t>
            </w:r>
          </w:p>
        </w:tc>
        <w:tc>
          <w:tcPr>
            <w:tcW w:w="4535" w:type="dxa"/>
            <w:vAlign w:val="center"/>
          </w:tcPr>
          <w:p>
            <w:pPr>
              <w:pStyle w:val="14"/>
            </w:pPr>
            <w:r>
              <w:t>支出总计</w:t>
            </w:r>
          </w:p>
        </w:tc>
        <w:tc>
          <w:tcPr>
            <w:tcW w:w="2126" w:type="dxa"/>
            <w:vAlign w:val="center"/>
          </w:tcPr>
          <w:p>
            <w:pPr>
              <w:pStyle w:val="15"/>
            </w:pPr>
            <w:r>
              <w:t>5968.71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5968.71</w:t>
            </w:r>
          </w:p>
        </w:tc>
        <w:tc>
          <w:tcPr>
            <w:tcW w:w="1134" w:type="dxa"/>
            <w:vAlign w:val="center"/>
          </w:tcPr>
          <w:p>
            <w:pPr>
              <w:pStyle w:val="15"/>
            </w:pPr>
            <w:r>
              <w:t>5968.71</w:t>
            </w:r>
          </w:p>
        </w:tc>
        <w:tc>
          <w:tcPr>
            <w:tcW w:w="1134" w:type="dxa"/>
            <w:vAlign w:val="center"/>
          </w:tcPr>
          <w:p>
            <w:pPr>
              <w:pStyle w:val="15"/>
            </w:pPr>
            <w:r>
              <w:t>5968.71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5063.72</w:t>
            </w:r>
          </w:p>
        </w:tc>
        <w:tc>
          <w:tcPr>
            <w:tcW w:w="1134" w:type="dxa"/>
            <w:vAlign w:val="center"/>
          </w:tcPr>
          <w:p>
            <w:pPr>
              <w:pStyle w:val="11"/>
            </w:pPr>
            <w:r>
              <w:t>5063.72</w:t>
            </w:r>
          </w:p>
        </w:tc>
        <w:tc>
          <w:tcPr>
            <w:tcW w:w="1134" w:type="dxa"/>
            <w:vAlign w:val="center"/>
          </w:tcPr>
          <w:p>
            <w:pPr>
              <w:pStyle w:val="11"/>
            </w:pPr>
            <w:r>
              <w:t>5063.72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4975.72</w:t>
            </w:r>
          </w:p>
        </w:tc>
        <w:tc>
          <w:tcPr>
            <w:tcW w:w="1134" w:type="dxa"/>
            <w:vAlign w:val="center"/>
          </w:tcPr>
          <w:p>
            <w:pPr>
              <w:pStyle w:val="11"/>
            </w:pPr>
            <w:r>
              <w:t>4975.72</w:t>
            </w:r>
          </w:p>
        </w:tc>
        <w:tc>
          <w:tcPr>
            <w:tcW w:w="1134" w:type="dxa"/>
            <w:vAlign w:val="center"/>
          </w:tcPr>
          <w:p>
            <w:pPr>
              <w:pStyle w:val="11"/>
            </w:pPr>
            <w:r>
              <w:t>4975.72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2959.72</w:t>
            </w:r>
          </w:p>
        </w:tc>
        <w:tc>
          <w:tcPr>
            <w:tcW w:w="1134" w:type="dxa"/>
            <w:vAlign w:val="center"/>
          </w:tcPr>
          <w:p>
            <w:pPr>
              <w:pStyle w:val="11"/>
            </w:pPr>
            <w:r>
              <w:t>2959.72</w:t>
            </w:r>
          </w:p>
        </w:tc>
        <w:tc>
          <w:tcPr>
            <w:tcW w:w="1134" w:type="dxa"/>
            <w:vAlign w:val="center"/>
          </w:tcPr>
          <w:p>
            <w:pPr>
              <w:pStyle w:val="11"/>
            </w:pPr>
            <w:r>
              <w:t>2959.72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2010303</w:t>
            </w:r>
          </w:p>
        </w:tc>
        <w:tc>
          <w:tcPr>
            <w:tcW w:w="1559" w:type="dxa"/>
            <w:vAlign w:val="center"/>
          </w:tcPr>
          <w:p>
            <w:pPr>
              <w:pStyle w:val="12"/>
            </w:pPr>
            <w:r>
              <w:t>机关服务</w:t>
            </w:r>
          </w:p>
        </w:tc>
        <w:tc>
          <w:tcPr>
            <w:tcW w:w="1134" w:type="dxa"/>
            <w:vAlign w:val="center"/>
          </w:tcPr>
          <w:p>
            <w:pPr>
              <w:pStyle w:val="11"/>
            </w:pPr>
            <w:r>
              <w:t>1866.00</w:t>
            </w:r>
          </w:p>
        </w:tc>
        <w:tc>
          <w:tcPr>
            <w:tcW w:w="1134" w:type="dxa"/>
            <w:vAlign w:val="center"/>
          </w:tcPr>
          <w:p>
            <w:pPr>
              <w:pStyle w:val="11"/>
            </w:pPr>
            <w:r>
              <w:t>1866.00</w:t>
            </w:r>
          </w:p>
        </w:tc>
        <w:tc>
          <w:tcPr>
            <w:tcW w:w="1134" w:type="dxa"/>
            <w:vAlign w:val="center"/>
          </w:tcPr>
          <w:p>
            <w:pPr>
              <w:pStyle w:val="11"/>
            </w:pPr>
            <w:r>
              <w:t>1866.00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2010305</w:t>
            </w:r>
          </w:p>
        </w:tc>
        <w:tc>
          <w:tcPr>
            <w:tcW w:w="1559" w:type="dxa"/>
            <w:vAlign w:val="center"/>
          </w:tcPr>
          <w:p>
            <w:pPr>
              <w:pStyle w:val="12"/>
            </w:pPr>
            <w:r>
              <w:t>专项业务及机关事务管理</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58.00</w:t>
            </w:r>
          </w:p>
        </w:tc>
        <w:tc>
          <w:tcPr>
            <w:tcW w:w="1134" w:type="dxa"/>
            <w:vAlign w:val="center"/>
          </w:tcPr>
          <w:p>
            <w:pPr>
              <w:pStyle w:val="11"/>
            </w:pPr>
            <w:r>
              <w:t>58.00</w:t>
            </w:r>
          </w:p>
        </w:tc>
        <w:tc>
          <w:tcPr>
            <w:tcW w:w="1134" w:type="dxa"/>
            <w:vAlign w:val="center"/>
          </w:tcPr>
          <w:p>
            <w:pPr>
              <w:pStyle w:val="11"/>
            </w:pPr>
            <w:r>
              <w:t>58.00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20126</w:t>
            </w:r>
          </w:p>
        </w:tc>
        <w:tc>
          <w:tcPr>
            <w:tcW w:w="1559" w:type="dxa"/>
            <w:vAlign w:val="center"/>
          </w:tcPr>
          <w:p>
            <w:pPr>
              <w:pStyle w:val="12"/>
            </w:pPr>
            <w:r>
              <w:t>档案事务</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2012604</w:t>
            </w:r>
          </w:p>
        </w:tc>
        <w:tc>
          <w:tcPr>
            <w:tcW w:w="1559" w:type="dxa"/>
            <w:vAlign w:val="center"/>
          </w:tcPr>
          <w:p>
            <w:pPr>
              <w:pStyle w:val="12"/>
            </w:pPr>
            <w:r>
              <w:t>档案馆</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28.54</w:t>
            </w:r>
          </w:p>
        </w:tc>
        <w:tc>
          <w:tcPr>
            <w:tcW w:w="1134" w:type="dxa"/>
            <w:vAlign w:val="center"/>
          </w:tcPr>
          <w:p>
            <w:pPr>
              <w:pStyle w:val="11"/>
            </w:pPr>
            <w:r>
              <w:t>28.54</w:t>
            </w:r>
          </w:p>
        </w:tc>
        <w:tc>
          <w:tcPr>
            <w:tcW w:w="1134" w:type="dxa"/>
            <w:vAlign w:val="center"/>
          </w:tcPr>
          <w:p>
            <w:pPr>
              <w:pStyle w:val="11"/>
            </w:pPr>
            <w:r>
              <w:t>28.54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141.70</w:t>
            </w:r>
          </w:p>
        </w:tc>
        <w:tc>
          <w:tcPr>
            <w:tcW w:w="1134" w:type="dxa"/>
            <w:vAlign w:val="center"/>
          </w:tcPr>
          <w:p>
            <w:pPr>
              <w:pStyle w:val="11"/>
            </w:pPr>
            <w:r>
              <w:t>141.70</w:t>
            </w:r>
          </w:p>
        </w:tc>
        <w:tc>
          <w:tcPr>
            <w:tcW w:w="1134" w:type="dxa"/>
            <w:vAlign w:val="center"/>
          </w:tcPr>
          <w:p>
            <w:pPr>
              <w:pStyle w:val="11"/>
            </w:pPr>
            <w:r>
              <w:t>141.70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13.67</w:t>
            </w:r>
          </w:p>
        </w:tc>
        <w:tc>
          <w:tcPr>
            <w:tcW w:w="1134" w:type="dxa"/>
            <w:vAlign w:val="center"/>
          </w:tcPr>
          <w:p>
            <w:pPr>
              <w:pStyle w:val="11"/>
            </w:pPr>
            <w:r>
              <w:t>13.67</w:t>
            </w:r>
          </w:p>
        </w:tc>
        <w:tc>
          <w:tcPr>
            <w:tcW w:w="1134" w:type="dxa"/>
            <w:vAlign w:val="center"/>
          </w:tcPr>
          <w:p>
            <w:pPr>
              <w:pStyle w:val="11"/>
            </w:pPr>
            <w:r>
              <w:t>13.67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5968.71</w:t>
            </w:r>
          </w:p>
        </w:tc>
        <w:tc>
          <w:tcPr>
            <w:tcW w:w="1361" w:type="dxa"/>
            <w:vAlign w:val="center"/>
          </w:tcPr>
          <w:p>
            <w:pPr>
              <w:pStyle w:val="15"/>
            </w:pPr>
            <w:r>
              <w:t>2833.01</w:t>
            </w:r>
          </w:p>
        </w:tc>
        <w:tc>
          <w:tcPr>
            <w:tcW w:w="1361" w:type="dxa"/>
            <w:vAlign w:val="center"/>
          </w:tcPr>
          <w:p>
            <w:pPr>
              <w:pStyle w:val="15"/>
            </w:pPr>
            <w:r>
              <w:t>3135.70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5063.72</w:t>
            </w:r>
          </w:p>
        </w:tc>
        <w:tc>
          <w:tcPr>
            <w:tcW w:w="1361" w:type="dxa"/>
            <w:vAlign w:val="center"/>
          </w:tcPr>
          <w:p>
            <w:pPr>
              <w:pStyle w:val="11"/>
            </w:pPr>
            <w:r>
              <w:t>2411.72</w:t>
            </w:r>
          </w:p>
        </w:tc>
        <w:tc>
          <w:tcPr>
            <w:tcW w:w="1361" w:type="dxa"/>
            <w:vAlign w:val="center"/>
          </w:tcPr>
          <w:p>
            <w:pPr>
              <w:pStyle w:val="11"/>
            </w:pPr>
            <w:r>
              <w:t>2652.00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4975.72</w:t>
            </w:r>
          </w:p>
        </w:tc>
        <w:tc>
          <w:tcPr>
            <w:tcW w:w="1361" w:type="dxa"/>
            <w:vAlign w:val="center"/>
          </w:tcPr>
          <w:p>
            <w:pPr>
              <w:pStyle w:val="11"/>
            </w:pPr>
            <w:r>
              <w:t>2411.72</w:t>
            </w:r>
          </w:p>
        </w:tc>
        <w:tc>
          <w:tcPr>
            <w:tcW w:w="1361" w:type="dxa"/>
            <w:vAlign w:val="center"/>
          </w:tcPr>
          <w:p>
            <w:pPr>
              <w:pStyle w:val="11"/>
            </w:pPr>
            <w:r>
              <w:t>2564.00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2959.72</w:t>
            </w:r>
          </w:p>
        </w:tc>
        <w:tc>
          <w:tcPr>
            <w:tcW w:w="1361" w:type="dxa"/>
            <w:vAlign w:val="center"/>
          </w:tcPr>
          <w:p>
            <w:pPr>
              <w:pStyle w:val="11"/>
            </w:pPr>
            <w:r>
              <w:t>2411.72</w:t>
            </w:r>
          </w:p>
        </w:tc>
        <w:tc>
          <w:tcPr>
            <w:tcW w:w="1361" w:type="dxa"/>
            <w:vAlign w:val="center"/>
          </w:tcPr>
          <w:p>
            <w:pPr>
              <w:pStyle w:val="11"/>
            </w:pPr>
            <w:r>
              <w:t>548.00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2010303</w:t>
            </w:r>
          </w:p>
        </w:tc>
        <w:tc>
          <w:tcPr>
            <w:tcW w:w="4535" w:type="dxa"/>
            <w:vAlign w:val="center"/>
          </w:tcPr>
          <w:p>
            <w:pPr>
              <w:pStyle w:val="12"/>
            </w:pPr>
            <w:r>
              <w:t>机关服务</w:t>
            </w:r>
          </w:p>
        </w:tc>
        <w:tc>
          <w:tcPr>
            <w:tcW w:w="1361" w:type="dxa"/>
            <w:vAlign w:val="center"/>
          </w:tcPr>
          <w:p>
            <w:pPr>
              <w:pStyle w:val="11"/>
            </w:pPr>
            <w:r>
              <w:t>1866.00</w:t>
            </w:r>
          </w:p>
        </w:tc>
        <w:tc>
          <w:tcPr>
            <w:tcW w:w="1361" w:type="dxa"/>
            <w:vAlign w:val="center"/>
          </w:tcPr>
          <w:p>
            <w:pPr>
              <w:pStyle w:val="11"/>
            </w:pPr>
          </w:p>
        </w:tc>
        <w:tc>
          <w:tcPr>
            <w:tcW w:w="1361" w:type="dxa"/>
            <w:vAlign w:val="center"/>
          </w:tcPr>
          <w:p>
            <w:pPr>
              <w:pStyle w:val="11"/>
            </w:pPr>
            <w:r>
              <w:t>1866.00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2010305</w:t>
            </w:r>
          </w:p>
        </w:tc>
        <w:tc>
          <w:tcPr>
            <w:tcW w:w="4535" w:type="dxa"/>
            <w:vAlign w:val="center"/>
          </w:tcPr>
          <w:p>
            <w:pPr>
              <w:pStyle w:val="12"/>
            </w:pPr>
            <w:r>
              <w:t>专项业务及机关事务管理</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2010801</w:t>
            </w:r>
          </w:p>
        </w:tc>
        <w:tc>
          <w:tcPr>
            <w:tcW w:w="4535" w:type="dxa"/>
            <w:vAlign w:val="center"/>
          </w:tcPr>
          <w:p>
            <w:pPr>
              <w:pStyle w:val="12"/>
            </w:pPr>
            <w:r>
              <w:t>行政运行</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2010804</w:t>
            </w:r>
          </w:p>
        </w:tc>
        <w:tc>
          <w:tcPr>
            <w:tcW w:w="4535" w:type="dxa"/>
            <w:vAlign w:val="center"/>
          </w:tcPr>
          <w:p>
            <w:pPr>
              <w:pStyle w:val="12"/>
            </w:pPr>
            <w:r>
              <w:t>审计业务</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20126</w:t>
            </w:r>
          </w:p>
        </w:tc>
        <w:tc>
          <w:tcPr>
            <w:tcW w:w="4535" w:type="dxa"/>
            <w:vAlign w:val="center"/>
          </w:tcPr>
          <w:p>
            <w:pPr>
              <w:pStyle w:val="12"/>
            </w:pPr>
            <w:r>
              <w:t>档案事务</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2012604</w:t>
            </w:r>
          </w:p>
        </w:tc>
        <w:tc>
          <w:tcPr>
            <w:tcW w:w="4535" w:type="dxa"/>
            <w:vAlign w:val="center"/>
          </w:tcPr>
          <w:p>
            <w:pPr>
              <w:pStyle w:val="12"/>
            </w:pPr>
            <w:r>
              <w:t>档案馆</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183.91</w:t>
            </w:r>
          </w:p>
        </w:tc>
        <w:tc>
          <w:tcPr>
            <w:tcW w:w="1361" w:type="dxa"/>
            <w:vAlign w:val="center"/>
          </w:tcPr>
          <w:p>
            <w:pPr>
              <w:pStyle w:val="11"/>
            </w:pPr>
            <w:r>
              <w:t>183.91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183.91</w:t>
            </w:r>
          </w:p>
        </w:tc>
        <w:tc>
          <w:tcPr>
            <w:tcW w:w="1361" w:type="dxa"/>
            <w:vAlign w:val="center"/>
          </w:tcPr>
          <w:p>
            <w:pPr>
              <w:pStyle w:val="11"/>
            </w:pPr>
            <w:r>
              <w:t>183.91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28.54</w:t>
            </w:r>
          </w:p>
        </w:tc>
        <w:tc>
          <w:tcPr>
            <w:tcW w:w="1361" w:type="dxa"/>
            <w:vAlign w:val="center"/>
          </w:tcPr>
          <w:p>
            <w:pPr>
              <w:pStyle w:val="11"/>
            </w:pPr>
            <w:r>
              <w:t>28.54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141.70</w:t>
            </w:r>
          </w:p>
        </w:tc>
        <w:tc>
          <w:tcPr>
            <w:tcW w:w="1361" w:type="dxa"/>
            <w:vAlign w:val="center"/>
          </w:tcPr>
          <w:p>
            <w:pPr>
              <w:pStyle w:val="11"/>
            </w:pPr>
            <w:r>
              <w:t>141.70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13.67</w:t>
            </w:r>
          </w:p>
        </w:tc>
        <w:tc>
          <w:tcPr>
            <w:tcW w:w="1361" w:type="dxa"/>
            <w:vAlign w:val="center"/>
          </w:tcPr>
          <w:p>
            <w:pPr>
              <w:pStyle w:val="11"/>
            </w:pPr>
            <w:r>
              <w:t>13.67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120.79</w:t>
            </w:r>
          </w:p>
        </w:tc>
        <w:tc>
          <w:tcPr>
            <w:tcW w:w="1361" w:type="dxa"/>
            <w:vAlign w:val="center"/>
          </w:tcPr>
          <w:p>
            <w:pPr>
              <w:pStyle w:val="11"/>
            </w:pPr>
            <w:r>
              <w:t>120.79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120.79</w:t>
            </w:r>
          </w:p>
        </w:tc>
        <w:tc>
          <w:tcPr>
            <w:tcW w:w="1361" w:type="dxa"/>
            <w:vAlign w:val="center"/>
          </w:tcPr>
          <w:p>
            <w:pPr>
              <w:pStyle w:val="11"/>
            </w:pPr>
            <w:r>
              <w:t>120.79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120.79</w:t>
            </w:r>
          </w:p>
        </w:tc>
        <w:tc>
          <w:tcPr>
            <w:tcW w:w="1361" w:type="dxa"/>
            <w:vAlign w:val="center"/>
          </w:tcPr>
          <w:p>
            <w:pPr>
              <w:pStyle w:val="11"/>
            </w:pPr>
            <w:r>
              <w:t>120.79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116.59</w:t>
            </w:r>
          </w:p>
        </w:tc>
        <w:tc>
          <w:tcPr>
            <w:tcW w:w="1361" w:type="dxa"/>
            <w:vAlign w:val="center"/>
          </w:tcPr>
          <w:p>
            <w:pPr>
              <w:pStyle w:val="11"/>
            </w:pPr>
            <w:r>
              <w:t>116.59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116.59</w:t>
            </w:r>
          </w:p>
        </w:tc>
        <w:tc>
          <w:tcPr>
            <w:tcW w:w="1361" w:type="dxa"/>
            <w:vAlign w:val="center"/>
          </w:tcPr>
          <w:p>
            <w:pPr>
              <w:pStyle w:val="11"/>
            </w:pPr>
            <w:r>
              <w:t>116.59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116.59</w:t>
            </w:r>
          </w:p>
        </w:tc>
        <w:tc>
          <w:tcPr>
            <w:tcW w:w="1361" w:type="dxa"/>
            <w:vAlign w:val="center"/>
          </w:tcPr>
          <w:p>
            <w:pPr>
              <w:pStyle w:val="11"/>
            </w:pPr>
            <w:r>
              <w:t>116.59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5968.71</w:t>
            </w:r>
          </w:p>
        </w:tc>
        <w:tc>
          <w:tcPr>
            <w:tcW w:w="3402" w:type="dxa"/>
            <w:vAlign w:val="center"/>
          </w:tcPr>
          <w:p>
            <w:pPr>
              <w:pStyle w:val="12"/>
            </w:pPr>
            <w:r>
              <w:t>一、一般公共服务支出</w:t>
            </w:r>
          </w:p>
        </w:tc>
        <w:tc>
          <w:tcPr>
            <w:tcW w:w="1474" w:type="dxa"/>
            <w:vAlign w:val="center"/>
          </w:tcPr>
          <w:p>
            <w:pPr>
              <w:pStyle w:val="11"/>
            </w:pPr>
            <w:r>
              <w:t>5063.72</w:t>
            </w:r>
          </w:p>
        </w:tc>
        <w:tc>
          <w:tcPr>
            <w:tcW w:w="1474" w:type="dxa"/>
            <w:vAlign w:val="center"/>
          </w:tcPr>
          <w:p>
            <w:pPr>
              <w:pStyle w:val="11"/>
            </w:pPr>
            <w:r>
              <w:t>5063.72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13.70</w:t>
            </w:r>
          </w:p>
        </w:tc>
        <w:tc>
          <w:tcPr>
            <w:tcW w:w="1474" w:type="dxa"/>
            <w:vAlign w:val="center"/>
          </w:tcPr>
          <w:p>
            <w:pPr>
              <w:pStyle w:val="11"/>
            </w:pPr>
            <w:r>
              <w:t>13.70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470.00</w:t>
            </w:r>
          </w:p>
        </w:tc>
        <w:tc>
          <w:tcPr>
            <w:tcW w:w="1474" w:type="dxa"/>
            <w:vAlign w:val="center"/>
          </w:tcPr>
          <w:p>
            <w:pPr>
              <w:pStyle w:val="11"/>
            </w:pPr>
            <w:r>
              <w:t>470.00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183.91</w:t>
            </w:r>
          </w:p>
        </w:tc>
        <w:tc>
          <w:tcPr>
            <w:tcW w:w="1474" w:type="dxa"/>
            <w:vAlign w:val="center"/>
          </w:tcPr>
          <w:p>
            <w:pPr>
              <w:pStyle w:val="11"/>
            </w:pPr>
            <w:r>
              <w:t>183.91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120.79</w:t>
            </w:r>
          </w:p>
        </w:tc>
        <w:tc>
          <w:tcPr>
            <w:tcW w:w="1474" w:type="dxa"/>
            <w:vAlign w:val="center"/>
          </w:tcPr>
          <w:p>
            <w:pPr>
              <w:pStyle w:val="11"/>
            </w:pPr>
            <w:r>
              <w:t>120.79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116.59</w:t>
            </w:r>
          </w:p>
        </w:tc>
        <w:tc>
          <w:tcPr>
            <w:tcW w:w="1474" w:type="dxa"/>
            <w:vAlign w:val="center"/>
          </w:tcPr>
          <w:p>
            <w:pPr>
              <w:pStyle w:val="11"/>
            </w:pPr>
            <w:r>
              <w:t>116.59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5968.71</w:t>
            </w:r>
          </w:p>
        </w:tc>
        <w:tc>
          <w:tcPr>
            <w:tcW w:w="3402" w:type="dxa"/>
            <w:vAlign w:val="center"/>
          </w:tcPr>
          <w:p>
            <w:pPr>
              <w:pStyle w:val="14"/>
            </w:pPr>
            <w:r>
              <w:t>本年支出合计</w:t>
            </w:r>
          </w:p>
        </w:tc>
        <w:tc>
          <w:tcPr>
            <w:tcW w:w="1474" w:type="dxa"/>
            <w:vAlign w:val="center"/>
          </w:tcPr>
          <w:p>
            <w:pPr>
              <w:pStyle w:val="15"/>
            </w:pPr>
            <w:r>
              <w:t>5968.71</w:t>
            </w:r>
          </w:p>
        </w:tc>
        <w:tc>
          <w:tcPr>
            <w:tcW w:w="1474" w:type="dxa"/>
            <w:vAlign w:val="center"/>
          </w:tcPr>
          <w:p>
            <w:pPr>
              <w:pStyle w:val="15"/>
            </w:pPr>
            <w:r>
              <w:t>5968.71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5968.71</w:t>
            </w:r>
          </w:p>
        </w:tc>
        <w:tc>
          <w:tcPr>
            <w:tcW w:w="3402" w:type="dxa"/>
            <w:vAlign w:val="center"/>
          </w:tcPr>
          <w:p>
            <w:pPr>
              <w:pStyle w:val="14"/>
            </w:pPr>
            <w:r>
              <w:t>支出总计</w:t>
            </w:r>
          </w:p>
        </w:tc>
        <w:tc>
          <w:tcPr>
            <w:tcW w:w="1474" w:type="dxa"/>
            <w:vAlign w:val="center"/>
          </w:tcPr>
          <w:p>
            <w:pPr>
              <w:pStyle w:val="15"/>
            </w:pPr>
            <w:r>
              <w:t>5968.71</w:t>
            </w:r>
          </w:p>
        </w:tc>
        <w:tc>
          <w:tcPr>
            <w:tcW w:w="1474" w:type="dxa"/>
            <w:vAlign w:val="center"/>
          </w:tcPr>
          <w:p>
            <w:pPr>
              <w:pStyle w:val="15"/>
            </w:pPr>
            <w:r>
              <w:t>5968.71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5968.71</w:t>
            </w:r>
          </w:p>
        </w:tc>
        <w:tc>
          <w:tcPr>
            <w:tcW w:w="2551" w:type="dxa"/>
            <w:vAlign w:val="center"/>
          </w:tcPr>
          <w:p>
            <w:pPr>
              <w:pStyle w:val="15"/>
            </w:pPr>
            <w:r>
              <w:t>2833.01</w:t>
            </w:r>
          </w:p>
        </w:tc>
        <w:tc>
          <w:tcPr>
            <w:tcW w:w="2551" w:type="dxa"/>
            <w:vAlign w:val="center"/>
          </w:tcPr>
          <w:p>
            <w:pPr>
              <w:pStyle w:val="15"/>
            </w:pPr>
            <w:r>
              <w:t>3135.70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5063.72</w:t>
            </w:r>
          </w:p>
        </w:tc>
        <w:tc>
          <w:tcPr>
            <w:tcW w:w="2551" w:type="dxa"/>
            <w:vAlign w:val="center"/>
          </w:tcPr>
          <w:p>
            <w:pPr>
              <w:pStyle w:val="11"/>
            </w:pPr>
            <w:r>
              <w:t>2411.72</w:t>
            </w:r>
          </w:p>
        </w:tc>
        <w:tc>
          <w:tcPr>
            <w:tcW w:w="2551" w:type="dxa"/>
            <w:vAlign w:val="center"/>
          </w:tcPr>
          <w:p>
            <w:pPr>
              <w:pStyle w:val="11"/>
            </w:pPr>
            <w:r>
              <w:t>2652.00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4975.72</w:t>
            </w:r>
          </w:p>
        </w:tc>
        <w:tc>
          <w:tcPr>
            <w:tcW w:w="2551" w:type="dxa"/>
            <w:vAlign w:val="center"/>
          </w:tcPr>
          <w:p>
            <w:pPr>
              <w:pStyle w:val="11"/>
            </w:pPr>
            <w:r>
              <w:t>2411.72</w:t>
            </w:r>
          </w:p>
        </w:tc>
        <w:tc>
          <w:tcPr>
            <w:tcW w:w="2551" w:type="dxa"/>
            <w:vAlign w:val="center"/>
          </w:tcPr>
          <w:p>
            <w:pPr>
              <w:pStyle w:val="11"/>
            </w:pPr>
            <w:r>
              <w:t>2564.00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2959.72</w:t>
            </w:r>
          </w:p>
        </w:tc>
        <w:tc>
          <w:tcPr>
            <w:tcW w:w="2551" w:type="dxa"/>
            <w:vAlign w:val="center"/>
          </w:tcPr>
          <w:p>
            <w:pPr>
              <w:pStyle w:val="11"/>
            </w:pPr>
            <w:r>
              <w:t>2411.72</w:t>
            </w:r>
          </w:p>
        </w:tc>
        <w:tc>
          <w:tcPr>
            <w:tcW w:w="2551" w:type="dxa"/>
            <w:vAlign w:val="center"/>
          </w:tcPr>
          <w:p>
            <w:pPr>
              <w:pStyle w:val="11"/>
            </w:pPr>
            <w:r>
              <w:t>548.00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2010303</w:t>
            </w:r>
          </w:p>
        </w:tc>
        <w:tc>
          <w:tcPr>
            <w:tcW w:w="4535" w:type="dxa"/>
            <w:vAlign w:val="center"/>
          </w:tcPr>
          <w:p>
            <w:pPr>
              <w:pStyle w:val="12"/>
            </w:pPr>
            <w:r>
              <w:t>机关服务</w:t>
            </w:r>
          </w:p>
        </w:tc>
        <w:tc>
          <w:tcPr>
            <w:tcW w:w="2551" w:type="dxa"/>
            <w:vAlign w:val="center"/>
          </w:tcPr>
          <w:p>
            <w:pPr>
              <w:pStyle w:val="11"/>
            </w:pPr>
            <w:r>
              <w:t>1866.00</w:t>
            </w:r>
          </w:p>
        </w:tc>
        <w:tc>
          <w:tcPr>
            <w:tcW w:w="2551" w:type="dxa"/>
            <w:vAlign w:val="center"/>
          </w:tcPr>
          <w:p>
            <w:pPr>
              <w:pStyle w:val="11"/>
            </w:pPr>
          </w:p>
        </w:tc>
        <w:tc>
          <w:tcPr>
            <w:tcW w:w="2551" w:type="dxa"/>
            <w:vAlign w:val="center"/>
          </w:tcPr>
          <w:p>
            <w:pPr>
              <w:pStyle w:val="11"/>
            </w:pPr>
            <w:r>
              <w:t>1866.00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2010305</w:t>
            </w:r>
          </w:p>
        </w:tc>
        <w:tc>
          <w:tcPr>
            <w:tcW w:w="4535" w:type="dxa"/>
            <w:vAlign w:val="center"/>
          </w:tcPr>
          <w:p>
            <w:pPr>
              <w:pStyle w:val="12"/>
            </w:pPr>
            <w:r>
              <w:t>专项业务及机关事务管理</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58.00</w:t>
            </w:r>
          </w:p>
        </w:tc>
        <w:tc>
          <w:tcPr>
            <w:tcW w:w="2551" w:type="dxa"/>
            <w:vAlign w:val="center"/>
          </w:tcPr>
          <w:p>
            <w:pPr>
              <w:pStyle w:val="11"/>
            </w:pPr>
          </w:p>
        </w:tc>
        <w:tc>
          <w:tcPr>
            <w:tcW w:w="2551" w:type="dxa"/>
            <w:vAlign w:val="center"/>
          </w:tcPr>
          <w:p>
            <w:pPr>
              <w:pStyle w:val="11"/>
            </w:pPr>
            <w:r>
              <w:t>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20126</w:t>
            </w:r>
          </w:p>
        </w:tc>
        <w:tc>
          <w:tcPr>
            <w:tcW w:w="4535" w:type="dxa"/>
            <w:vAlign w:val="center"/>
          </w:tcPr>
          <w:p>
            <w:pPr>
              <w:pStyle w:val="12"/>
            </w:pPr>
            <w:r>
              <w:t>档案事务</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2012604</w:t>
            </w:r>
          </w:p>
        </w:tc>
        <w:tc>
          <w:tcPr>
            <w:tcW w:w="4535" w:type="dxa"/>
            <w:vAlign w:val="center"/>
          </w:tcPr>
          <w:p>
            <w:pPr>
              <w:pStyle w:val="12"/>
            </w:pPr>
            <w:r>
              <w:t>档案馆</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13.70</w:t>
            </w:r>
          </w:p>
        </w:tc>
        <w:tc>
          <w:tcPr>
            <w:tcW w:w="2551" w:type="dxa"/>
            <w:vAlign w:val="center"/>
          </w:tcPr>
          <w:p>
            <w:pPr>
              <w:pStyle w:val="11"/>
            </w:pPr>
          </w:p>
        </w:tc>
        <w:tc>
          <w:tcPr>
            <w:tcW w:w="2551"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13.70</w:t>
            </w:r>
          </w:p>
        </w:tc>
        <w:tc>
          <w:tcPr>
            <w:tcW w:w="2551" w:type="dxa"/>
            <w:vAlign w:val="center"/>
          </w:tcPr>
          <w:p>
            <w:pPr>
              <w:pStyle w:val="11"/>
            </w:pPr>
          </w:p>
        </w:tc>
        <w:tc>
          <w:tcPr>
            <w:tcW w:w="2551"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13.70</w:t>
            </w:r>
          </w:p>
        </w:tc>
        <w:tc>
          <w:tcPr>
            <w:tcW w:w="2551" w:type="dxa"/>
            <w:vAlign w:val="center"/>
          </w:tcPr>
          <w:p>
            <w:pPr>
              <w:pStyle w:val="11"/>
            </w:pPr>
          </w:p>
        </w:tc>
        <w:tc>
          <w:tcPr>
            <w:tcW w:w="2551"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470.00</w:t>
            </w:r>
          </w:p>
        </w:tc>
        <w:tc>
          <w:tcPr>
            <w:tcW w:w="2551" w:type="dxa"/>
            <w:vAlign w:val="center"/>
          </w:tcPr>
          <w:p>
            <w:pPr>
              <w:pStyle w:val="11"/>
            </w:pPr>
          </w:p>
        </w:tc>
        <w:tc>
          <w:tcPr>
            <w:tcW w:w="2551"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470.00</w:t>
            </w:r>
          </w:p>
        </w:tc>
        <w:tc>
          <w:tcPr>
            <w:tcW w:w="2551" w:type="dxa"/>
            <w:vAlign w:val="center"/>
          </w:tcPr>
          <w:p>
            <w:pPr>
              <w:pStyle w:val="11"/>
            </w:pPr>
          </w:p>
        </w:tc>
        <w:tc>
          <w:tcPr>
            <w:tcW w:w="2551"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470.00</w:t>
            </w:r>
          </w:p>
        </w:tc>
        <w:tc>
          <w:tcPr>
            <w:tcW w:w="2551" w:type="dxa"/>
            <w:vAlign w:val="center"/>
          </w:tcPr>
          <w:p>
            <w:pPr>
              <w:pStyle w:val="11"/>
            </w:pPr>
          </w:p>
        </w:tc>
        <w:tc>
          <w:tcPr>
            <w:tcW w:w="2551"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183.91</w:t>
            </w:r>
          </w:p>
        </w:tc>
        <w:tc>
          <w:tcPr>
            <w:tcW w:w="2551" w:type="dxa"/>
            <w:vAlign w:val="center"/>
          </w:tcPr>
          <w:p>
            <w:pPr>
              <w:pStyle w:val="11"/>
            </w:pPr>
            <w:r>
              <w:t>183.91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183.91</w:t>
            </w:r>
          </w:p>
        </w:tc>
        <w:tc>
          <w:tcPr>
            <w:tcW w:w="2551" w:type="dxa"/>
            <w:vAlign w:val="center"/>
          </w:tcPr>
          <w:p>
            <w:pPr>
              <w:pStyle w:val="11"/>
            </w:pPr>
            <w:r>
              <w:t>183.91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28.54</w:t>
            </w:r>
          </w:p>
        </w:tc>
        <w:tc>
          <w:tcPr>
            <w:tcW w:w="2551" w:type="dxa"/>
            <w:vAlign w:val="center"/>
          </w:tcPr>
          <w:p>
            <w:pPr>
              <w:pStyle w:val="11"/>
            </w:pPr>
            <w:r>
              <w:t>28.54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141.70</w:t>
            </w:r>
          </w:p>
        </w:tc>
        <w:tc>
          <w:tcPr>
            <w:tcW w:w="2551" w:type="dxa"/>
            <w:vAlign w:val="center"/>
          </w:tcPr>
          <w:p>
            <w:pPr>
              <w:pStyle w:val="11"/>
            </w:pPr>
            <w:r>
              <w:t>141.70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13.67</w:t>
            </w:r>
          </w:p>
        </w:tc>
        <w:tc>
          <w:tcPr>
            <w:tcW w:w="2551" w:type="dxa"/>
            <w:vAlign w:val="center"/>
          </w:tcPr>
          <w:p>
            <w:pPr>
              <w:pStyle w:val="11"/>
            </w:pPr>
            <w:r>
              <w:t>13.67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2833.01</w:t>
            </w:r>
          </w:p>
        </w:tc>
        <w:tc>
          <w:tcPr>
            <w:tcW w:w="2551" w:type="dxa"/>
            <w:vAlign w:val="center"/>
          </w:tcPr>
          <w:p>
            <w:pPr>
              <w:pStyle w:val="15"/>
            </w:pPr>
            <w:r>
              <w:t>1464.62</w:t>
            </w:r>
          </w:p>
        </w:tc>
        <w:tc>
          <w:tcPr>
            <w:tcW w:w="2551" w:type="dxa"/>
            <w:vAlign w:val="center"/>
          </w:tcPr>
          <w:p>
            <w:pPr>
              <w:pStyle w:val="15"/>
            </w:pPr>
            <w:r>
              <w:t>1368.40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1438.17</w:t>
            </w:r>
          </w:p>
        </w:tc>
        <w:tc>
          <w:tcPr>
            <w:tcW w:w="2551" w:type="dxa"/>
            <w:vAlign w:val="center"/>
          </w:tcPr>
          <w:p>
            <w:pPr>
              <w:pStyle w:val="11"/>
            </w:pPr>
            <w:r>
              <w:t>1438.17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298.07</w:t>
            </w:r>
          </w:p>
        </w:tc>
        <w:tc>
          <w:tcPr>
            <w:tcW w:w="2551" w:type="dxa"/>
            <w:vAlign w:val="center"/>
          </w:tcPr>
          <w:p>
            <w:pPr>
              <w:pStyle w:val="11"/>
            </w:pPr>
            <w:r>
              <w:t>298.07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124.61</w:t>
            </w:r>
          </w:p>
        </w:tc>
        <w:tc>
          <w:tcPr>
            <w:tcW w:w="2551" w:type="dxa"/>
            <w:vAlign w:val="center"/>
          </w:tcPr>
          <w:p>
            <w:pPr>
              <w:pStyle w:val="11"/>
            </w:pPr>
            <w:r>
              <w:t>124.61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221.35</w:t>
            </w:r>
          </w:p>
        </w:tc>
        <w:tc>
          <w:tcPr>
            <w:tcW w:w="2551" w:type="dxa"/>
            <w:vAlign w:val="center"/>
          </w:tcPr>
          <w:p>
            <w:pPr>
              <w:pStyle w:val="11"/>
            </w:pPr>
            <w:r>
              <w:t>221.35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393.64</w:t>
            </w:r>
          </w:p>
        </w:tc>
        <w:tc>
          <w:tcPr>
            <w:tcW w:w="2551" w:type="dxa"/>
            <w:vAlign w:val="center"/>
          </w:tcPr>
          <w:p>
            <w:pPr>
              <w:pStyle w:val="11"/>
            </w:pPr>
            <w:r>
              <w:t>393.64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141.70</w:t>
            </w:r>
          </w:p>
        </w:tc>
        <w:tc>
          <w:tcPr>
            <w:tcW w:w="2551" w:type="dxa"/>
            <w:vAlign w:val="center"/>
          </w:tcPr>
          <w:p>
            <w:pPr>
              <w:pStyle w:val="11"/>
            </w:pPr>
            <w:r>
              <w:t>141.70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13.67</w:t>
            </w:r>
          </w:p>
        </w:tc>
        <w:tc>
          <w:tcPr>
            <w:tcW w:w="2551" w:type="dxa"/>
            <w:vAlign w:val="center"/>
          </w:tcPr>
          <w:p>
            <w:pPr>
              <w:pStyle w:val="11"/>
            </w:pPr>
            <w:r>
              <w:t>13.67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7.74</w:t>
            </w:r>
          </w:p>
        </w:tc>
        <w:tc>
          <w:tcPr>
            <w:tcW w:w="2551" w:type="dxa"/>
            <w:vAlign w:val="center"/>
          </w:tcPr>
          <w:p>
            <w:pPr>
              <w:pStyle w:val="11"/>
            </w:pPr>
            <w:r>
              <w:t>7.74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1364.92</w:t>
            </w:r>
          </w:p>
        </w:tc>
        <w:tc>
          <w:tcPr>
            <w:tcW w:w="2551" w:type="dxa"/>
            <w:vAlign w:val="center"/>
          </w:tcPr>
          <w:p>
            <w:pPr>
              <w:pStyle w:val="11"/>
            </w:pPr>
          </w:p>
        </w:tc>
        <w:tc>
          <w:tcPr>
            <w:tcW w:w="2551" w:type="dxa"/>
            <w:vAlign w:val="center"/>
          </w:tcPr>
          <w:p>
            <w:pPr>
              <w:pStyle w:val="11"/>
            </w:pPr>
            <w:r>
              <w:t>1364.92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26.10</w:t>
            </w:r>
          </w:p>
        </w:tc>
        <w:tc>
          <w:tcPr>
            <w:tcW w:w="2551" w:type="dxa"/>
            <w:vAlign w:val="center"/>
          </w:tcPr>
          <w:p>
            <w:pPr>
              <w:pStyle w:val="11"/>
            </w:pPr>
          </w:p>
        </w:tc>
        <w:tc>
          <w:tcPr>
            <w:tcW w:w="2551" w:type="dxa"/>
            <w:vAlign w:val="center"/>
          </w:tcPr>
          <w:p>
            <w:pPr>
              <w:pStyle w:val="11"/>
            </w:pPr>
            <w:r>
              <w:t>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380.00</w:t>
            </w:r>
          </w:p>
        </w:tc>
        <w:tc>
          <w:tcPr>
            <w:tcW w:w="2551" w:type="dxa"/>
            <w:vAlign w:val="center"/>
          </w:tcPr>
          <w:p>
            <w:pPr>
              <w:pStyle w:val="11"/>
            </w:pPr>
          </w:p>
        </w:tc>
        <w:tc>
          <w:tcPr>
            <w:tcW w:w="2551" w:type="dxa"/>
            <w:vAlign w:val="center"/>
          </w:tcPr>
          <w:p>
            <w:pPr>
              <w:pStyle w:val="11"/>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11.94</w:t>
            </w:r>
          </w:p>
        </w:tc>
        <w:tc>
          <w:tcPr>
            <w:tcW w:w="2551" w:type="dxa"/>
            <w:vAlign w:val="center"/>
          </w:tcPr>
          <w:p>
            <w:pPr>
              <w:pStyle w:val="11"/>
            </w:pPr>
          </w:p>
        </w:tc>
        <w:tc>
          <w:tcPr>
            <w:tcW w:w="2551" w:type="dxa"/>
            <w:vAlign w:val="center"/>
          </w:tcPr>
          <w:p>
            <w:pPr>
              <w:pStyle w:val="11"/>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740.00</w:t>
            </w:r>
          </w:p>
        </w:tc>
        <w:tc>
          <w:tcPr>
            <w:tcW w:w="2551" w:type="dxa"/>
            <w:vAlign w:val="center"/>
          </w:tcPr>
          <w:p>
            <w:pPr>
              <w:pStyle w:val="11"/>
            </w:pPr>
          </w:p>
        </w:tc>
        <w:tc>
          <w:tcPr>
            <w:tcW w:w="2551" w:type="dxa"/>
            <w:vAlign w:val="center"/>
          </w:tcPr>
          <w:p>
            <w:pPr>
              <w:pStyle w:val="11"/>
            </w:pPr>
            <w:r>
              <w:t>740.00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13.92</w:t>
            </w:r>
          </w:p>
        </w:tc>
        <w:tc>
          <w:tcPr>
            <w:tcW w:w="2551" w:type="dxa"/>
            <w:vAlign w:val="center"/>
          </w:tcPr>
          <w:p>
            <w:pPr>
              <w:pStyle w:val="11"/>
            </w:pPr>
          </w:p>
        </w:tc>
        <w:tc>
          <w:tcPr>
            <w:tcW w:w="2551" w:type="dxa"/>
            <w:vAlign w:val="center"/>
          </w:tcPr>
          <w:p>
            <w:pPr>
              <w:pStyle w:val="11"/>
            </w:pPr>
            <w:r>
              <w:t>13.92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7.20</w:t>
            </w:r>
          </w:p>
        </w:tc>
        <w:tc>
          <w:tcPr>
            <w:tcW w:w="2551" w:type="dxa"/>
            <w:vAlign w:val="center"/>
          </w:tcPr>
          <w:p>
            <w:pPr>
              <w:pStyle w:val="11"/>
            </w:pPr>
          </w:p>
        </w:tc>
        <w:tc>
          <w:tcPr>
            <w:tcW w:w="2551"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9.89</w:t>
            </w:r>
          </w:p>
        </w:tc>
        <w:tc>
          <w:tcPr>
            <w:tcW w:w="2551" w:type="dxa"/>
            <w:vAlign w:val="center"/>
          </w:tcPr>
          <w:p>
            <w:pPr>
              <w:pStyle w:val="11"/>
            </w:pPr>
          </w:p>
        </w:tc>
        <w:tc>
          <w:tcPr>
            <w:tcW w:w="2551" w:type="dxa"/>
            <w:vAlign w:val="center"/>
          </w:tcPr>
          <w:p>
            <w:pPr>
              <w:pStyle w:val="11"/>
            </w:pPr>
            <w:r>
              <w:t>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1.13</w:t>
            </w:r>
          </w:p>
        </w:tc>
        <w:tc>
          <w:tcPr>
            <w:tcW w:w="2551" w:type="dxa"/>
            <w:vAlign w:val="center"/>
          </w:tcPr>
          <w:p>
            <w:pPr>
              <w:pStyle w:val="11"/>
            </w:pPr>
          </w:p>
        </w:tc>
        <w:tc>
          <w:tcPr>
            <w:tcW w:w="2551"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13.19</w:t>
            </w:r>
          </w:p>
        </w:tc>
        <w:tc>
          <w:tcPr>
            <w:tcW w:w="2551" w:type="dxa"/>
            <w:vAlign w:val="center"/>
          </w:tcPr>
          <w:p>
            <w:pPr>
              <w:pStyle w:val="11"/>
            </w:pPr>
          </w:p>
        </w:tc>
        <w:tc>
          <w:tcPr>
            <w:tcW w:w="2551" w:type="dxa"/>
            <w:vAlign w:val="center"/>
          </w:tcPr>
          <w:p>
            <w:pPr>
              <w:pStyle w:val="11"/>
            </w:pPr>
            <w:r>
              <w:t>13.19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8.75</w:t>
            </w:r>
          </w:p>
        </w:tc>
        <w:tc>
          <w:tcPr>
            <w:tcW w:w="2551" w:type="dxa"/>
            <w:vAlign w:val="center"/>
          </w:tcPr>
          <w:p>
            <w:pPr>
              <w:pStyle w:val="11"/>
            </w:pPr>
          </w:p>
        </w:tc>
        <w:tc>
          <w:tcPr>
            <w:tcW w:w="2551" w:type="dxa"/>
            <w:vAlign w:val="center"/>
          </w:tcPr>
          <w:p>
            <w:pPr>
              <w:pStyle w:val="11"/>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9.20</w:t>
            </w:r>
          </w:p>
        </w:tc>
        <w:tc>
          <w:tcPr>
            <w:tcW w:w="2551" w:type="dxa"/>
            <w:vAlign w:val="center"/>
          </w:tcPr>
          <w:p>
            <w:pPr>
              <w:pStyle w:val="11"/>
            </w:pPr>
          </w:p>
        </w:tc>
        <w:tc>
          <w:tcPr>
            <w:tcW w:w="2551" w:type="dxa"/>
            <w:vAlign w:val="center"/>
          </w:tcPr>
          <w:p>
            <w:pPr>
              <w:pStyle w:val="11"/>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17.89</w:t>
            </w:r>
          </w:p>
        </w:tc>
        <w:tc>
          <w:tcPr>
            <w:tcW w:w="2551" w:type="dxa"/>
            <w:vAlign w:val="center"/>
          </w:tcPr>
          <w:p>
            <w:pPr>
              <w:pStyle w:val="11"/>
            </w:pPr>
          </w:p>
        </w:tc>
        <w:tc>
          <w:tcPr>
            <w:tcW w:w="2551" w:type="dxa"/>
            <w:vAlign w:val="center"/>
          </w:tcPr>
          <w:p>
            <w:pPr>
              <w:pStyle w:val="11"/>
            </w:pPr>
            <w:r>
              <w:t>17.89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2.22</w:t>
            </w:r>
          </w:p>
        </w:tc>
        <w:tc>
          <w:tcPr>
            <w:tcW w:w="2551" w:type="dxa"/>
            <w:vAlign w:val="center"/>
          </w:tcPr>
          <w:p>
            <w:pPr>
              <w:pStyle w:val="11"/>
            </w:pPr>
          </w:p>
        </w:tc>
        <w:tc>
          <w:tcPr>
            <w:tcW w:w="2551" w:type="dxa"/>
            <w:vAlign w:val="center"/>
          </w:tcPr>
          <w:p>
            <w:pPr>
              <w:pStyle w:val="11"/>
            </w:pPr>
            <w: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26.45</w:t>
            </w:r>
          </w:p>
        </w:tc>
        <w:tc>
          <w:tcPr>
            <w:tcW w:w="2551" w:type="dxa"/>
            <w:vAlign w:val="center"/>
          </w:tcPr>
          <w:p>
            <w:pPr>
              <w:pStyle w:val="11"/>
            </w:pPr>
            <w:r>
              <w:t>26.45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26.32</w:t>
            </w:r>
          </w:p>
        </w:tc>
        <w:tc>
          <w:tcPr>
            <w:tcW w:w="2551" w:type="dxa"/>
            <w:vAlign w:val="center"/>
          </w:tcPr>
          <w:p>
            <w:pPr>
              <w:pStyle w:val="11"/>
            </w:pPr>
            <w:r>
              <w:t>26.32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0.13</w:t>
            </w:r>
          </w:p>
        </w:tc>
        <w:tc>
          <w:tcPr>
            <w:tcW w:w="2551" w:type="dxa"/>
            <w:vAlign w:val="center"/>
          </w:tcPr>
          <w:p>
            <w:pPr>
              <w:pStyle w:val="11"/>
            </w:pPr>
            <w:r>
              <w:t>0.13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135.33</w:t>
            </w:r>
          </w:p>
        </w:tc>
        <w:tc>
          <w:tcPr>
            <w:tcW w:w="2381" w:type="dxa"/>
            <w:vAlign w:val="center"/>
          </w:tcPr>
          <w:p>
            <w:pPr>
              <w:pStyle w:val="15"/>
            </w:pPr>
            <w:r>
              <w:t>135.33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135.33</w:t>
            </w:r>
          </w:p>
        </w:tc>
        <w:tc>
          <w:tcPr>
            <w:tcW w:w="2381" w:type="dxa"/>
            <w:vAlign w:val="center"/>
          </w:tcPr>
          <w:p>
            <w:pPr>
              <w:pStyle w:val="11"/>
            </w:pPr>
            <w:r>
              <w:t>135.33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r>
              <w:t>50.00</w:t>
            </w:r>
          </w:p>
        </w:tc>
        <w:tc>
          <w:tcPr>
            <w:tcW w:w="2381" w:type="dxa"/>
            <w:vAlign w:val="center"/>
          </w:tcPr>
          <w:p>
            <w:pPr>
              <w:pStyle w:val="11"/>
            </w:pPr>
            <w:r>
              <w:t>50.00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r>
              <w:t>50.00</w:t>
            </w:r>
          </w:p>
        </w:tc>
        <w:tc>
          <w:tcPr>
            <w:tcW w:w="2381" w:type="dxa"/>
            <w:vAlign w:val="center"/>
          </w:tcPr>
          <w:p>
            <w:pPr>
              <w:pStyle w:val="11"/>
            </w:pPr>
            <w:r>
              <w:t>50.00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9.20</w:t>
            </w:r>
          </w:p>
        </w:tc>
        <w:tc>
          <w:tcPr>
            <w:tcW w:w="2381" w:type="dxa"/>
            <w:vAlign w:val="center"/>
          </w:tcPr>
          <w:p>
            <w:pPr>
              <w:pStyle w:val="11"/>
            </w:pPr>
            <w:r>
              <w:t>9.20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9.20</w:t>
            </w:r>
          </w:p>
        </w:tc>
        <w:tc>
          <w:tcPr>
            <w:tcW w:w="2381" w:type="dxa"/>
            <w:vAlign w:val="center"/>
          </w:tcPr>
          <w:p>
            <w:pPr>
              <w:pStyle w:val="11"/>
            </w:pPr>
            <w:r>
              <w:t>9.20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76.13</w:t>
            </w:r>
          </w:p>
        </w:tc>
        <w:tc>
          <w:tcPr>
            <w:tcW w:w="2381" w:type="dxa"/>
            <w:vAlign w:val="center"/>
          </w:tcPr>
          <w:p>
            <w:pPr>
              <w:pStyle w:val="11"/>
            </w:pPr>
            <w:r>
              <w:t>76.13</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秦皇岛北戴河新区综合办公室本级2024年单位预算信息公开情况说明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按照《中华人民共和国预算法》、《地方预决算公开操作规程》和《关于进一步推进预算公开工作的实施意见》规定，现将秦皇岛北戴河新区综合办公室本级2024年单位预算公开如下：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根据《秦皇岛北戴河新区管理委员会办公室职能配置、内设机构和人员编制规定》， 秦皇岛北戴河新区管理委员会办公室的主要职责是：</w:t>
      </w:r>
    </w:p>
    <w:p>
      <w:pPr>
        <w:pStyle w:val="17"/>
      </w:pPr>
      <w:r>
        <w:t>（一）负责党工委、管委会机关日常工作的综合协调、督导检查、情况反馈工作。</w:t>
      </w:r>
    </w:p>
    <w:p>
      <w:pPr>
        <w:pStyle w:val="17"/>
      </w:pPr>
      <w:r>
        <w:t>（二）负责综合文字、领导讲话、文件收发、会务及活动组织、文印管理、政务信息、地方志、档案管理等工作。</w:t>
      </w:r>
    </w:p>
    <w:p>
      <w:pPr>
        <w:pStyle w:val="17"/>
      </w:pPr>
      <w:r>
        <w:t>（三）负责对工委、管委工作部署落实情况的督导检查工作。</w:t>
      </w:r>
    </w:p>
    <w:p>
      <w:pPr>
        <w:pStyle w:val="17"/>
      </w:pPr>
      <w:r>
        <w:t>（四）负责纠正“四风”和作风纪律专项整治工作。</w:t>
      </w:r>
    </w:p>
    <w:p>
      <w:pPr>
        <w:pStyle w:val="17"/>
      </w:pPr>
      <w:r>
        <w:t>（五）负责统筹协调政务、商务接待工作。</w:t>
      </w:r>
    </w:p>
    <w:p>
      <w:pPr>
        <w:pStyle w:val="17"/>
      </w:pPr>
      <w:r>
        <w:t>（六）负责新区值班工作的统筹协调。</w:t>
      </w:r>
    </w:p>
    <w:p>
      <w:pPr>
        <w:pStyle w:val="17"/>
      </w:pPr>
      <w:r>
        <w:t>（七）负责工管委机关财务工作。</w:t>
      </w:r>
    </w:p>
    <w:p>
      <w:pPr>
        <w:pStyle w:val="17"/>
      </w:pPr>
      <w:r>
        <w:t>（八）负责承担新区机关办公设施的维修及食堂管理、水、暖、电、讯等后勤保障服务工作，负责新区机关、事业单位车辆管理、安全保卫等工作。</w:t>
      </w:r>
    </w:p>
    <w:p>
      <w:pPr>
        <w:pStyle w:val="17"/>
      </w:pPr>
      <w:r>
        <w:t>（九）负责暑期工作的综合协调、组织指导、督促检查和省部级以上领导的暑期接待服务工作。</w:t>
      </w:r>
    </w:p>
    <w:p>
      <w:pPr>
        <w:pStyle w:val="17"/>
      </w:pPr>
      <w:r>
        <w:t>（十）负责统筹协调新区深化改革、“放管服”改革工作。</w:t>
      </w:r>
    </w:p>
    <w:p>
      <w:pPr>
        <w:pStyle w:val="17"/>
      </w:pPr>
      <w:r>
        <w:t>（十一）负责新区党工委主体责任落实工作。</w:t>
      </w:r>
    </w:p>
    <w:p>
      <w:pPr>
        <w:pStyle w:val="17"/>
      </w:pPr>
      <w:r>
        <w:t>（十二）负责机要保密、政务公开工作。</w:t>
      </w:r>
    </w:p>
    <w:p>
      <w:pPr>
        <w:pStyle w:val="17"/>
      </w:pPr>
      <w:r>
        <w:t>（十三）负责市长热线的接转、回复工作。</w:t>
      </w:r>
    </w:p>
    <w:p>
      <w:pPr>
        <w:pStyle w:val="17"/>
      </w:pPr>
      <w:r>
        <w:t>（十四）负责承办新区党工委、管委会交办的其他事项。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秦皇岛北戴河新区综合办公室本级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5968.71万元，其中：一般公共预算收入5968.71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综合办公室本级年度单位预算中支出预算的总体情况。2024年支出预算5968.71万元，其中基本支出2833.01万元，包括人员经费1464.62万元和日常公用经费1368.40万元；项目支出3135.70万元，主要为特定目标类项目（一般公共预算）2226.70万元，其他运转类项目（一般公共预算）959.00万元。共计16个项目资金：公共设施维修维护及旅游旺季后勤、办公用房租赁费、网络通讯运行维护费、综合管理运行经费、大型活动经费、公共文化活动中心（规划展馆）运行经费、机关运行保障经费、外联活动经费、物业管理服务费、综合指挥中心建设资金等。</w:t>
      </w:r>
    </w:p>
    <w:p>
      <w:pPr>
        <w:pStyle w:val="18"/>
      </w:pPr>
      <w:r>
        <w:t>3、比上年增减情况</w:t>
      </w:r>
    </w:p>
    <w:p>
      <w:pPr>
        <w:pStyle w:val="18"/>
      </w:pPr>
      <w:r>
        <w:t>2024年预算收支安排5968.71万元，较2023年预算增加622.09万元，其中：基本支出增加155.29万元，主要为机构调整，预算同步调整。项目支出增加466.80万元，主要为新增物业管理服务，anke替代资金等预算同步增加。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2024年，我单位机关运行经费共计安排1368.40万元，主要用于日常维修、办公用房水电费、办公用房取暖费、办公用房物业管理费等日常运行支出。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135.33万元，其中因公出国（境）费50.00万元；公务用车购置及运维费9.20万元（其中：公务用车购置费为0.00万元，公务用车运维费9.20万元)；公务接待费76.13万元。与2023年相比减少24.42万元，增减变化的主要原因是厉行节约，进一步压减一般性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1、办公用房租赁费绩效目标表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13031324P00880510284T</w:t>
            </w:r>
          </w:p>
        </w:tc>
        <w:tc>
          <w:tcPr>
            <w:tcW w:w="2835" w:type="dxa"/>
            <w:vAlign w:val="center"/>
          </w:tcPr>
          <w:p>
            <w:pPr>
              <w:pStyle w:val="10"/>
            </w:pPr>
            <w:r>
              <w:t>项目名称</w:t>
            </w:r>
          </w:p>
        </w:tc>
        <w:tc>
          <w:tcPr>
            <w:tcW w:w="6094" w:type="dxa"/>
            <w:gridSpan w:val="3"/>
            <w:vAlign w:val="center"/>
          </w:tcPr>
          <w:p>
            <w:pPr>
              <w:pStyle w:val="12"/>
            </w:pPr>
            <w: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451.00</w:t>
            </w:r>
          </w:p>
        </w:tc>
        <w:tc>
          <w:tcPr>
            <w:tcW w:w="2835" w:type="dxa"/>
            <w:vAlign w:val="center"/>
          </w:tcPr>
          <w:p>
            <w:pPr>
              <w:pStyle w:val="10"/>
            </w:pPr>
            <w:r>
              <w:t>其中：财政    资金</w:t>
            </w:r>
          </w:p>
        </w:tc>
        <w:tc>
          <w:tcPr>
            <w:tcW w:w="2551" w:type="dxa"/>
            <w:vAlign w:val="center"/>
          </w:tcPr>
          <w:p>
            <w:pPr>
              <w:pStyle w:val="12"/>
            </w:pPr>
            <w:r>
              <w:t>451.00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办公用房能持续满足机关用房要求，为工作人员提供安全的工作场所，提供舒适办公条件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1.办公用房能持续满足机关用房要求，为工作人员提供安全的工作场所，提供舒适办公条件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办公用房面积</w:t>
            </w:r>
          </w:p>
        </w:tc>
        <w:tc>
          <w:tcPr>
            <w:tcW w:w="5386" w:type="dxa"/>
            <w:vAlign w:val="center"/>
          </w:tcPr>
          <w:p>
            <w:pPr>
              <w:pStyle w:val="12"/>
            </w:pPr>
            <w:r>
              <w:t>办公用房面积能持续满足机关用房要求</w:t>
            </w:r>
          </w:p>
        </w:tc>
        <w:tc>
          <w:tcPr>
            <w:tcW w:w="2268" w:type="dxa"/>
            <w:vAlign w:val="center"/>
          </w:tcPr>
          <w:p>
            <w:pPr>
              <w:pStyle w:val="12"/>
            </w:pPr>
            <w:r>
              <w:t>≥10000平方米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租赁房屋的合理分配率</w:t>
            </w:r>
          </w:p>
        </w:tc>
        <w:tc>
          <w:tcPr>
            <w:tcW w:w="5386" w:type="dxa"/>
            <w:vAlign w:val="center"/>
          </w:tcPr>
          <w:p>
            <w:pPr>
              <w:pStyle w:val="12"/>
            </w:pPr>
            <w:r>
              <w:t>租赁房屋的合理分配率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2024年12月底前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办公用房租赁成本</w:t>
            </w:r>
          </w:p>
        </w:tc>
        <w:tc>
          <w:tcPr>
            <w:tcW w:w="5386" w:type="dxa"/>
            <w:vAlign w:val="center"/>
          </w:tcPr>
          <w:p>
            <w:pPr>
              <w:pStyle w:val="12"/>
            </w:pPr>
            <w:r>
              <w:t>严格控制办公用房租赁成本</w:t>
            </w:r>
          </w:p>
        </w:tc>
        <w:tc>
          <w:tcPr>
            <w:tcW w:w="2268" w:type="dxa"/>
            <w:vAlign w:val="center"/>
          </w:tcPr>
          <w:p>
            <w:pPr>
              <w:pStyle w:val="12"/>
            </w:pPr>
            <w:r>
              <w:t>≤451万元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租赁房屋的合理分配率</w:t>
            </w:r>
          </w:p>
        </w:tc>
        <w:tc>
          <w:tcPr>
            <w:tcW w:w="5386" w:type="dxa"/>
            <w:vAlign w:val="center"/>
          </w:tcPr>
          <w:p>
            <w:pPr>
              <w:pStyle w:val="12"/>
            </w:pPr>
            <w:r>
              <w:t>合理分配办公用房</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为工作人员提供安全的工作场所</w:t>
            </w:r>
          </w:p>
        </w:tc>
        <w:tc>
          <w:tcPr>
            <w:tcW w:w="5386" w:type="dxa"/>
            <w:vAlign w:val="center"/>
          </w:tcPr>
          <w:p>
            <w:pPr>
              <w:pStyle w:val="12"/>
            </w:pPr>
            <w:r>
              <w:t>为工作人员提供安全的工作场所</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分配合理，提供舒适办公条件</w:t>
            </w:r>
          </w:p>
        </w:tc>
        <w:tc>
          <w:tcPr>
            <w:tcW w:w="5386" w:type="dxa"/>
            <w:vAlign w:val="center"/>
          </w:tcPr>
          <w:p>
            <w:pPr>
              <w:pStyle w:val="12"/>
            </w:pPr>
            <w:r>
              <w:t>分配合理，提供舒适办公条件</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节约维修成本</w:t>
            </w:r>
          </w:p>
        </w:tc>
        <w:tc>
          <w:tcPr>
            <w:tcW w:w="5386" w:type="dxa"/>
            <w:vAlign w:val="center"/>
          </w:tcPr>
          <w:p>
            <w:pPr>
              <w:pStyle w:val="12"/>
            </w:pPr>
            <w:r>
              <w:t>打造节约型机关</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职工满意率</w:t>
            </w:r>
          </w:p>
        </w:tc>
        <w:tc>
          <w:tcPr>
            <w:tcW w:w="5386" w:type="dxa"/>
            <w:vAlign w:val="center"/>
          </w:tcPr>
          <w:p>
            <w:pPr>
              <w:pStyle w:val="12"/>
            </w:pPr>
            <w:r>
              <w:t>职工满意率</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2、档案馆管理及年鉴编纂经费绩效目标表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13031324P00880510289W</w:t>
            </w:r>
          </w:p>
        </w:tc>
        <w:tc>
          <w:tcPr>
            <w:tcW w:w="2835" w:type="dxa"/>
            <w:vAlign w:val="center"/>
          </w:tcPr>
          <w:p>
            <w:pPr>
              <w:pStyle w:val="10"/>
            </w:pPr>
            <w:r>
              <w:t>项目名称</w:t>
            </w:r>
          </w:p>
        </w:tc>
        <w:tc>
          <w:tcPr>
            <w:tcW w:w="6094" w:type="dxa"/>
            <w:gridSpan w:val="3"/>
            <w:vAlign w:val="center"/>
          </w:tcPr>
          <w:p>
            <w:pPr>
              <w:pStyle w:val="12"/>
            </w:pPr>
            <w:r>
              <w:t>档案馆管理及年鉴编纂经费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加强对地方志的收藏与管理，拓展为社会服务途径，为社会提供地方志文献相关资料等服务。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1.加强对地方志的收藏与管理，拓展为社会服务途径，为社会提供地方志文献相关资料等服务。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接待档案查阅利用人数</w:t>
            </w:r>
          </w:p>
        </w:tc>
        <w:tc>
          <w:tcPr>
            <w:tcW w:w="5386" w:type="dxa"/>
            <w:vAlign w:val="center"/>
          </w:tcPr>
          <w:p>
            <w:pPr>
              <w:pStyle w:val="12"/>
            </w:pPr>
            <w:r>
              <w:t>接待档案查阅利用人数</w:t>
            </w:r>
          </w:p>
        </w:tc>
        <w:tc>
          <w:tcPr>
            <w:tcW w:w="2268" w:type="dxa"/>
            <w:vAlign w:val="center"/>
          </w:tcPr>
          <w:p>
            <w:pPr>
              <w:pStyle w:val="12"/>
            </w:pPr>
            <w:r>
              <w:t>≥300人次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统计年鉴数据或文字差错率</w:t>
            </w:r>
          </w:p>
        </w:tc>
        <w:tc>
          <w:tcPr>
            <w:tcW w:w="5386" w:type="dxa"/>
            <w:vAlign w:val="center"/>
          </w:tcPr>
          <w:p>
            <w:pPr>
              <w:pStyle w:val="12"/>
            </w:pPr>
            <w:r>
              <w:t>统计公报/统计年鉴数据或文字差错率</w:t>
            </w:r>
          </w:p>
        </w:tc>
        <w:tc>
          <w:tcPr>
            <w:tcW w:w="2268" w:type="dxa"/>
            <w:vAlign w:val="center"/>
          </w:tcPr>
          <w:p>
            <w:pPr>
              <w:pStyle w:val="12"/>
            </w:pPr>
            <w:r>
              <w:t>≤0.1%</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委托第三方所需用的编制成本</w:t>
            </w:r>
          </w:p>
        </w:tc>
        <w:tc>
          <w:tcPr>
            <w:tcW w:w="5386" w:type="dxa"/>
            <w:vAlign w:val="center"/>
          </w:tcPr>
          <w:p>
            <w:pPr>
              <w:pStyle w:val="12"/>
            </w:pPr>
            <w:r>
              <w:t>委托第三方所需用的编制成本</w:t>
            </w:r>
          </w:p>
        </w:tc>
        <w:tc>
          <w:tcPr>
            <w:tcW w:w="2268" w:type="dxa"/>
            <w:vAlign w:val="center"/>
          </w:tcPr>
          <w:p>
            <w:pPr>
              <w:pStyle w:val="12"/>
            </w:pPr>
            <w:r>
              <w:t>≤30万元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委托第三方所需用的编制成本</w:t>
            </w:r>
          </w:p>
        </w:tc>
        <w:tc>
          <w:tcPr>
            <w:tcW w:w="5386" w:type="dxa"/>
            <w:vAlign w:val="center"/>
          </w:tcPr>
          <w:p>
            <w:pPr>
              <w:pStyle w:val="12"/>
            </w:pPr>
            <w:r>
              <w:t>委托第三方所需用的编制成本</w:t>
            </w:r>
          </w:p>
        </w:tc>
        <w:tc>
          <w:tcPr>
            <w:tcW w:w="2268" w:type="dxa"/>
            <w:vAlign w:val="center"/>
          </w:tcPr>
          <w:p>
            <w:pPr>
              <w:pStyle w:val="12"/>
            </w:pPr>
            <w:r>
              <w:t>≤30万元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出版物使用人满意度</w:t>
            </w:r>
          </w:p>
        </w:tc>
        <w:tc>
          <w:tcPr>
            <w:tcW w:w="5386" w:type="dxa"/>
            <w:vAlign w:val="center"/>
          </w:tcPr>
          <w:p>
            <w:pPr>
              <w:pStyle w:val="12"/>
            </w:pPr>
            <w:r>
              <w:t>出版物使用人满意度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3、审计业务工作经费绩效目标表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13031324P008805102862</w:t>
            </w:r>
          </w:p>
        </w:tc>
        <w:tc>
          <w:tcPr>
            <w:tcW w:w="2835" w:type="dxa"/>
            <w:vAlign w:val="center"/>
          </w:tcPr>
          <w:p>
            <w:pPr>
              <w:pStyle w:val="10"/>
            </w:pPr>
            <w:r>
              <w:t>项目名称</w:t>
            </w:r>
          </w:p>
        </w:tc>
        <w:tc>
          <w:tcPr>
            <w:tcW w:w="6094" w:type="dxa"/>
            <w:gridSpan w:val="3"/>
            <w:vAlign w:val="center"/>
          </w:tcPr>
          <w:p>
            <w:pPr>
              <w:pStyle w:val="12"/>
            </w:pPr>
            <w:r>
              <w:t>审计业务工作经费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审计财政、财务收支真实、合法和效益，维护国家财政经济秩序、促进廉政建设、保障国民经济的健康发展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1.审计财政、财务收支真实、合法和效益，维护国家财政经济秩序、促进廉政建设、保障国民经济的健康发展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完成审计项目数量</w:t>
            </w:r>
          </w:p>
        </w:tc>
        <w:tc>
          <w:tcPr>
            <w:tcW w:w="5386" w:type="dxa"/>
            <w:vAlign w:val="center"/>
          </w:tcPr>
          <w:p>
            <w:pPr>
              <w:pStyle w:val="12"/>
            </w:pPr>
            <w:r>
              <w:t>完成对各单位预算执行审计项目数量</w:t>
            </w:r>
          </w:p>
        </w:tc>
        <w:tc>
          <w:tcPr>
            <w:tcW w:w="2268" w:type="dxa"/>
            <w:vAlign w:val="center"/>
          </w:tcPr>
          <w:p>
            <w:pPr>
              <w:pStyle w:val="12"/>
            </w:pPr>
            <w:r>
              <w:t>≥2项</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问题整改率</w:t>
            </w:r>
          </w:p>
        </w:tc>
        <w:tc>
          <w:tcPr>
            <w:tcW w:w="5386" w:type="dxa"/>
            <w:vAlign w:val="center"/>
          </w:tcPr>
          <w:p>
            <w:pPr>
              <w:pStyle w:val="12"/>
            </w:pPr>
            <w:r>
              <w:t>对各单位预算执行审计中，提出的问题整改比率</w:t>
            </w:r>
          </w:p>
        </w:tc>
        <w:tc>
          <w:tcPr>
            <w:tcW w:w="2268" w:type="dxa"/>
            <w:vAlign w:val="center"/>
          </w:tcPr>
          <w:p>
            <w:pPr>
              <w:pStyle w:val="12"/>
            </w:pPr>
            <w:r>
              <w:t>≥80%</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对各单位预算执行审计根据工作计划按时间节点完成</w:t>
            </w:r>
          </w:p>
        </w:tc>
        <w:tc>
          <w:tcPr>
            <w:tcW w:w="2268" w:type="dxa"/>
            <w:vAlign w:val="center"/>
          </w:tcPr>
          <w:p>
            <w:pPr>
              <w:pStyle w:val="12"/>
            </w:pPr>
            <w:r>
              <w:t>及时完成</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实际支出金额小于预算控制数</w:t>
            </w:r>
          </w:p>
        </w:tc>
        <w:tc>
          <w:tcPr>
            <w:tcW w:w="2268" w:type="dxa"/>
            <w:vAlign w:val="center"/>
          </w:tcPr>
          <w:p>
            <w:pPr>
              <w:pStyle w:val="12"/>
            </w:pPr>
            <w:r>
              <w:t>≤8万元</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维护财经纪律，提高资金使用效益</w:t>
            </w:r>
          </w:p>
        </w:tc>
        <w:tc>
          <w:tcPr>
            <w:tcW w:w="2268" w:type="dxa"/>
            <w:vAlign w:val="center"/>
          </w:tcPr>
          <w:p>
            <w:pPr>
              <w:pStyle w:val="12"/>
            </w:pPr>
            <w:r>
              <w:t>效果显著</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推动廉政之风</w:t>
            </w:r>
          </w:p>
        </w:tc>
        <w:tc>
          <w:tcPr>
            <w:tcW w:w="5386" w:type="dxa"/>
            <w:vAlign w:val="center"/>
          </w:tcPr>
          <w:p>
            <w:pPr>
              <w:pStyle w:val="12"/>
            </w:pPr>
            <w:r>
              <w:t>持续推动党风廉政建设，保证积极运转</w:t>
            </w:r>
          </w:p>
        </w:tc>
        <w:tc>
          <w:tcPr>
            <w:tcW w:w="2268" w:type="dxa"/>
            <w:vAlign w:val="center"/>
          </w:tcPr>
          <w:p>
            <w:pPr>
              <w:pStyle w:val="12"/>
            </w:pPr>
            <w:r>
              <w:t>效果显著</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接受审计单位所提供服务的满意程度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4、网络通讯运行维护费绩效目标表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13031324P00880510287M</w:t>
            </w:r>
          </w:p>
        </w:tc>
        <w:tc>
          <w:tcPr>
            <w:tcW w:w="2835" w:type="dxa"/>
            <w:vAlign w:val="center"/>
          </w:tcPr>
          <w:p>
            <w:pPr>
              <w:pStyle w:val="10"/>
            </w:pPr>
            <w:r>
              <w:t>项目名称</w:t>
            </w:r>
          </w:p>
        </w:tc>
        <w:tc>
          <w:tcPr>
            <w:tcW w:w="6094" w:type="dxa"/>
            <w:gridSpan w:val="3"/>
            <w:vAlign w:val="center"/>
          </w:tcPr>
          <w:p>
            <w:pPr>
              <w:pStyle w:val="12"/>
            </w:pPr>
            <w:r>
              <w:t>网络通讯运行维护费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320.00</w:t>
            </w:r>
          </w:p>
        </w:tc>
        <w:tc>
          <w:tcPr>
            <w:tcW w:w="2835" w:type="dxa"/>
            <w:vAlign w:val="center"/>
          </w:tcPr>
          <w:p>
            <w:pPr>
              <w:pStyle w:val="10"/>
            </w:pPr>
            <w:r>
              <w:t>其中：财政    资金</w:t>
            </w:r>
          </w:p>
        </w:tc>
        <w:tc>
          <w:tcPr>
            <w:tcW w:w="2551" w:type="dxa"/>
            <w:vAlign w:val="center"/>
          </w:tcPr>
          <w:p>
            <w:pPr>
              <w:pStyle w:val="12"/>
            </w:pPr>
            <w:r>
              <w:t>320.00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确保网络通讯畅通，及时安全上接下联各级各部门，进一步推进电子政务网络建设，完善信息化工作相关规章制度，加强新区办公网络安全建设。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1.确保网络通讯畅通，及时安全上接下联各级各部门，进一步推进电子政务网络建设，完善信息化工作相关规章制度，加强新区办公网络安全建设。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保障重点视频会议专线数量</w:t>
            </w:r>
          </w:p>
        </w:tc>
        <w:tc>
          <w:tcPr>
            <w:tcW w:w="5386" w:type="dxa"/>
            <w:vAlign w:val="center"/>
          </w:tcPr>
          <w:p>
            <w:pPr>
              <w:pStyle w:val="12"/>
            </w:pPr>
            <w:r>
              <w:t>保障重点视频会议专线数量</w:t>
            </w:r>
          </w:p>
        </w:tc>
        <w:tc>
          <w:tcPr>
            <w:tcW w:w="2268" w:type="dxa"/>
            <w:vAlign w:val="center"/>
          </w:tcPr>
          <w:p>
            <w:pPr>
              <w:pStyle w:val="12"/>
            </w:pPr>
            <w:r>
              <w:t>≥4条</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通信资源合理配置率</w:t>
            </w:r>
          </w:p>
        </w:tc>
        <w:tc>
          <w:tcPr>
            <w:tcW w:w="5386" w:type="dxa"/>
            <w:vAlign w:val="center"/>
          </w:tcPr>
          <w:p>
            <w:pPr>
              <w:pStyle w:val="12"/>
            </w:pPr>
            <w:r>
              <w:t>通信资源合理配置率</w:t>
            </w:r>
          </w:p>
        </w:tc>
        <w:tc>
          <w:tcPr>
            <w:tcW w:w="2268" w:type="dxa"/>
            <w:vAlign w:val="center"/>
          </w:tcPr>
          <w:p>
            <w:pPr>
              <w:pStyle w:val="12"/>
            </w:pPr>
            <w:r>
              <w:t>≥80%</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支出金额小于预算额度</w:t>
            </w:r>
          </w:p>
        </w:tc>
        <w:tc>
          <w:tcPr>
            <w:tcW w:w="2268" w:type="dxa"/>
            <w:vAlign w:val="center"/>
          </w:tcPr>
          <w:p>
            <w:pPr>
              <w:pStyle w:val="12"/>
            </w:pPr>
            <w:r>
              <w:t>≤320万元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通过网络信息化手段提高政府工作效率</w:t>
            </w:r>
          </w:p>
        </w:tc>
        <w:tc>
          <w:tcPr>
            <w:tcW w:w="5386" w:type="dxa"/>
            <w:vAlign w:val="center"/>
          </w:tcPr>
          <w:p>
            <w:pPr>
              <w:pStyle w:val="12"/>
            </w:pPr>
            <w:r>
              <w:t>通过网络信息化手段提高政府工作效率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保障政府网络通信安全运行</w:t>
            </w:r>
          </w:p>
        </w:tc>
        <w:tc>
          <w:tcPr>
            <w:tcW w:w="5386" w:type="dxa"/>
            <w:vAlign w:val="center"/>
          </w:tcPr>
          <w:p>
            <w:pPr>
              <w:pStyle w:val="12"/>
            </w:pPr>
            <w:r>
              <w:t>保障政府网络通信安全运行</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推进无纸化办公进度</w:t>
            </w:r>
          </w:p>
        </w:tc>
        <w:tc>
          <w:tcPr>
            <w:tcW w:w="5386" w:type="dxa"/>
            <w:vAlign w:val="center"/>
          </w:tcPr>
          <w:p>
            <w:pPr>
              <w:pStyle w:val="12"/>
            </w:pPr>
            <w:r>
              <w:t>通过网络信息化手段促进绿色办公实施</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合理化上接下联各级各部门</w:t>
            </w:r>
          </w:p>
        </w:tc>
        <w:tc>
          <w:tcPr>
            <w:tcW w:w="5386" w:type="dxa"/>
            <w:vAlign w:val="center"/>
          </w:tcPr>
          <w:p>
            <w:pPr>
              <w:pStyle w:val="12"/>
            </w:pPr>
            <w:r>
              <w:t>通过多网合一，进一步优化网络使用，扩大办公网络覆盖</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≥80%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5、综合管理运行经费绩效目标表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13031324P008805102837</w:t>
            </w:r>
          </w:p>
        </w:tc>
        <w:tc>
          <w:tcPr>
            <w:tcW w:w="2835" w:type="dxa"/>
            <w:vAlign w:val="center"/>
          </w:tcPr>
          <w:p>
            <w:pPr>
              <w:pStyle w:val="10"/>
            </w:pPr>
            <w:r>
              <w:t>项目名称</w:t>
            </w:r>
          </w:p>
        </w:tc>
        <w:tc>
          <w:tcPr>
            <w:tcW w:w="6094" w:type="dxa"/>
            <w:gridSpan w:val="3"/>
            <w:vAlign w:val="center"/>
          </w:tcPr>
          <w:p>
            <w:pPr>
              <w:pStyle w:val="12"/>
            </w:pPr>
            <w:r>
              <w:t>综合管理运行经费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规范管理，合理使用，保障房屋安全，确保各种设施、设备运转正常；加强规范管理，为职工办工提供更好的办公环境。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1.规范管理，合理使用，保障房屋安全，确保各种设施、设备运转正常；加强规范管理，为职工办工提供更好的办公环境。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专项整治次数</w:t>
            </w:r>
          </w:p>
        </w:tc>
        <w:tc>
          <w:tcPr>
            <w:tcW w:w="5386" w:type="dxa"/>
            <w:vAlign w:val="center"/>
          </w:tcPr>
          <w:p>
            <w:pPr>
              <w:pStyle w:val="12"/>
            </w:pPr>
            <w:r>
              <w:t>开展新区范围内纠正“四风”和作风纪律专项整治明查暗访</w:t>
            </w:r>
          </w:p>
        </w:tc>
        <w:tc>
          <w:tcPr>
            <w:tcW w:w="2268" w:type="dxa"/>
            <w:vAlign w:val="center"/>
          </w:tcPr>
          <w:p>
            <w:pPr>
              <w:pStyle w:val="12"/>
            </w:pPr>
            <w:r>
              <w:t>≥5次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督导检查工作完成率</w:t>
            </w:r>
          </w:p>
        </w:tc>
        <w:tc>
          <w:tcPr>
            <w:tcW w:w="5386" w:type="dxa"/>
            <w:vAlign w:val="center"/>
          </w:tcPr>
          <w:p>
            <w:pPr>
              <w:pStyle w:val="12"/>
            </w:pPr>
            <w:r>
              <w:t>对上级和工管委领导交办、批示、会议议定事项进行督导检查</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工作完成时限性</w:t>
            </w:r>
          </w:p>
        </w:tc>
        <w:tc>
          <w:tcPr>
            <w:tcW w:w="5386" w:type="dxa"/>
            <w:vAlign w:val="center"/>
          </w:tcPr>
          <w:p>
            <w:pPr>
              <w:pStyle w:val="12"/>
            </w:pPr>
            <w:r>
              <w:t>各项工作在规定时间内完成</w:t>
            </w:r>
          </w:p>
        </w:tc>
        <w:tc>
          <w:tcPr>
            <w:tcW w:w="2268" w:type="dxa"/>
            <w:vAlign w:val="center"/>
          </w:tcPr>
          <w:p>
            <w:pPr>
              <w:pStyle w:val="12"/>
            </w:pPr>
            <w:r>
              <w:t>2023年12月底前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完成综合事务各项工作成本</w:t>
            </w:r>
          </w:p>
        </w:tc>
        <w:tc>
          <w:tcPr>
            <w:tcW w:w="5386" w:type="dxa"/>
            <w:vAlign w:val="center"/>
          </w:tcPr>
          <w:p>
            <w:pPr>
              <w:pStyle w:val="12"/>
            </w:pPr>
            <w:r>
              <w:t>完成综合事务各项工作成本</w:t>
            </w:r>
          </w:p>
        </w:tc>
        <w:tc>
          <w:tcPr>
            <w:tcW w:w="2268" w:type="dxa"/>
            <w:vAlign w:val="center"/>
          </w:tcPr>
          <w:p>
            <w:pPr>
              <w:pStyle w:val="12"/>
            </w:pPr>
            <w:r>
              <w:t>≤100万元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生态效益增值率</w:t>
            </w:r>
          </w:p>
        </w:tc>
        <w:tc>
          <w:tcPr>
            <w:tcW w:w="5386" w:type="dxa"/>
            <w:vAlign w:val="center"/>
          </w:tcPr>
          <w:p>
            <w:pPr>
              <w:pStyle w:val="12"/>
            </w:pPr>
            <w:r>
              <w:t>项目实施后生态效益增长率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监测、评价完成率</w:t>
            </w:r>
          </w:p>
        </w:tc>
        <w:tc>
          <w:tcPr>
            <w:tcW w:w="5386" w:type="dxa"/>
            <w:vAlign w:val="center"/>
          </w:tcPr>
          <w:p>
            <w:pPr>
              <w:pStyle w:val="12"/>
            </w:pPr>
            <w:r>
              <w:t>监测、评价完成率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档案电子化</w:t>
            </w:r>
          </w:p>
        </w:tc>
        <w:tc>
          <w:tcPr>
            <w:tcW w:w="5386" w:type="dxa"/>
            <w:vAlign w:val="center"/>
          </w:tcPr>
          <w:p>
            <w:pPr>
              <w:pStyle w:val="12"/>
            </w:pPr>
            <w:r>
              <w:t>档案电子化</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职工对办公环境满意度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6、anke替代资金绩效目标表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13031324P00880110781P</w:t>
            </w:r>
          </w:p>
        </w:tc>
        <w:tc>
          <w:tcPr>
            <w:tcW w:w="2835" w:type="dxa"/>
            <w:vAlign w:val="center"/>
          </w:tcPr>
          <w:p>
            <w:pPr>
              <w:pStyle w:val="10"/>
            </w:pPr>
            <w:r>
              <w:t>项目名称</w:t>
            </w:r>
          </w:p>
        </w:tc>
        <w:tc>
          <w:tcPr>
            <w:tcW w:w="6094" w:type="dxa"/>
            <w:gridSpan w:val="3"/>
            <w:vAlign w:val="center"/>
          </w:tcPr>
          <w:p>
            <w:pPr>
              <w:pStyle w:val="12"/>
            </w:pPr>
            <w:r>
              <w:t>anke替代资金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分五年进行办公设备anke替代计划，2024年计划完成13台电脑和13台打印机设备替代。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1.分五年进行办公设备anke替代计划，2024年计划完成13台电脑和13台打印机设备替代。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购置数量</w:t>
            </w:r>
          </w:p>
        </w:tc>
        <w:tc>
          <w:tcPr>
            <w:tcW w:w="5386" w:type="dxa"/>
            <w:vAlign w:val="center"/>
          </w:tcPr>
          <w:p>
            <w:pPr>
              <w:pStyle w:val="12"/>
            </w:pPr>
            <w:r>
              <w:t>完成13台电脑和13台打印机设备更换</w:t>
            </w:r>
          </w:p>
        </w:tc>
        <w:tc>
          <w:tcPr>
            <w:tcW w:w="2268" w:type="dxa"/>
            <w:vAlign w:val="center"/>
          </w:tcPr>
          <w:p>
            <w:pPr>
              <w:pStyle w:val="12"/>
            </w:pPr>
            <w:r>
              <w:t>≥13套</w:t>
            </w:r>
          </w:p>
        </w:tc>
        <w:tc>
          <w:tcPr>
            <w:tcW w:w="1276" w:type="dxa"/>
            <w:vAlign w:val="center"/>
          </w:tcPr>
          <w:p>
            <w:pPr>
              <w:pStyle w:val="12"/>
            </w:pPr>
            <w:r>
              <w:t>电脑和打印机采购替代数量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设备购置合格率</w:t>
            </w:r>
          </w:p>
        </w:tc>
        <w:tc>
          <w:tcPr>
            <w:tcW w:w="5386" w:type="dxa"/>
            <w:vAlign w:val="center"/>
          </w:tcPr>
          <w:p>
            <w:pPr>
              <w:pStyle w:val="12"/>
            </w:pPr>
            <w:r>
              <w:t>设备购置合格率</w:t>
            </w:r>
          </w:p>
        </w:tc>
        <w:tc>
          <w:tcPr>
            <w:tcW w:w="2268" w:type="dxa"/>
            <w:vAlign w:val="center"/>
          </w:tcPr>
          <w:p>
            <w:pPr>
              <w:pStyle w:val="12"/>
            </w:pPr>
            <w:r>
              <w:t>≥0.95%</w:t>
            </w:r>
          </w:p>
        </w:tc>
        <w:tc>
          <w:tcPr>
            <w:tcW w:w="1276" w:type="dxa"/>
            <w:vAlign w:val="center"/>
          </w:tcPr>
          <w:p>
            <w:pPr>
              <w:pStyle w:val="12"/>
            </w:pPr>
            <w:r>
              <w:t>设备购置合格情况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截至2024年底执行率</w:t>
            </w:r>
          </w:p>
        </w:tc>
        <w:tc>
          <w:tcPr>
            <w:tcW w:w="5386" w:type="dxa"/>
            <w:vAlign w:val="center"/>
          </w:tcPr>
          <w:p>
            <w:pPr>
              <w:pStyle w:val="12"/>
            </w:pPr>
            <w:r>
              <w:t>截至2024年底替代执行率</w:t>
            </w:r>
          </w:p>
        </w:tc>
        <w:tc>
          <w:tcPr>
            <w:tcW w:w="2268" w:type="dxa"/>
            <w:vAlign w:val="center"/>
          </w:tcPr>
          <w:p>
            <w:pPr>
              <w:pStyle w:val="12"/>
            </w:pPr>
            <w:r>
              <w:t>＝1%</w:t>
            </w:r>
          </w:p>
        </w:tc>
        <w:tc>
          <w:tcPr>
            <w:tcW w:w="1276" w:type="dxa"/>
            <w:vAlign w:val="center"/>
          </w:tcPr>
          <w:p>
            <w:pPr>
              <w:pStyle w:val="12"/>
            </w:pPr>
            <w:r>
              <w:t>2024年年底前完成13台电脑和1台打印机设备更换。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综合考虑，控制成本</w:t>
            </w:r>
          </w:p>
        </w:tc>
        <w:tc>
          <w:tcPr>
            <w:tcW w:w="5386" w:type="dxa"/>
            <w:vAlign w:val="center"/>
          </w:tcPr>
          <w:p>
            <w:pPr>
              <w:pStyle w:val="12"/>
            </w:pPr>
            <w:r>
              <w:t>综合考虑，成本控制在预算内</w:t>
            </w:r>
          </w:p>
        </w:tc>
        <w:tc>
          <w:tcPr>
            <w:tcW w:w="2268" w:type="dxa"/>
            <w:vAlign w:val="center"/>
          </w:tcPr>
          <w:p>
            <w:pPr>
              <w:pStyle w:val="12"/>
            </w:pPr>
            <w:r>
              <w:t>≤20万元</w:t>
            </w:r>
          </w:p>
        </w:tc>
        <w:tc>
          <w:tcPr>
            <w:tcW w:w="1276" w:type="dxa"/>
            <w:vAlign w:val="center"/>
          </w:tcPr>
          <w:p>
            <w:pPr>
              <w:pStyle w:val="12"/>
            </w:pPr>
            <w:r>
              <w:t>成本控制在预算内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设备环保标准</w:t>
            </w:r>
          </w:p>
        </w:tc>
        <w:tc>
          <w:tcPr>
            <w:tcW w:w="5386" w:type="dxa"/>
            <w:vAlign w:val="center"/>
          </w:tcPr>
          <w:p>
            <w:pPr>
              <w:pStyle w:val="12"/>
            </w:pPr>
            <w:r>
              <w:t>购置的设备符合国家环保标准</w:t>
            </w:r>
          </w:p>
        </w:tc>
        <w:tc>
          <w:tcPr>
            <w:tcW w:w="2268" w:type="dxa"/>
            <w:vAlign w:val="center"/>
          </w:tcPr>
          <w:p>
            <w:pPr>
              <w:pStyle w:val="12"/>
            </w:pPr>
            <w:r>
              <w:t>行业标准</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保障能力提升情况</w:t>
            </w:r>
          </w:p>
        </w:tc>
        <w:tc>
          <w:tcPr>
            <w:tcW w:w="5386" w:type="dxa"/>
            <w:vAlign w:val="center"/>
          </w:tcPr>
          <w:p>
            <w:pPr>
              <w:pStyle w:val="12"/>
            </w:pPr>
            <w:r>
              <w:t>购置设备对保障业务工作正常开展，促进公共服务效率的提升程度</w:t>
            </w:r>
          </w:p>
        </w:tc>
        <w:tc>
          <w:tcPr>
            <w:tcW w:w="2268" w:type="dxa"/>
            <w:vAlign w:val="center"/>
          </w:tcPr>
          <w:p>
            <w:pPr>
              <w:pStyle w:val="12"/>
            </w:pPr>
            <w:r>
              <w:t>提升程度明显</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提高工作效率,保障办公环境</w:t>
            </w:r>
          </w:p>
        </w:tc>
        <w:tc>
          <w:tcPr>
            <w:tcW w:w="5386" w:type="dxa"/>
            <w:vAlign w:val="center"/>
          </w:tcPr>
          <w:p>
            <w:pPr>
              <w:pStyle w:val="12"/>
            </w:pPr>
            <w:r>
              <w:t>提高工作效率,保障办公环境</w:t>
            </w:r>
          </w:p>
        </w:tc>
        <w:tc>
          <w:tcPr>
            <w:tcW w:w="2268" w:type="dxa"/>
            <w:vAlign w:val="center"/>
          </w:tcPr>
          <w:p>
            <w:pPr>
              <w:pStyle w:val="12"/>
            </w:pPr>
            <w:r>
              <w:t>＝100%</w:t>
            </w:r>
          </w:p>
        </w:tc>
        <w:tc>
          <w:tcPr>
            <w:tcW w:w="1276" w:type="dxa"/>
            <w:vAlign w:val="center"/>
          </w:tcPr>
          <w:p>
            <w:pPr>
              <w:pStyle w:val="12"/>
            </w:pPr>
            <w: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使用设备人员满意程度（%）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7、出国经费绩效目标表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13031324P008801105963</w:t>
            </w:r>
          </w:p>
        </w:tc>
        <w:tc>
          <w:tcPr>
            <w:tcW w:w="2835" w:type="dxa"/>
            <w:vAlign w:val="center"/>
          </w:tcPr>
          <w:p>
            <w:pPr>
              <w:pStyle w:val="10"/>
            </w:pPr>
            <w:r>
              <w:t>项目名称</w:t>
            </w:r>
          </w:p>
        </w:tc>
        <w:tc>
          <w:tcPr>
            <w:tcW w:w="6094" w:type="dxa"/>
            <w:gridSpan w:val="3"/>
            <w:vAlign w:val="center"/>
          </w:tcPr>
          <w:p>
            <w:pPr>
              <w:pStyle w:val="12"/>
            </w:pPr>
            <w:r>
              <w:t>出国经费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按规定完成审批事项；通过对外交往，进一步提高我市国际知名度，为全市经济社会发展服务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1.按规定完成审批事项；通过对外交往，进一步提高我市国际知名度，为全市经济社会发展服务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出国学术交流批次</w:t>
            </w:r>
          </w:p>
        </w:tc>
        <w:tc>
          <w:tcPr>
            <w:tcW w:w="5386" w:type="dxa"/>
            <w:vAlign w:val="center"/>
          </w:tcPr>
          <w:p>
            <w:pPr>
              <w:pStyle w:val="12"/>
            </w:pPr>
            <w:r>
              <w:t>出国学术交流批次</w:t>
            </w:r>
          </w:p>
        </w:tc>
        <w:tc>
          <w:tcPr>
            <w:tcW w:w="2268" w:type="dxa"/>
            <w:vAlign w:val="center"/>
          </w:tcPr>
          <w:p>
            <w:pPr>
              <w:pStyle w:val="12"/>
            </w:pPr>
            <w:r>
              <w:t>≥2次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交流活动预定目标实现率</w:t>
            </w:r>
          </w:p>
        </w:tc>
        <w:tc>
          <w:tcPr>
            <w:tcW w:w="5386" w:type="dxa"/>
            <w:vAlign w:val="center"/>
          </w:tcPr>
          <w:p>
            <w:pPr>
              <w:pStyle w:val="12"/>
            </w:pPr>
            <w:r>
              <w:t>交流活动预定目标实现率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完成出访及组织相关交流活动的时间</w:t>
            </w:r>
          </w:p>
        </w:tc>
        <w:tc>
          <w:tcPr>
            <w:tcW w:w="5386" w:type="dxa"/>
            <w:vAlign w:val="center"/>
          </w:tcPr>
          <w:p>
            <w:pPr>
              <w:pStyle w:val="12"/>
            </w:pPr>
            <w:r>
              <w:t>完成接待来访、出访及组织相关交流活动的时间</w:t>
            </w:r>
          </w:p>
        </w:tc>
        <w:tc>
          <w:tcPr>
            <w:tcW w:w="2268" w:type="dxa"/>
            <w:vAlign w:val="center"/>
          </w:tcPr>
          <w:p>
            <w:pPr>
              <w:pStyle w:val="12"/>
            </w:pPr>
            <w:r>
              <w:t>2024年12月第前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出国经费限额标准</w:t>
            </w:r>
          </w:p>
        </w:tc>
        <w:tc>
          <w:tcPr>
            <w:tcW w:w="5386" w:type="dxa"/>
            <w:vAlign w:val="center"/>
          </w:tcPr>
          <w:p>
            <w:pPr>
              <w:pStyle w:val="12"/>
            </w:pPr>
            <w:r>
              <w:t>出国经费限额标准</w:t>
            </w:r>
          </w:p>
        </w:tc>
        <w:tc>
          <w:tcPr>
            <w:tcW w:w="2268" w:type="dxa"/>
            <w:vAlign w:val="center"/>
          </w:tcPr>
          <w:p>
            <w:pPr>
              <w:pStyle w:val="12"/>
            </w:pPr>
            <w:r>
              <w:t>≤50万元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促进合作交流</w:t>
            </w:r>
          </w:p>
        </w:tc>
        <w:tc>
          <w:tcPr>
            <w:tcW w:w="5386" w:type="dxa"/>
            <w:vAlign w:val="center"/>
          </w:tcPr>
          <w:p>
            <w:pPr>
              <w:pStyle w:val="12"/>
            </w:pPr>
            <w:r>
              <w:t>增进了解，建立信任，发展友谊，推动全市多领域对外交流合作，实现互利共赢、共同发展</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展览期间进行过洽谈或新结实的客商</w:t>
            </w:r>
          </w:p>
        </w:tc>
        <w:tc>
          <w:tcPr>
            <w:tcW w:w="5386" w:type="dxa"/>
            <w:vAlign w:val="center"/>
          </w:tcPr>
          <w:p>
            <w:pPr>
              <w:pStyle w:val="12"/>
            </w:pPr>
            <w:r>
              <w:t>展览期间进行过洽谈或新结实的客商数</w:t>
            </w:r>
          </w:p>
        </w:tc>
        <w:tc>
          <w:tcPr>
            <w:tcW w:w="2268" w:type="dxa"/>
            <w:vAlign w:val="center"/>
          </w:tcPr>
          <w:p>
            <w:pPr>
              <w:pStyle w:val="12"/>
            </w:pPr>
            <w:r>
              <w:t>≥5人次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创造性转化，创新性发展</w:t>
            </w:r>
          </w:p>
        </w:tc>
        <w:tc>
          <w:tcPr>
            <w:tcW w:w="5386" w:type="dxa"/>
            <w:vAlign w:val="center"/>
          </w:tcPr>
          <w:p>
            <w:pPr>
              <w:pStyle w:val="12"/>
            </w:pPr>
            <w:r>
              <w:t>创造性转化，创新性发展</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受访组织、团体满意度</w:t>
            </w:r>
          </w:p>
        </w:tc>
        <w:tc>
          <w:tcPr>
            <w:tcW w:w="5386" w:type="dxa"/>
            <w:vAlign w:val="center"/>
          </w:tcPr>
          <w:p>
            <w:pPr>
              <w:pStyle w:val="12"/>
            </w:pPr>
            <w:r>
              <w:t>按调查结果满意度情况计算扣分</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8、大型活动经费绩效目标表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13031324P00880110598A</w:t>
            </w:r>
          </w:p>
        </w:tc>
        <w:tc>
          <w:tcPr>
            <w:tcW w:w="2835" w:type="dxa"/>
            <w:vAlign w:val="center"/>
          </w:tcPr>
          <w:p>
            <w:pPr>
              <w:pStyle w:val="10"/>
            </w:pPr>
            <w:r>
              <w:t>项目名称</w:t>
            </w:r>
          </w:p>
        </w:tc>
        <w:tc>
          <w:tcPr>
            <w:tcW w:w="6094" w:type="dxa"/>
            <w:gridSpan w:val="3"/>
            <w:vAlign w:val="center"/>
          </w:tcPr>
          <w:p>
            <w:pPr>
              <w:pStyle w:val="12"/>
            </w:pPr>
            <w:r>
              <w:t>大型活动经费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通过组织工管委各种会议的会务工作和日常工作,做好区级层面重要会议活动的统筹协调，保证全区性重大会议圆满完成。</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1.通过组织工管委各种会议的会务工作和日常工作,做好区级层面重要会议活动的统筹协调，保证全区性重大会议圆满完成。</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会议费次数</w:t>
            </w:r>
          </w:p>
        </w:tc>
        <w:tc>
          <w:tcPr>
            <w:tcW w:w="5386" w:type="dxa"/>
            <w:vAlign w:val="center"/>
          </w:tcPr>
          <w:p>
            <w:pPr>
              <w:pStyle w:val="12"/>
            </w:pPr>
            <w:r>
              <w:t>年度内计划组织会议的次数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会议活动质量完成率</w:t>
            </w:r>
          </w:p>
        </w:tc>
        <w:tc>
          <w:tcPr>
            <w:tcW w:w="5386" w:type="dxa"/>
            <w:vAlign w:val="center"/>
          </w:tcPr>
          <w:p>
            <w:pPr>
              <w:pStyle w:val="12"/>
            </w:pPr>
            <w:r>
              <w:t>会议活动按要求全部完成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培训、会议活动按时完成</w:t>
            </w:r>
          </w:p>
        </w:tc>
        <w:tc>
          <w:tcPr>
            <w:tcW w:w="5386" w:type="dxa"/>
            <w:vAlign w:val="center"/>
          </w:tcPr>
          <w:p>
            <w:pPr>
              <w:pStyle w:val="12"/>
            </w:pPr>
            <w:r>
              <w:t>按规定时间组织培训、举办会议</w:t>
            </w:r>
          </w:p>
        </w:tc>
        <w:tc>
          <w:tcPr>
            <w:tcW w:w="2268" w:type="dxa"/>
            <w:vAlign w:val="center"/>
          </w:tcPr>
          <w:p>
            <w:pPr>
              <w:pStyle w:val="12"/>
            </w:pPr>
            <w:r>
              <w:t>2024年12月底前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培训活动、会议接待成本</w:t>
            </w:r>
          </w:p>
        </w:tc>
        <w:tc>
          <w:tcPr>
            <w:tcW w:w="5386" w:type="dxa"/>
            <w:vAlign w:val="center"/>
          </w:tcPr>
          <w:p>
            <w:pPr>
              <w:pStyle w:val="12"/>
            </w:pPr>
            <w:r>
              <w:t>举办培训活动费用、会议接待费用</w:t>
            </w:r>
          </w:p>
        </w:tc>
        <w:tc>
          <w:tcPr>
            <w:tcW w:w="2268" w:type="dxa"/>
            <w:vAlign w:val="center"/>
          </w:tcPr>
          <w:p>
            <w:pPr>
              <w:pStyle w:val="12"/>
            </w:pPr>
            <w:r>
              <w:t>≤100万元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加强区级层面重要会议活动的统筹协调</w:t>
            </w:r>
          </w:p>
        </w:tc>
        <w:tc>
          <w:tcPr>
            <w:tcW w:w="5386" w:type="dxa"/>
            <w:vAlign w:val="center"/>
          </w:tcPr>
          <w:p>
            <w:pPr>
              <w:pStyle w:val="12"/>
            </w:pPr>
            <w:r>
              <w:t>降低会议活动的组织成本</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加强区级层面重要会议活动的统筹协调</w:t>
            </w:r>
          </w:p>
        </w:tc>
        <w:tc>
          <w:tcPr>
            <w:tcW w:w="5386" w:type="dxa"/>
            <w:vAlign w:val="center"/>
          </w:tcPr>
          <w:p>
            <w:pPr>
              <w:pStyle w:val="12"/>
            </w:pPr>
            <w:r>
              <w:t>节约会议活动组织的人员时间、成本</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加强区级层面重要会议活动的统筹协调</w:t>
            </w:r>
          </w:p>
        </w:tc>
        <w:tc>
          <w:tcPr>
            <w:tcW w:w="5386" w:type="dxa"/>
            <w:vAlign w:val="center"/>
          </w:tcPr>
          <w:p>
            <w:pPr>
              <w:pStyle w:val="12"/>
            </w:pPr>
            <w:r>
              <w:t>严格会议活动组织环境要求</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加强区级层面重要会议活动的统筹协调</w:t>
            </w:r>
          </w:p>
        </w:tc>
        <w:tc>
          <w:tcPr>
            <w:tcW w:w="5386" w:type="dxa"/>
            <w:vAlign w:val="center"/>
          </w:tcPr>
          <w:p>
            <w:pPr>
              <w:pStyle w:val="12"/>
            </w:pPr>
            <w:r>
              <w:t>严格持续执行会议活动组织标准</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参会人员满意度</w:t>
            </w:r>
          </w:p>
        </w:tc>
        <w:tc>
          <w:tcPr>
            <w:tcW w:w="5386" w:type="dxa"/>
            <w:vAlign w:val="center"/>
          </w:tcPr>
          <w:p>
            <w:pPr>
              <w:pStyle w:val="12"/>
            </w:pPr>
            <w:r>
              <w:t>参会人员满意度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9、公共设施维修维护及旅游旺季后勤绩效目标表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13031324P00880110782B</w:t>
            </w:r>
          </w:p>
        </w:tc>
        <w:tc>
          <w:tcPr>
            <w:tcW w:w="2835" w:type="dxa"/>
            <w:vAlign w:val="center"/>
          </w:tcPr>
          <w:p>
            <w:pPr>
              <w:pStyle w:val="10"/>
            </w:pPr>
            <w:r>
              <w:t>项目名称</w:t>
            </w:r>
          </w:p>
        </w:tc>
        <w:tc>
          <w:tcPr>
            <w:tcW w:w="6094" w:type="dxa"/>
            <w:gridSpan w:val="3"/>
            <w:vAlign w:val="center"/>
          </w:tcPr>
          <w:p>
            <w:pPr>
              <w:pStyle w:val="12"/>
            </w:pPr>
            <w:r>
              <w:t>公共设施维修维护及旅游旺季后勤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360.00</w:t>
            </w:r>
          </w:p>
        </w:tc>
        <w:tc>
          <w:tcPr>
            <w:tcW w:w="2835" w:type="dxa"/>
            <w:vAlign w:val="center"/>
          </w:tcPr>
          <w:p>
            <w:pPr>
              <w:pStyle w:val="10"/>
            </w:pPr>
            <w:r>
              <w:t>其中：财政    资金</w:t>
            </w:r>
          </w:p>
        </w:tc>
        <w:tc>
          <w:tcPr>
            <w:tcW w:w="2551" w:type="dxa"/>
            <w:vAlign w:val="center"/>
          </w:tcPr>
          <w:p>
            <w:pPr>
              <w:pStyle w:val="12"/>
            </w:pPr>
            <w:r>
              <w:t>360.00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确保各种设施设备运转正常、提高修缮满意率，节约成本支出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1.确保各种设施设备运转正常、提高修缮满意率，节约成本支出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办公用房办公家具维修次数</w:t>
            </w:r>
          </w:p>
        </w:tc>
        <w:tc>
          <w:tcPr>
            <w:tcW w:w="5386" w:type="dxa"/>
            <w:vAlign w:val="center"/>
          </w:tcPr>
          <w:p>
            <w:pPr>
              <w:pStyle w:val="12"/>
            </w:pPr>
            <w:r>
              <w:t>办公用房办公家具及安全保卫设施维修次数</w:t>
            </w:r>
          </w:p>
        </w:tc>
        <w:tc>
          <w:tcPr>
            <w:tcW w:w="2268" w:type="dxa"/>
            <w:vAlign w:val="center"/>
          </w:tcPr>
          <w:p>
            <w:pPr>
              <w:pStyle w:val="12"/>
            </w:pPr>
            <w:r>
              <w:t>≥5次</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办公用房修缮改造完成率</w:t>
            </w:r>
          </w:p>
        </w:tc>
        <w:tc>
          <w:tcPr>
            <w:tcW w:w="5386" w:type="dxa"/>
            <w:vAlign w:val="center"/>
          </w:tcPr>
          <w:p>
            <w:pPr>
              <w:pStyle w:val="12"/>
            </w:pPr>
            <w:r>
              <w:t>办公用房修缮改造完成率</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修缮工作完成及时率</w:t>
            </w:r>
          </w:p>
        </w:tc>
        <w:tc>
          <w:tcPr>
            <w:tcW w:w="5386" w:type="dxa"/>
            <w:vAlign w:val="center"/>
          </w:tcPr>
          <w:p>
            <w:pPr>
              <w:pStyle w:val="12"/>
            </w:pPr>
            <w:r>
              <w:t>修缮工作完成及时率</w:t>
            </w:r>
          </w:p>
        </w:tc>
        <w:tc>
          <w:tcPr>
            <w:tcW w:w="2268" w:type="dxa"/>
            <w:vAlign w:val="center"/>
          </w:tcPr>
          <w:p>
            <w:pPr>
              <w:pStyle w:val="12"/>
            </w:pPr>
            <w:r>
              <w:t>≥80%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维修成本控制数</w:t>
            </w:r>
          </w:p>
        </w:tc>
        <w:tc>
          <w:tcPr>
            <w:tcW w:w="5386" w:type="dxa"/>
            <w:vAlign w:val="center"/>
          </w:tcPr>
          <w:p>
            <w:pPr>
              <w:pStyle w:val="12"/>
            </w:pPr>
            <w:r>
              <w:t>房屋维修预算总控制数</w:t>
            </w:r>
          </w:p>
        </w:tc>
        <w:tc>
          <w:tcPr>
            <w:tcW w:w="2268" w:type="dxa"/>
            <w:vAlign w:val="center"/>
          </w:tcPr>
          <w:p>
            <w:pPr>
              <w:pStyle w:val="12"/>
            </w:pPr>
            <w:r>
              <w:t>≤360万元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优化成本支出</w:t>
            </w:r>
          </w:p>
        </w:tc>
        <w:tc>
          <w:tcPr>
            <w:tcW w:w="5386" w:type="dxa"/>
            <w:vAlign w:val="center"/>
          </w:tcPr>
          <w:p>
            <w:pPr>
              <w:pStyle w:val="12"/>
            </w:pPr>
            <w:r>
              <w:t>提高修缮满意率，节约成本支出</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公用设施维修完成效果</w:t>
            </w:r>
          </w:p>
        </w:tc>
        <w:tc>
          <w:tcPr>
            <w:tcW w:w="5386" w:type="dxa"/>
            <w:vAlign w:val="center"/>
          </w:tcPr>
          <w:p>
            <w:pPr>
              <w:pStyle w:val="12"/>
            </w:pPr>
            <w:r>
              <w:t>确保各种设施、设备运转正常，促进新区旅游发展</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合理改善办公、就餐环境</w:t>
            </w:r>
          </w:p>
        </w:tc>
        <w:tc>
          <w:tcPr>
            <w:tcW w:w="5386" w:type="dxa"/>
            <w:vAlign w:val="center"/>
          </w:tcPr>
          <w:p>
            <w:pPr>
              <w:pStyle w:val="12"/>
            </w:pPr>
            <w:r>
              <w:t>确保办公、就餐环境安全、整洁</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提高修缮满意率，节约成本支出</w:t>
            </w:r>
          </w:p>
        </w:tc>
        <w:tc>
          <w:tcPr>
            <w:tcW w:w="5386" w:type="dxa"/>
            <w:vAlign w:val="center"/>
          </w:tcPr>
          <w:p>
            <w:pPr>
              <w:pStyle w:val="12"/>
            </w:pPr>
            <w:r>
              <w:t>提高修缮满意率，节约成本支出</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10、公共文化活动中心（规划展馆）运行经费绩效目标表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13031324P00880110587T</w:t>
            </w:r>
          </w:p>
        </w:tc>
        <w:tc>
          <w:tcPr>
            <w:tcW w:w="2835" w:type="dxa"/>
            <w:vAlign w:val="center"/>
          </w:tcPr>
          <w:p>
            <w:pPr>
              <w:pStyle w:val="10"/>
            </w:pPr>
            <w:r>
              <w:t>项目名称</w:t>
            </w:r>
          </w:p>
        </w:tc>
        <w:tc>
          <w:tcPr>
            <w:tcW w:w="6094" w:type="dxa"/>
            <w:gridSpan w:val="3"/>
            <w:vAlign w:val="center"/>
          </w:tcPr>
          <w:p>
            <w:pPr>
              <w:pStyle w:val="12"/>
            </w:pPr>
            <w:r>
              <w:t>公共文化活动中心（规划展馆）运行经费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470.00</w:t>
            </w:r>
          </w:p>
        </w:tc>
        <w:tc>
          <w:tcPr>
            <w:tcW w:w="2835" w:type="dxa"/>
            <w:vAlign w:val="center"/>
          </w:tcPr>
          <w:p>
            <w:pPr>
              <w:pStyle w:val="10"/>
            </w:pPr>
            <w:r>
              <w:t>其中：财政    资金</w:t>
            </w:r>
          </w:p>
        </w:tc>
        <w:tc>
          <w:tcPr>
            <w:tcW w:w="2551" w:type="dxa"/>
            <w:vAlign w:val="center"/>
          </w:tcPr>
          <w:p>
            <w:pPr>
              <w:pStyle w:val="12"/>
            </w:pPr>
            <w:r>
              <w:t>470.00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规范管理，合理使用，确保各种设施、设备运转正常，积极改善展馆环境，进一步提升展馆标准，为各项会议、接待提供安全、舒适、周到、细致的工作环境。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1.规范管理，合理使用，确保各种设施、设备运转正常，积极改善展馆环境，进一步提升展馆标准，为各项会议、接待提供安全、舒适、周到、细致的工作环境。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承接工管委会议活动次数</w:t>
            </w:r>
          </w:p>
        </w:tc>
        <w:tc>
          <w:tcPr>
            <w:tcW w:w="5386" w:type="dxa"/>
            <w:vAlign w:val="center"/>
          </w:tcPr>
          <w:p>
            <w:pPr>
              <w:pStyle w:val="12"/>
            </w:pPr>
            <w:r>
              <w:t>承接工管委会议活动次数</w:t>
            </w:r>
          </w:p>
        </w:tc>
        <w:tc>
          <w:tcPr>
            <w:tcW w:w="2268" w:type="dxa"/>
            <w:vAlign w:val="center"/>
          </w:tcPr>
          <w:p>
            <w:pPr>
              <w:pStyle w:val="12"/>
            </w:pPr>
            <w:r>
              <w:t>≥400次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会议活动质量完成率</w:t>
            </w:r>
          </w:p>
        </w:tc>
        <w:tc>
          <w:tcPr>
            <w:tcW w:w="5386" w:type="dxa"/>
            <w:vAlign w:val="center"/>
          </w:tcPr>
          <w:p>
            <w:pPr>
              <w:pStyle w:val="12"/>
            </w:pPr>
            <w:r>
              <w:t>年内各项会议活动工作按要求全部完成</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损坏设备及时修复率</w:t>
            </w:r>
          </w:p>
        </w:tc>
        <w:tc>
          <w:tcPr>
            <w:tcW w:w="5386" w:type="dxa"/>
            <w:vAlign w:val="center"/>
          </w:tcPr>
          <w:p>
            <w:pPr>
              <w:pStyle w:val="12"/>
            </w:pPr>
            <w:r>
              <w:t>损坏设备及时修复率</w:t>
            </w:r>
          </w:p>
        </w:tc>
        <w:tc>
          <w:tcPr>
            <w:tcW w:w="2268" w:type="dxa"/>
            <w:vAlign w:val="center"/>
          </w:tcPr>
          <w:p>
            <w:pPr>
              <w:pStyle w:val="12"/>
            </w:pPr>
            <w:r>
              <w:t>2024年12月底前完成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运行成本</w:t>
            </w:r>
          </w:p>
        </w:tc>
        <w:tc>
          <w:tcPr>
            <w:tcW w:w="5386" w:type="dxa"/>
            <w:vAlign w:val="center"/>
          </w:tcPr>
          <w:p>
            <w:pPr>
              <w:pStyle w:val="12"/>
            </w:pPr>
            <w:r>
              <w:t>人员工资、设备设施维护、电费等支出</w:t>
            </w:r>
          </w:p>
        </w:tc>
        <w:tc>
          <w:tcPr>
            <w:tcW w:w="2268" w:type="dxa"/>
            <w:vAlign w:val="center"/>
          </w:tcPr>
          <w:p>
            <w:pPr>
              <w:pStyle w:val="12"/>
            </w:pPr>
            <w:r>
              <w:t>≤470万元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比较分析</w:t>
            </w:r>
          </w:p>
        </w:tc>
        <w:tc>
          <w:tcPr>
            <w:tcW w:w="5386" w:type="dxa"/>
            <w:vAlign w:val="center"/>
          </w:tcPr>
          <w:p>
            <w:pPr>
              <w:pStyle w:val="12"/>
            </w:pPr>
            <w:r>
              <w:t>上年同期、历史最高水平</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树立新形象打造新品牌</w:t>
            </w:r>
          </w:p>
        </w:tc>
        <w:tc>
          <w:tcPr>
            <w:tcW w:w="5386" w:type="dxa"/>
            <w:vAlign w:val="center"/>
          </w:tcPr>
          <w:p>
            <w:pPr>
              <w:pStyle w:val="12"/>
            </w:pPr>
            <w:r>
              <w:t>以优质、安全的服务树立新形象打造新品牌</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评估经济效益对环境冲击</w:t>
            </w:r>
          </w:p>
        </w:tc>
        <w:tc>
          <w:tcPr>
            <w:tcW w:w="5386" w:type="dxa"/>
            <w:vAlign w:val="center"/>
          </w:tcPr>
          <w:p>
            <w:pPr>
              <w:pStyle w:val="12"/>
            </w:pPr>
            <w:r>
              <w:t>根据现有环境与财务咨询，选择合适指标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相关产出带来影响可持续期限</w:t>
            </w:r>
          </w:p>
        </w:tc>
        <w:tc>
          <w:tcPr>
            <w:tcW w:w="5386" w:type="dxa"/>
            <w:vAlign w:val="center"/>
          </w:tcPr>
          <w:p>
            <w:pPr>
              <w:pStyle w:val="12"/>
            </w:pPr>
            <w:r>
              <w:t>规划展馆项目持续发挥作用的期限</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接待人员</w:t>
            </w:r>
          </w:p>
        </w:tc>
        <w:tc>
          <w:tcPr>
            <w:tcW w:w="5386" w:type="dxa"/>
            <w:vAlign w:val="center"/>
          </w:tcPr>
          <w:p>
            <w:pPr>
              <w:pStyle w:val="12"/>
            </w:pPr>
            <w:r>
              <w:t>规划展馆接待服务满意度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11、机关运行保障经费绩效目标表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13031324P008801105840</w:t>
            </w:r>
          </w:p>
        </w:tc>
        <w:tc>
          <w:tcPr>
            <w:tcW w:w="2835" w:type="dxa"/>
            <w:vAlign w:val="center"/>
          </w:tcPr>
          <w:p>
            <w:pPr>
              <w:pStyle w:val="10"/>
            </w:pPr>
            <w:r>
              <w:t>项目名称</w:t>
            </w:r>
          </w:p>
        </w:tc>
        <w:tc>
          <w:tcPr>
            <w:tcW w:w="6094" w:type="dxa"/>
            <w:gridSpan w:val="3"/>
            <w:vAlign w:val="center"/>
          </w:tcPr>
          <w:p>
            <w:pPr>
              <w:pStyle w:val="12"/>
            </w:pPr>
            <w:r>
              <w:t>机关运行保障经费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为广大干部职工提供安全、舒适、周到、细致的工作环境。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1.积极改善职工就餐环境，进一步提升食堂就餐标准；提高管理、服务水平，为广大干部职工提供安全、舒适、周到、细致的工作环境。</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保障用餐人数</w:t>
            </w:r>
          </w:p>
        </w:tc>
        <w:tc>
          <w:tcPr>
            <w:tcW w:w="5386" w:type="dxa"/>
            <w:vAlign w:val="center"/>
          </w:tcPr>
          <w:p>
            <w:pPr>
              <w:pStyle w:val="12"/>
            </w:pPr>
            <w:r>
              <w:t>食堂用餐人数</w:t>
            </w:r>
          </w:p>
        </w:tc>
        <w:tc>
          <w:tcPr>
            <w:tcW w:w="2268" w:type="dxa"/>
            <w:vAlign w:val="center"/>
          </w:tcPr>
          <w:p>
            <w:pPr>
              <w:pStyle w:val="12"/>
            </w:pPr>
            <w:r>
              <w:t>≥1200人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食品安全性</w:t>
            </w:r>
          </w:p>
        </w:tc>
        <w:tc>
          <w:tcPr>
            <w:tcW w:w="5386" w:type="dxa"/>
            <w:vAlign w:val="center"/>
          </w:tcPr>
          <w:p>
            <w:pPr>
              <w:pStyle w:val="12"/>
            </w:pPr>
            <w:r>
              <w:t>保证食品安全</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设备维修及时率</w:t>
            </w:r>
          </w:p>
        </w:tc>
        <w:tc>
          <w:tcPr>
            <w:tcW w:w="5386" w:type="dxa"/>
            <w:vAlign w:val="center"/>
          </w:tcPr>
          <w:p>
            <w:pPr>
              <w:pStyle w:val="12"/>
            </w:pPr>
            <w:r>
              <w:t>及时完成得满分，未及时完成酌情扣分</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食堂运行成本控制</w:t>
            </w:r>
          </w:p>
        </w:tc>
        <w:tc>
          <w:tcPr>
            <w:tcW w:w="5386" w:type="dxa"/>
            <w:vAlign w:val="center"/>
          </w:tcPr>
          <w:p>
            <w:pPr>
              <w:pStyle w:val="12"/>
            </w:pPr>
            <w:r>
              <w:t>食堂运行成本控制</w:t>
            </w:r>
          </w:p>
        </w:tc>
        <w:tc>
          <w:tcPr>
            <w:tcW w:w="2268" w:type="dxa"/>
            <w:vAlign w:val="center"/>
          </w:tcPr>
          <w:p>
            <w:pPr>
              <w:pStyle w:val="12"/>
            </w:pPr>
            <w:r>
              <w:t>≤600万元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降低成本，高效运行</w:t>
            </w:r>
          </w:p>
        </w:tc>
        <w:tc>
          <w:tcPr>
            <w:tcW w:w="5386" w:type="dxa"/>
            <w:vAlign w:val="center"/>
          </w:tcPr>
          <w:p>
            <w:pPr>
              <w:pStyle w:val="12"/>
            </w:pPr>
            <w:r>
              <w:t>低成本高质量运行</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提供安全的就餐环境</w:t>
            </w:r>
          </w:p>
        </w:tc>
        <w:tc>
          <w:tcPr>
            <w:tcW w:w="5386" w:type="dxa"/>
            <w:vAlign w:val="center"/>
          </w:tcPr>
          <w:p>
            <w:pPr>
              <w:pStyle w:val="12"/>
            </w:pPr>
            <w:r>
              <w:t>提供安全的就餐环境</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改善就餐环境，提高就餐标准</w:t>
            </w:r>
          </w:p>
        </w:tc>
        <w:tc>
          <w:tcPr>
            <w:tcW w:w="5386" w:type="dxa"/>
            <w:vAlign w:val="center"/>
          </w:tcPr>
          <w:p>
            <w:pPr>
              <w:pStyle w:val="12"/>
            </w:pPr>
            <w:r>
              <w:t>改善就餐环境，提高就餐标准</w:t>
            </w:r>
          </w:p>
        </w:tc>
        <w:tc>
          <w:tcPr>
            <w:tcW w:w="2268" w:type="dxa"/>
            <w:vAlign w:val="center"/>
          </w:tcPr>
          <w:p>
            <w:pPr>
              <w:pStyle w:val="12"/>
            </w:pPr>
            <w:r>
              <w:t>≥80%</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提升机关食堂管理服务的效能和水平</w:t>
            </w:r>
          </w:p>
        </w:tc>
        <w:tc>
          <w:tcPr>
            <w:tcW w:w="5386" w:type="dxa"/>
            <w:vAlign w:val="center"/>
          </w:tcPr>
          <w:p>
            <w:pPr>
              <w:pStyle w:val="12"/>
            </w:pPr>
            <w:r>
              <w:t>提升机关食堂管理服务的效能和水平</w:t>
            </w:r>
          </w:p>
        </w:tc>
        <w:tc>
          <w:tcPr>
            <w:tcW w:w="2268" w:type="dxa"/>
            <w:vAlign w:val="center"/>
          </w:tcPr>
          <w:p>
            <w:pPr>
              <w:pStyle w:val="12"/>
            </w:pPr>
            <w:r>
              <w:t>≥80%</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食堂职工就餐满意度</w:t>
            </w:r>
          </w:p>
        </w:tc>
        <w:tc>
          <w:tcPr>
            <w:tcW w:w="5386" w:type="dxa"/>
            <w:vAlign w:val="center"/>
          </w:tcPr>
          <w:p>
            <w:pPr>
              <w:pStyle w:val="12"/>
            </w:pPr>
            <w:r>
              <w:t>食堂职工就餐满意度</w:t>
            </w:r>
          </w:p>
        </w:tc>
        <w:tc>
          <w:tcPr>
            <w:tcW w:w="2268" w:type="dxa"/>
            <w:vAlign w:val="center"/>
          </w:tcPr>
          <w:p>
            <w:pPr>
              <w:pStyle w:val="12"/>
            </w:pPr>
            <w:r>
              <w:t>≥80%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12、人脸识别系统运行维护费绩效目标表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13031324P00880110595F</w:t>
            </w:r>
          </w:p>
        </w:tc>
        <w:tc>
          <w:tcPr>
            <w:tcW w:w="2835" w:type="dxa"/>
            <w:vAlign w:val="center"/>
          </w:tcPr>
          <w:p>
            <w:pPr>
              <w:pStyle w:val="10"/>
            </w:pPr>
            <w:r>
              <w:t>项目名称</w:t>
            </w:r>
          </w:p>
        </w:tc>
        <w:tc>
          <w:tcPr>
            <w:tcW w:w="6094" w:type="dxa"/>
            <w:gridSpan w:val="3"/>
            <w:vAlign w:val="center"/>
          </w:tcPr>
          <w:p>
            <w:pPr>
              <w:pStyle w:val="12"/>
            </w:pPr>
            <w:r>
              <w:t>人脸识别系统运行维护费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13.70</w:t>
            </w:r>
          </w:p>
        </w:tc>
        <w:tc>
          <w:tcPr>
            <w:tcW w:w="2835" w:type="dxa"/>
            <w:vAlign w:val="center"/>
          </w:tcPr>
          <w:p>
            <w:pPr>
              <w:pStyle w:val="10"/>
            </w:pPr>
            <w:r>
              <w:t>其中：财政    资金</w:t>
            </w:r>
          </w:p>
        </w:tc>
        <w:tc>
          <w:tcPr>
            <w:tcW w:w="2551" w:type="dxa"/>
            <w:vAlign w:val="center"/>
          </w:tcPr>
          <w:p>
            <w:pPr>
              <w:pStyle w:val="12"/>
            </w:pPr>
            <w:r>
              <w:t>13.70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将人脸识别测温系统纳入全区疫情防控工作统筹考虑，确保成分发挥人脸识别测温系统在疫情防控中的哨点预警作用，实现体温异常人员的及时发现、及时预警和及时处置。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1.将人脸识别测温系统纳入全区疫情防控工作统筹考虑，确保成分发挥人脸识别测温系统在疫情防控中的哨点预警作用，实现体温异常人员的及时发现、及时预警和及时处置。</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摸底调查完成率</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按指定区域完成</w:t>
            </w:r>
          </w:p>
        </w:tc>
        <w:tc>
          <w:tcPr>
            <w:tcW w:w="5386" w:type="dxa"/>
            <w:vAlign w:val="center"/>
          </w:tcPr>
          <w:p>
            <w:pPr>
              <w:pStyle w:val="12"/>
            </w:pPr>
            <w:r>
              <w:t>按指定区域完成</w:t>
            </w:r>
          </w:p>
        </w:tc>
        <w:tc>
          <w:tcPr>
            <w:tcW w:w="2268" w:type="dxa"/>
            <w:vAlign w:val="center"/>
          </w:tcPr>
          <w:p>
            <w:pPr>
              <w:pStyle w:val="12"/>
            </w:pPr>
            <w:r>
              <w:t>≥85%</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按指定日期完成</w:t>
            </w:r>
          </w:p>
        </w:tc>
        <w:tc>
          <w:tcPr>
            <w:tcW w:w="5386" w:type="dxa"/>
            <w:vAlign w:val="center"/>
          </w:tcPr>
          <w:p>
            <w:pPr>
              <w:pStyle w:val="12"/>
            </w:pPr>
            <w:r>
              <w:t>按指定日期完成</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控制成本数</w:t>
            </w:r>
          </w:p>
        </w:tc>
        <w:tc>
          <w:tcPr>
            <w:tcW w:w="5386" w:type="dxa"/>
            <w:vAlign w:val="center"/>
          </w:tcPr>
          <w:p>
            <w:pPr>
              <w:pStyle w:val="12"/>
            </w:pPr>
            <w:r>
              <w:t>控制成本数</w:t>
            </w:r>
          </w:p>
        </w:tc>
        <w:tc>
          <w:tcPr>
            <w:tcW w:w="2268" w:type="dxa"/>
            <w:vAlign w:val="center"/>
          </w:tcPr>
          <w:p>
            <w:pPr>
              <w:pStyle w:val="12"/>
            </w:pPr>
            <w:r>
              <w:t>≥85%</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优化成本支出</w:t>
            </w:r>
          </w:p>
        </w:tc>
        <w:tc>
          <w:tcPr>
            <w:tcW w:w="5386" w:type="dxa"/>
            <w:vAlign w:val="center"/>
          </w:tcPr>
          <w:p>
            <w:pPr>
              <w:pStyle w:val="12"/>
            </w:pPr>
            <w:r>
              <w:t>优化成本支出</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≥85%</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确保在疫情防控中哨点预警作用</w:t>
            </w:r>
          </w:p>
        </w:tc>
        <w:tc>
          <w:tcPr>
            <w:tcW w:w="5386" w:type="dxa"/>
            <w:vAlign w:val="center"/>
          </w:tcPr>
          <w:p>
            <w:pPr>
              <w:pStyle w:val="12"/>
            </w:pPr>
            <w:r>
              <w:t>确保在疫情防控中哨点预警作用</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更好发挥预警作用</w:t>
            </w:r>
          </w:p>
        </w:tc>
        <w:tc>
          <w:tcPr>
            <w:tcW w:w="5386" w:type="dxa"/>
            <w:vAlign w:val="center"/>
          </w:tcPr>
          <w:p>
            <w:pPr>
              <w:pStyle w:val="12"/>
            </w:pPr>
            <w:r>
              <w:t>更好发挥预警作用</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≥85%</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13、外联活动经费绩效目标表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13031324P00880110585K</w:t>
            </w:r>
          </w:p>
        </w:tc>
        <w:tc>
          <w:tcPr>
            <w:tcW w:w="2835" w:type="dxa"/>
            <w:vAlign w:val="center"/>
          </w:tcPr>
          <w:p>
            <w:pPr>
              <w:pStyle w:val="10"/>
            </w:pPr>
            <w:r>
              <w:t>项目名称</w:t>
            </w:r>
          </w:p>
        </w:tc>
        <w:tc>
          <w:tcPr>
            <w:tcW w:w="6094" w:type="dxa"/>
            <w:gridSpan w:val="3"/>
            <w:vAlign w:val="center"/>
          </w:tcPr>
          <w:p>
            <w:pPr>
              <w:pStyle w:val="12"/>
            </w:pPr>
            <w:r>
              <w:t>外联活动经费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加强区级层面重要会议活动的统筹协调，组织好全区性重大会议活动，从严从细谋划安排工管委主要领导参加的重要会议活动。保障国家、省、市办公厅来新区现场调研、检查工作、会议安排和活动组织的食宿</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1.加强区级层面重要会议活动的统筹协调，组织好全区性重大会议活动，从严从细谋划安排工管委主要领导参加的重要会议活动。保障国家、省、市办公厅来新区现场调研、检查工作、会议安排和活动组织的食宿</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会议次数</w:t>
            </w:r>
          </w:p>
        </w:tc>
        <w:tc>
          <w:tcPr>
            <w:tcW w:w="5386" w:type="dxa"/>
            <w:vAlign w:val="center"/>
          </w:tcPr>
          <w:p>
            <w:pPr>
              <w:pStyle w:val="12"/>
            </w:pPr>
            <w:r>
              <w:t>会议次数</w:t>
            </w:r>
          </w:p>
        </w:tc>
        <w:tc>
          <w:tcPr>
            <w:tcW w:w="2268" w:type="dxa"/>
            <w:vAlign w:val="center"/>
          </w:tcPr>
          <w:p>
            <w:pPr>
              <w:pStyle w:val="12"/>
            </w:pPr>
            <w:r>
              <w:t>≥100次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培训、会议活动质量完成率</w:t>
            </w:r>
          </w:p>
        </w:tc>
        <w:tc>
          <w:tcPr>
            <w:tcW w:w="5386" w:type="dxa"/>
            <w:vAlign w:val="center"/>
          </w:tcPr>
          <w:p>
            <w:pPr>
              <w:pStyle w:val="12"/>
            </w:pPr>
            <w:r>
              <w:t>会议活动按要求全部完成</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完成接待来访、出访的时间</w:t>
            </w:r>
          </w:p>
        </w:tc>
        <w:tc>
          <w:tcPr>
            <w:tcW w:w="5386" w:type="dxa"/>
            <w:vAlign w:val="center"/>
          </w:tcPr>
          <w:p>
            <w:pPr>
              <w:pStyle w:val="12"/>
            </w:pPr>
            <w:r>
              <w:t>完成接待来访、出访及组织相关交流活动的时间</w:t>
            </w:r>
          </w:p>
        </w:tc>
        <w:tc>
          <w:tcPr>
            <w:tcW w:w="2268" w:type="dxa"/>
            <w:vAlign w:val="center"/>
          </w:tcPr>
          <w:p>
            <w:pPr>
              <w:pStyle w:val="12"/>
            </w:pPr>
            <w:r>
              <w:t>按时完成</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出访、接待来访等活动支出</w:t>
            </w:r>
          </w:p>
        </w:tc>
        <w:tc>
          <w:tcPr>
            <w:tcW w:w="5386" w:type="dxa"/>
            <w:vAlign w:val="center"/>
          </w:tcPr>
          <w:p>
            <w:pPr>
              <w:pStyle w:val="12"/>
            </w:pPr>
            <w:r>
              <w:t>出访、接待来访等交流活动开支标准</w:t>
            </w:r>
          </w:p>
        </w:tc>
        <w:tc>
          <w:tcPr>
            <w:tcW w:w="2268" w:type="dxa"/>
            <w:vAlign w:val="center"/>
          </w:tcPr>
          <w:p>
            <w:pPr>
              <w:pStyle w:val="12"/>
            </w:pPr>
            <w:r>
              <w:t>≤150万元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加强接待活动统筹协调</w:t>
            </w:r>
          </w:p>
        </w:tc>
        <w:tc>
          <w:tcPr>
            <w:tcW w:w="5386" w:type="dxa"/>
            <w:vAlign w:val="center"/>
          </w:tcPr>
          <w:p>
            <w:pPr>
              <w:pStyle w:val="12"/>
            </w:pPr>
            <w:r>
              <w:t>降低接待活动的组织成本</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加强接待活动统筹协调</w:t>
            </w:r>
          </w:p>
        </w:tc>
        <w:tc>
          <w:tcPr>
            <w:tcW w:w="5386" w:type="dxa"/>
            <w:vAlign w:val="center"/>
          </w:tcPr>
          <w:p>
            <w:pPr>
              <w:pStyle w:val="12"/>
            </w:pPr>
            <w:r>
              <w:t>节约接待活动组织的人员时间、成本</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加强会议的组织协调</w:t>
            </w:r>
          </w:p>
        </w:tc>
        <w:tc>
          <w:tcPr>
            <w:tcW w:w="5386" w:type="dxa"/>
            <w:vAlign w:val="center"/>
          </w:tcPr>
          <w:p>
            <w:pPr>
              <w:pStyle w:val="12"/>
            </w:pPr>
            <w:r>
              <w:t>严格会议组织环境要求</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加强会议的组织协调</w:t>
            </w:r>
          </w:p>
        </w:tc>
        <w:tc>
          <w:tcPr>
            <w:tcW w:w="5386" w:type="dxa"/>
            <w:vAlign w:val="center"/>
          </w:tcPr>
          <w:p>
            <w:pPr>
              <w:pStyle w:val="12"/>
            </w:pPr>
            <w:r>
              <w:t>严格持续执行会议组织标准</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参会人员满意度</w:t>
            </w:r>
          </w:p>
        </w:tc>
        <w:tc>
          <w:tcPr>
            <w:tcW w:w="5386" w:type="dxa"/>
            <w:vAlign w:val="center"/>
          </w:tcPr>
          <w:p>
            <w:pPr>
              <w:pStyle w:val="12"/>
            </w:pPr>
            <w:r>
              <w:t>参会人员满意度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14、物业管理服务费绩效目标表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13031324P008801108135</w:t>
            </w:r>
          </w:p>
        </w:tc>
        <w:tc>
          <w:tcPr>
            <w:tcW w:w="2835" w:type="dxa"/>
            <w:vAlign w:val="center"/>
          </w:tcPr>
          <w:p>
            <w:pPr>
              <w:pStyle w:val="10"/>
            </w:pPr>
            <w:r>
              <w:t>项目名称</w:t>
            </w:r>
          </w:p>
        </w:tc>
        <w:tc>
          <w:tcPr>
            <w:tcW w:w="6094" w:type="dxa"/>
            <w:gridSpan w:val="3"/>
            <w:vAlign w:val="center"/>
          </w:tcPr>
          <w:p>
            <w:pPr>
              <w:pStyle w:val="12"/>
            </w:pPr>
            <w:r>
              <w:t>物业管理服务费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278.00</w:t>
            </w:r>
          </w:p>
        </w:tc>
        <w:tc>
          <w:tcPr>
            <w:tcW w:w="2835" w:type="dxa"/>
            <w:vAlign w:val="center"/>
          </w:tcPr>
          <w:p>
            <w:pPr>
              <w:pStyle w:val="10"/>
            </w:pPr>
            <w:r>
              <w:t>其中：财政    资金</w:t>
            </w:r>
          </w:p>
        </w:tc>
        <w:tc>
          <w:tcPr>
            <w:tcW w:w="2551" w:type="dxa"/>
            <w:vAlign w:val="center"/>
          </w:tcPr>
          <w:p>
            <w:pPr>
              <w:pStyle w:val="12"/>
            </w:pPr>
            <w:r>
              <w:t>278.00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遵守安全、规范、高效的工作原则，严格遵照保安物业相关标准和规定履行职责，保障单位人员和财产安全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1.遵守安全、规范、高效的工作原则，严格遵照保安物业相关标准和规定履行职责，保障单位人员和财产安全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服务场所数量</w:t>
            </w:r>
          </w:p>
        </w:tc>
        <w:tc>
          <w:tcPr>
            <w:tcW w:w="5386" w:type="dxa"/>
            <w:vAlign w:val="center"/>
          </w:tcPr>
          <w:p>
            <w:pPr>
              <w:pStyle w:val="12"/>
            </w:pPr>
            <w:r>
              <w:t>新区机关14处办公场所</w:t>
            </w:r>
          </w:p>
        </w:tc>
        <w:tc>
          <w:tcPr>
            <w:tcW w:w="2268" w:type="dxa"/>
            <w:vAlign w:val="center"/>
          </w:tcPr>
          <w:p>
            <w:pPr>
              <w:pStyle w:val="12"/>
            </w:pPr>
            <w:r>
              <w:t>≥14个</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服从工作安排，完成各类任务</w:t>
            </w:r>
          </w:p>
        </w:tc>
        <w:tc>
          <w:tcPr>
            <w:tcW w:w="5386" w:type="dxa"/>
            <w:vAlign w:val="center"/>
          </w:tcPr>
          <w:p>
            <w:pPr>
              <w:pStyle w:val="12"/>
            </w:pPr>
            <w:r>
              <w:t>服从工作安排，完成各类任务</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服务工作完成及时率</w:t>
            </w:r>
          </w:p>
        </w:tc>
        <w:tc>
          <w:tcPr>
            <w:tcW w:w="5386" w:type="dxa"/>
            <w:vAlign w:val="center"/>
          </w:tcPr>
          <w:p>
            <w:pPr>
              <w:pStyle w:val="12"/>
            </w:pPr>
            <w:r>
              <w:t>服务工作完成及时率</w:t>
            </w:r>
          </w:p>
        </w:tc>
        <w:tc>
          <w:tcPr>
            <w:tcW w:w="2268" w:type="dxa"/>
            <w:vAlign w:val="center"/>
          </w:tcPr>
          <w:p>
            <w:pPr>
              <w:pStyle w:val="12"/>
            </w:pPr>
            <w:r>
              <w:t>≥85%</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服务成本控制数</w:t>
            </w:r>
          </w:p>
        </w:tc>
        <w:tc>
          <w:tcPr>
            <w:tcW w:w="5386" w:type="dxa"/>
            <w:vAlign w:val="center"/>
          </w:tcPr>
          <w:p>
            <w:pPr>
              <w:pStyle w:val="12"/>
            </w:pPr>
            <w:r>
              <w:t>服务成本总控制数</w:t>
            </w:r>
          </w:p>
        </w:tc>
        <w:tc>
          <w:tcPr>
            <w:tcW w:w="2268" w:type="dxa"/>
            <w:vAlign w:val="center"/>
          </w:tcPr>
          <w:p>
            <w:pPr>
              <w:pStyle w:val="12"/>
            </w:pPr>
            <w:r>
              <w:t>≤278万元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优化服务成本支出</w:t>
            </w:r>
          </w:p>
        </w:tc>
        <w:tc>
          <w:tcPr>
            <w:tcW w:w="5386" w:type="dxa"/>
            <w:vAlign w:val="center"/>
          </w:tcPr>
          <w:p>
            <w:pPr>
              <w:pStyle w:val="12"/>
            </w:pPr>
            <w:r>
              <w:t>提高服务满意率，节约成本支出</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创造舒适安全的工作环境</w:t>
            </w:r>
          </w:p>
        </w:tc>
        <w:tc>
          <w:tcPr>
            <w:tcW w:w="5386" w:type="dxa"/>
            <w:vAlign w:val="center"/>
          </w:tcPr>
          <w:p>
            <w:pPr>
              <w:pStyle w:val="12"/>
            </w:pPr>
            <w:r>
              <w:t>确保机关正常运转</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合理改善办公环境</w:t>
            </w:r>
          </w:p>
        </w:tc>
        <w:tc>
          <w:tcPr>
            <w:tcW w:w="5386" w:type="dxa"/>
            <w:vAlign w:val="center"/>
          </w:tcPr>
          <w:p>
            <w:pPr>
              <w:pStyle w:val="12"/>
            </w:pPr>
            <w:r>
              <w:t>确保办公环境安全、整洁</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提高服务满意率，节约成本</w:t>
            </w:r>
          </w:p>
        </w:tc>
        <w:tc>
          <w:tcPr>
            <w:tcW w:w="5386" w:type="dxa"/>
            <w:vAlign w:val="center"/>
          </w:tcPr>
          <w:p>
            <w:pPr>
              <w:pStyle w:val="12"/>
            </w:pPr>
            <w:r>
              <w:t>提高服务满意率，节约成本</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15、政府建设工程项目审计费绩效目标表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13031324P00880110736E</w:t>
            </w:r>
          </w:p>
        </w:tc>
        <w:tc>
          <w:tcPr>
            <w:tcW w:w="2835" w:type="dxa"/>
            <w:vAlign w:val="center"/>
          </w:tcPr>
          <w:p>
            <w:pPr>
              <w:pStyle w:val="10"/>
            </w:pPr>
            <w:r>
              <w:t>项目名称</w:t>
            </w:r>
          </w:p>
        </w:tc>
        <w:tc>
          <w:tcPr>
            <w:tcW w:w="6094" w:type="dxa"/>
            <w:gridSpan w:val="3"/>
            <w:vAlign w:val="center"/>
          </w:tcPr>
          <w:p>
            <w:pPr>
              <w:pStyle w:val="12"/>
            </w:pPr>
            <w:r>
              <w:t>政府建设工程项目审计费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聘请专家对各部门单位政府投资建设项目结算评审进行监督，本年度完成项目评审。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1.聘请专家对各部门单位政府投资建设项目结算评审进行监督，本年度完成项目评审。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完成重大项目评审数量</w:t>
            </w:r>
          </w:p>
        </w:tc>
        <w:tc>
          <w:tcPr>
            <w:tcW w:w="5386" w:type="dxa"/>
            <w:vAlign w:val="center"/>
          </w:tcPr>
          <w:p>
            <w:pPr>
              <w:pStyle w:val="12"/>
            </w:pPr>
            <w:r>
              <w:t>当年审计监督任务数量</w:t>
            </w:r>
          </w:p>
        </w:tc>
        <w:tc>
          <w:tcPr>
            <w:tcW w:w="2268" w:type="dxa"/>
            <w:vAlign w:val="center"/>
          </w:tcPr>
          <w:p>
            <w:pPr>
              <w:pStyle w:val="12"/>
            </w:pPr>
            <w:r>
              <w:t>≥5项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评审监督项目抽查复核审减率</w:t>
            </w:r>
          </w:p>
        </w:tc>
        <w:tc>
          <w:tcPr>
            <w:tcW w:w="5386" w:type="dxa"/>
            <w:vAlign w:val="center"/>
          </w:tcPr>
          <w:p>
            <w:pPr>
              <w:pStyle w:val="12"/>
            </w:pPr>
            <w:r>
              <w:t>委托中介机构对已经评审项目抽查复合审减率</w:t>
            </w:r>
          </w:p>
        </w:tc>
        <w:tc>
          <w:tcPr>
            <w:tcW w:w="2268" w:type="dxa"/>
            <w:vAlign w:val="center"/>
          </w:tcPr>
          <w:p>
            <w:pPr>
              <w:pStyle w:val="12"/>
            </w:pPr>
            <w:r>
              <w:t>＜3%</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评审费用</w:t>
            </w:r>
          </w:p>
        </w:tc>
        <w:tc>
          <w:tcPr>
            <w:tcW w:w="5386" w:type="dxa"/>
            <w:vAlign w:val="center"/>
          </w:tcPr>
          <w:p>
            <w:pPr>
              <w:pStyle w:val="12"/>
            </w:pPr>
            <w:r>
              <w:t>对于评审项目委托社会中介机构价格标准为不低于评审项目金额的千分之一。</w:t>
            </w:r>
          </w:p>
        </w:tc>
        <w:tc>
          <w:tcPr>
            <w:tcW w:w="2268" w:type="dxa"/>
            <w:vAlign w:val="center"/>
          </w:tcPr>
          <w:p>
            <w:pPr>
              <w:pStyle w:val="12"/>
            </w:pPr>
            <w:r>
              <w:t>≤50万元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评审监督建设项目资金使用效果</w:t>
            </w:r>
          </w:p>
        </w:tc>
        <w:tc>
          <w:tcPr>
            <w:tcW w:w="5386" w:type="dxa"/>
            <w:vAlign w:val="center"/>
          </w:tcPr>
          <w:p>
            <w:pPr>
              <w:pStyle w:val="12"/>
            </w:pPr>
            <w:r>
              <w:t>通过财政投资项目审计，达到节约财政资金的效果。</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社会效益增加值</w:t>
            </w:r>
          </w:p>
        </w:tc>
        <w:tc>
          <w:tcPr>
            <w:tcW w:w="5386" w:type="dxa"/>
            <w:vAlign w:val="center"/>
          </w:tcPr>
          <w:p>
            <w:pPr>
              <w:pStyle w:val="12"/>
            </w:pPr>
            <w:r>
              <w:t>通过项目开展对社会效益增加值</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社会影响力</w:t>
            </w:r>
          </w:p>
        </w:tc>
        <w:tc>
          <w:tcPr>
            <w:tcW w:w="5386" w:type="dxa"/>
            <w:vAlign w:val="center"/>
          </w:tcPr>
          <w:p>
            <w:pPr>
              <w:pStyle w:val="12"/>
            </w:pPr>
            <w:r>
              <w:t>维护党纪国家法规，持续推动廉风建设和腐败工作向纵向发展，有效遏制腐败现象</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项目单位等对审计监督情况整体满意度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16、综合指挥中心建设资金绩效目标表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13031324P00880110689B</w:t>
            </w:r>
          </w:p>
        </w:tc>
        <w:tc>
          <w:tcPr>
            <w:tcW w:w="2835" w:type="dxa"/>
            <w:vAlign w:val="center"/>
          </w:tcPr>
          <w:p>
            <w:pPr>
              <w:pStyle w:val="10"/>
            </w:pPr>
            <w:r>
              <w:t>项目名称</w:t>
            </w:r>
          </w:p>
        </w:tc>
        <w:tc>
          <w:tcPr>
            <w:tcW w:w="6094" w:type="dxa"/>
            <w:gridSpan w:val="3"/>
            <w:vAlign w:val="center"/>
          </w:tcPr>
          <w:p>
            <w:pPr>
              <w:pStyle w:val="12"/>
            </w:pPr>
            <w:r>
              <w:t>综合指挥中心建设资金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135.00</w:t>
            </w:r>
          </w:p>
        </w:tc>
        <w:tc>
          <w:tcPr>
            <w:tcW w:w="2835" w:type="dxa"/>
            <w:vAlign w:val="center"/>
          </w:tcPr>
          <w:p>
            <w:pPr>
              <w:pStyle w:val="10"/>
            </w:pPr>
            <w:r>
              <w:t>其中：财政    资金</w:t>
            </w:r>
          </w:p>
        </w:tc>
        <w:tc>
          <w:tcPr>
            <w:tcW w:w="2551" w:type="dxa"/>
            <w:vAlign w:val="center"/>
          </w:tcPr>
          <w:p>
            <w:pPr>
              <w:pStyle w:val="12"/>
            </w:pPr>
            <w:r>
              <w:t>135.00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工管委值班工作，及时报告重要情况，传达和督促落实工管委领导指示，协助工管委领导做好需由工管委组织处理的突发事件应急处置工作。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1.工管委值班工作，及时报告重要情况，传达和督促落实工管委领导指示，协助工管委领导做好需由工管委组织处理的突发事件应急处置工作。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保障重点视频会议专线数量</w:t>
            </w:r>
          </w:p>
        </w:tc>
        <w:tc>
          <w:tcPr>
            <w:tcW w:w="5386" w:type="dxa"/>
            <w:vAlign w:val="center"/>
          </w:tcPr>
          <w:p>
            <w:pPr>
              <w:pStyle w:val="12"/>
            </w:pPr>
            <w:r>
              <w:t>保障重点视频会议专线数量</w:t>
            </w:r>
          </w:p>
        </w:tc>
        <w:tc>
          <w:tcPr>
            <w:tcW w:w="2268" w:type="dxa"/>
            <w:vAlign w:val="center"/>
          </w:tcPr>
          <w:p>
            <w:pPr>
              <w:pStyle w:val="12"/>
            </w:pPr>
            <w:r>
              <w:t>≥3条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信号断点情况</w:t>
            </w:r>
          </w:p>
        </w:tc>
        <w:tc>
          <w:tcPr>
            <w:tcW w:w="5386" w:type="dxa"/>
            <w:vAlign w:val="center"/>
          </w:tcPr>
          <w:p>
            <w:pPr>
              <w:pStyle w:val="12"/>
            </w:pPr>
            <w:r>
              <w:t>信号断点情况</w:t>
            </w:r>
          </w:p>
        </w:tc>
        <w:tc>
          <w:tcPr>
            <w:tcW w:w="2268" w:type="dxa"/>
            <w:vAlign w:val="center"/>
          </w:tcPr>
          <w:p>
            <w:pPr>
              <w:pStyle w:val="12"/>
            </w:pPr>
            <w:r>
              <w:t>信号良好</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会议按时完成保障率</w:t>
            </w:r>
          </w:p>
        </w:tc>
        <w:tc>
          <w:tcPr>
            <w:tcW w:w="5386" w:type="dxa"/>
            <w:vAlign w:val="center"/>
          </w:tcPr>
          <w:p>
            <w:pPr>
              <w:pStyle w:val="12"/>
            </w:pPr>
            <w:r>
              <w:t>会议按时完成保障率</w:t>
            </w:r>
          </w:p>
        </w:tc>
        <w:tc>
          <w:tcPr>
            <w:tcW w:w="2268" w:type="dxa"/>
            <w:vAlign w:val="center"/>
          </w:tcPr>
          <w:p>
            <w:pPr>
              <w:pStyle w:val="12"/>
            </w:pPr>
            <w:r>
              <w:t>≥80%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会议系统建设成本</w:t>
            </w:r>
          </w:p>
        </w:tc>
        <w:tc>
          <w:tcPr>
            <w:tcW w:w="5386" w:type="dxa"/>
            <w:vAlign w:val="center"/>
          </w:tcPr>
          <w:p>
            <w:pPr>
              <w:pStyle w:val="12"/>
            </w:pPr>
            <w:r>
              <w:t>会议系统建设成本</w:t>
            </w:r>
          </w:p>
        </w:tc>
        <w:tc>
          <w:tcPr>
            <w:tcW w:w="2268" w:type="dxa"/>
            <w:vAlign w:val="center"/>
          </w:tcPr>
          <w:p>
            <w:pPr>
              <w:pStyle w:val="12"/>
            </w:pPr>
            <w:r>
              <w:t>≤135万元</w:t>
            </w:r>
          </w:p>
        </w:tc>
        <w:tc>
          <w:tcPr>
            <w:tcW w:w="1276" w:type="dxa"/>
            <w:vAlign w:val="center"/>
          </w:tcPr>
          <w:p>
            <w:pPr>
              <w:pStyle w:val="12"/>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≥80%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做突发事件应急处置工作</w:t>
            </w:r>
          </w:p>
        </w:tc>
        <w:tc>
          <w:tcPr>
            <w:tcW w:w="5386" w:type="dxa"/>
            <w:vAlign w:val="center"/>
          </w:tcPr>
          <w:p>
            <w:pPr>
              <w:pStyle w:val="12"/>
            </w:pPr>
            <w:r>
              <w:t>做突发事件应急处置工作</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通信资源合理配置率</w:t>
            </w:r>
          </w:p>
        </w:tc>
        <w:tc>
          <w:tcPr>
            <w:tcW w:w="5386" w:type="dxa"/>
            <w:vAlign w:val="center"/>
          </w:tcPr>
          <w:p>
            <w:pPr>
              <w:pStyle w:val="12"/>
            </w:pPr>
            <w:r>
              <w:t>通信资源合理配置率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监测、评价完成率</w:t>
            </w:r>
          </w:p>
        </w:tc>
        <w:tc>
          <w:tcPr>
            <w:tcW w:w="5386" w:type="dxa"/>
            <w:vAlign w:val="center"/>
          </w:tcPr>
          <w:p>
            <w:pPr>
              <w:pStyle w:val="12"/>
            </w:pPr>
            <w:r>
              <w:t>监测、评价完成率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≥80%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2372.68</w:t>
            </w:r>
          </w:p>
        </w:tc>
        <w:tc>
          <w:tcPr>
            <w:tcW w:w="964" w:type="dxa"/>
            <w:vAlign w:val="center"/>
          </w:tcPr>
          <w:p>
            <w:pPr>
              <w:pStyle w:val="15"/>
            </w:pPr>
            <w:r>
              <w:t>2372.68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2372.68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秦皇岛北戴河新区综合办公室本级小计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2372.68</w:t>
            </w:r>
          </w:p>
        </w:tc>
        <w:tc>
          <w:tcPr>
            <w:tcW w:w="964" w:type="dxa"/>
            <w:vAlign w:val="center"/>
          </w:tcPr>
          <w:p>
            <w:pPr>
              <w:pStyle w:val="15"/>
            </w:pPr>
            <w:r>
              <w:t>2372.68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2372.68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821.42</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740.00</w:t>
            </w:r>
          </w:p>
        </w:tc>
        <w:tc>
          <w:tcPr>
            <w:tcW w:w="964" w:type="dxa"/>
            <w:vAlign w:val="center"/>
          </w:tcPr>
          <w:p>
            <w:pPr>
              <w:pStyle w:val="11"/>
            </w:pPr>
            <w:r>
              <w:t>740.00</w:t>
            </w:r>
          </w:p>
        </w:tc>
        <w:tc>
          <w:tcPr>
            <w:tcW w:w="964" w:type="dxa"/>
            <w:vAlign w:val="center"/>
          </w:tcPr>
          <w:p>
            <w:pPr>
              <w:pStyle w:val="11"/>
            </w:pPr>
            <w:r>
              <w:t>740.00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821.42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2024年公用经费项目（非三保）</w:t>
            </w:r>
          </w:p>
        </w:tc>
        <w:tc>
          <w:tcPr>
            <w:tcW w:w="964" w:type="dxa"/>
            <w:vAlign w:val="center"/>
          </w:tcPr>
          <w:p>
            <w:pPr>
              <w:pStyle w:val="11"/>
            </w:pPr>
            <w:r>
              <w:t>821.42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4.80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546.98</w:t>
            </w:r>
          </w:p>
        </w:tc>
        <w:tc>
          <w:tcPr>
            <w:tcW w:w="1134" w:type="dxa"/>
            <w:vAlign w:val="center"/>
          </w:tcPr>
          <w:p>
            <w:pPr>
              <w:pStyle w:val="12"/>
            </w:pPr>
            <w:r>
              <w:t>其他煤气、水煤气、发生炉煤气和类似的可燃气</w:t>
            </w:r>
          </w:p>
        </w:tc>
        <w:tc>
          <w:tcPr>
            <w:tcW w:w="1134" w:type="dxa"/>
            <w:vAlign w:val="center"/>
          </w:tcPr>
          <w:p>
            <w:pPr>
              <w:pStyle w:val="12"/>
            </w:pPr>
            <w:r>
              <w:t>A07050299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546.98</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3.48</w:t>
            </w:r>
          </w:p>
        </w:tc>
        <w:tc>
          <w:tcPr>
            <w:tcW w:w="964" w:type="dxa"/>
            <w:vAlign w:val="center"/>
          </w:tcPr>
          <w:p>
            <w:pPr>
              <w:pStyle w:val="11"/>
            </w:pPr>
            <w:r>
              <w:t>3.48</w:t>
            </w:r>
          </w:p>
        </w:tc>
        <w:tc>
          <w:tcPr>
            <w:tcW w:w="964" w:type="dxa"/>
            <w:vAlign w:val="center"/>
          </w:tcPr>
          <w:p>
            <w:pPr>
              <w:pStyle w:val="11"/>
            </w:pPr>
            <w:r>
              <w:t>3.48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办公用房租赁费</w:t>
            </w:r>
          </w:p>
        </w:tc>
        <w:tc>
          <w:tcPr>
            <w:tcW w:w="964" w:type="dxa"/>
            <w:vAlign w:val="center"/>
          </w:tcPr>
          <w:p>
            <w:pPr>
              <w:pStyle w:val="11"/>
            </w:pPr>
            <w:r>
              <w:t>451.00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451.00</w:t>
            </w:r>
          </w:p>
        </w:tc>
        <w:tc>
          <w:tcPr>
            <w:tcW w:w="964" w:type="dxa"/>
            <w:vAlign w:val="center"/>
          </w:tcPr>
          <w:p>
            <w:pPr>
              <w:pStyle w:val="11"/>
            </w:pPr>
            <w:r>
              <w:t>451.00</w:t>
            </w:r>
          </w:p>
        </w:tc>
        <w:tc>
          <w:tcPr>
            <w:tcW w:w="964" w:type="dxa"/>
            <w:vAlign w:val="center"/>
          </w:tcPr>
          <w:p>
            <w:pPr>
              <w:pStyle w:val="11"/>
            </w:pPr>
            <w:r>
              <w:t>451.00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网络通讯运行维护费</w:t>
            </w:r>
          </w:p>
        </w:tc>
        <w:tc>
          <w:tcPr>
            <w:tcW w:w="964" w:type="dxa"/>
            <w:vAlign w:val="center"/>
          </w:tcPr>
          <w:p>
            <w:pPr>
              <w:pStyle w:val="11"/>
            </w:pPr>
            <w:r>
              <w:t>320.00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45.00</w:t>
            </w:r>
          </w:p>
        </w:tc>
        <w:tc>
          <w:tcPr>
            <w:tcW w:w="964" w:type="dxa"/>
            <w:vAlign w:val="center"/>
          </w:tcPr>
          <w:p>
            <w:pPr>
              <w:pStyle w:val="11"/>
            </w:pPr>
            <w:r>
              <w:t>45.00</w:t>
            </w:r>
          </w:p>
        </w:tc>
        <w:tc>
          <w:tcPr>
            <w:tcW w:w="964" w:type="dxa"/>
            <w:vAlign w:val="center"/>
          </w:tcPr>
          <w:p>
            <w:pPr>
              <w:pStyle w:val="11"/>
            </w:pPr>
            <w:r>
              <w:t>45.00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网络通讯运行维护费</w:t>
            </w:r>
          </w:p>
        </w:tc>
        <w:tc>
          <w:tcPr>
            <w:tcW w:w="964" w:type="dxa"/>
            <w:vAlign w:val="center"/>
          </w:tcPr>
          <w:p>
            <w:pPr>
              <w:pStyle w:val="11"/>
            </w:pPr>
            <w:r>
              <w:t>320.00</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275.00</w:t>
            </w:r>
          </w:p>
        </w:tc>
        <w:tc>
          <w:tcPr>
            <w:tcW w:w="964" w:type="dxa"/>
            <w:vAlign w:val="center"/>
          </w:tcPr>
          <w:p>
            <w:pPr>
              <w:pStyle w:val="11"/>
            </w:pPr>
            <w:r>
              <w:t>275.00</w:t>
            </w:r>
          </w:p>
        </w:tc>
        <w:tc>
          <w:tcPr>
            <w:tcW w:w="964" w:type="dxa"/>
            <w:vAlign w:val="center"/>
          </w:tcPr>
          <w:p>
            <w:pPr>
              <w:pStyle w:val="11"/>
            </w:pPr>
            <w:r>
              <w:t>275.00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机关运行保障经费</w:t>
            </w:r>
          </w:p>
        </w:tc>
        <w:tc>
          <w:tcPr>
            <w:tcW w:w="964" w:type="dxa"/>
            <w:vAlign w:val="center"/>
          </w:tcPr>
          <w:p>
            <w:pPr>
              <w:pStyle w:val="11"/>
            </w:pPr>
            <w:r>
              <w:t>600.00</w:t>
            </w:r>
          </w:p>
        </w:tc>
        <w:tc>
          <w:tcPr>
            <w:tcW w:w="1134" w:type="dxa"/>
            <w:vAlign w:val="center"/>
          </w:tcPr>
          <w:p>
            <w:pPr>
              <w:pStyle w:val="12"/>
            </w:pPr>
            <w:r>
              <w:t>餐饮服务</w:t>
            </w:r>
          </w:p>
        </w:tc>
        <w:tc>
          <w:tcPr>
            <w:tcW w:w="1134" w:type="dxa"/>
            <w:vAlign w:val="center"/>
          </w:tcPr>
          <w:p>
            <w:pPr>
              <w:pStyle w:val="12"/>
            </w:pPr>
            <w:r>
              <w:t>C22040000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513.00</w:t>
            </w:r>
          </w:p>
        </w:tc>
        <w:tc>
          <w:tcPr>
            <w:tcW w:w="964" w:type="dxa"/>
            <w:vAlign w:val="center"/>
          </w:tcPr>
          <w:p>
            <w:pPr>
              <w:pStyle w:val="11"/>
            </w:pPr>
            <w:r>
              <w:t>513.00</w:t>
            </w:r>
          </w:p>
        </w:tc>
        <w:tc>
          <w:tcPr>
            <w:tcW w:w="964" w:type="dxa"/>
            <w:vAlign w:val="center"/>
          </w:tcPr>
          <w:p>
            <w:pPr>
              <w:pStyle w:val="11"/>
            </w:pPr>
            <w:r>
              <w:t>513.00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物业管理服务费</w:t>
            </w:r>
          </w:p>
        </w:tc>
        <w:tc>
          <w:tcPr>
            <w:tcW w:w="964" w:type="dxa"/>
            <w:vAlign w:val="center"/>
          </w:tcPr>
          <w:p>
            <w:pPr>
              <w:pStyle w:val="11"/>
            </w:pPr>
            <w:r>
              <w:t>278.00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278.00</w:t>
            </w:r>
          </w:p>
        </w:tc>
        <w:tc>
          <w:tcPr>
            <w:tcW w:w="964" w:type="dxa"/>
            <w:vAlign w:val="center"/>
          </w:tcPr>
          <w:p>
            <w:pPr>
              <w:pStyle w:val="11"/>
            </w:pPr>
            <w:r>
              <w:t>278.00</w:t>
            </w:r>
          </w:p>
        </w:tc>
        <w:tc>
          <w:tcPr>
            <w:tcW w:w="964" w:type="dxa"/>
            <w:vAlign w:val="center"/>
          </w:tcPr>
          <w:p>
            <w:pPr>
              <w:pStyle w:val="11"/>
            </w:pPr>
            <w:r>
              <w:t>278.00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秦皇岛北戴河新区综合办公室本级上年末固定资产金额为1365.48万元（详见下表）。本年度拟购置固定资产总额为8.50万元，已按要求列入政府采购预算，详见政府采购预算表。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1365.48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12</w:t>
            </w:r>
          </w:p>
        </w:tc>
        <w:tc>
          <w:tcPr>
            <w:tcW w:w="2835" w:type="dxa"/>
            <w:vAlign w:val="center"/>
          </w:tcPr>
          <w:p>
            <w:pPr>
              <w:pStyle w:val="11"/>
            </w:pPr>
            <w:r>
              <w:t>235.65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97.26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2893</w:t>
            </w:r>
          </w:p>
        </w:tc>
        <w:tc>
          <w:tcPr>
            <w:tcW w:w="2835" w:type="dxa"/>
            <w:vAlign w:val="center"/>
          </w:tcPr>
          <w:p>
            <w:pPr>
              <w:pStyle w:val="11"/>
            </w:pPr>
            <w:r>
              <w:t>1032.57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二、秦皇岛北戴河新区廉政办收支预算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201006秦皇岛北戴河新区廉政办</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247.66</w:t>
            </w:r>
          </w:p>
        </w:tc>
        <w:tc>
          <w:tcPr>
            <w:tcW w:w="4535" w:type="dxa"/>
            <w:vAlign w:val="center"/>
          </w:tcPr>
          <w:p>
            <w:pPr>
              <w:pStyle w:val="12"/>
            </w:pPr>
            <w:r>
              <w:t>一、一般公共服务支出</w:t>
            </w:r>
          </w:p>
        </w:tc>
        <w:tc>
          <w:tcPr>
            <w:tcW w:w="2126" w:type="dxa"/>
            <w:vAlign w:val="center"/>
          </w:tcPr>
          <w:p>
            <w:pPr>
              <w:pStyle w:val="11"/>
            </w:pPr>
            <w:r>
              <w:t>195.62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247.66</w:t>
            </w:r>
          </w:p>
        </w:tc>
        <w:tc>
          <w:tcPr>
            <w:tcW w:w="4535" w:type="dxa"/>
            <w:vAlign w:val="center"/>
          </w:tcPr>
          <w:p>
            <w:pPr>
              <w:pStyle w:val="14"/>
            </w:pPr>
            <w:r>
              <w:t>本年支出合计</w:t>
            </w:r>
          </w:p>
        </w:tc>
        <w:tc>
          <w:tcPr>
            <w:tcW w:w="2126" w:type="dxa"/>
            <w:vAlign w:val="center"/>
          </w:tcPr>
          <w:p>
            <w:pPr>
              <w:pStyle w:val="15"/>
            </w:pPr>
            <w:r>
              <w:t>247.66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247.66</w:t>
            </w:r>
          </w:p>
        </w:tc>
        <w:tc>
          <w:tcPr>
            <w:tcW w:w="4535" w:type="dxa"/>
            <w:vAlign w:val="center"/>
          </w:tcPr>
          <w:p>
            <w:pPr>
              <w:pStyle w:val="14"/>
            </w:pPr>
            <w:r>
              <w:t>支出总计</w:t>
            </w:r>
          </w:p>
        </w:tc>
        <w:tc>
          <w:tcPr>
            <w:tcW w:w="2126" w:type="dxa"/>
            <w:vAlign w:val="center"/>
          </w:tcPr>
          <w:p>
            <w:pPr>
              <w:pStyle w:val="15"/>
            </w:pPr>
            <w:r>
              <w:t>247.66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201006秦皇岛北戴河新区廉政办</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247.66</w:t>
            </w:r>
          </w:p>
        </w:tc>
        <w:tc>
          <w:tcPr>
            <w:tcW w:w="1134" w:type="dxa"/>
            <w:vAlign w:val="center"/>
          </w:tcPr>
          <w:p>
            <w:pPr>
              <w:pStyle w:val="15"/>
            </w:pPr>
            <w:r>
              <w:t>247.66</w:t>
            </w:r>
          </w:p>
        </w:tc>
        <w:tc>
          <w:tcPr>
            <w:tcW w:w="1134" w:type="dxa"/>
            <w:vAlign w:val="center"/>
          </w:tcPr>
          <w:p>
            <w:pPr>
              <w:pStyle w:val="15"/>
            </w:pPr>
            <w:r>
              <w:t>247.66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2011101</w:t>
            </w:r>
          </w:p>
        </w:tc>
        <w:tc>
          <w:tcPr>
            <w:tcW w:w="1559" w:type="dxa"/>
            <w:vAlign w:val="center"/>
          </w:tcPr>
          <w:p>
            <w:pPr>
              <w:pStyle w:val="12"/>
            </w:pPr>
            <w:r>
              <w:t>行政运行</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3.62</w:t>
            </w:r>
          </w:p>
        </w:tc>
        <w:tc>
          <w:tcPr>
            <w:tcW w:w="1134" w:type="dxa"/>
            <w:vAlign w:val="center"/>
          </w:tcPr>
          <w:p>
            <w:pPr>
              <w:pStyle w:val="11"/>
            </w:pPr>
            <w:r>
              <w:t>3.62</w:t>
            </w:r>
          </w:p>
        </w:tc>
        <w:tc>
          <w:tcPr>
            <w:tcW w:w="1134" w:type="dxa"/>
            <w:vAlign w:val="center"/>
          </w:tcPr>
          <w:p>
            <w:pPr>
              <w:pStyle w:val="11"/>
            </w:pPr>
            <w:r>
              <w:t>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247.66</w:t>
            </w:r>
          </w:p>
        </w:tc>
        <w:tc>
          <w:tcPr>
            <w:tcW w:w="1361" w:type="dxa"/>
            <w:vAlign w:val="center"/>
          </w:tcPr>
          <w:p>
            <w:pPr>
              <w:pStyle w:val="15"/>
            </w:pPr>
            <w:r>
              <w:t>197.66</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195.62</w:t>
            </w:r>
          </w:p>
        </w:tc>
        <w:tc>
          <w:tcPr>
            <w:tcW w:w="1361" w:type="dxa"/>
            <w:vAlign w:val="center"/>
          </w:tcPr>
          <w:p>
            <w:pPr>
              <w:pStyle w:val="11"/>
            </w:pPr>
            <w:r>
              <w:t>145.62</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195.62</w:t>
            </w:r>
          </w:p>
        </w:tc>
        <w:tc>
          <w:tcPr>
            <w:tcW w:w="1361" w:type="dxa"/>
            <w:vAlign w:val="center"/>
          </w:tcPr>
          <w:p>
            <w:pPr>
              <w:pStyle w:val="11"/>
            </w:pPr>
            <w:r>
              <w:t>145.62</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2011101</w:t>
            </w:r>
          </w:p>
        </w:tc>
        <w:tc>
          <w:tcPr>
            <w:tcW w:w="4535" w:type="dxa"/>
            <w:vAlign w:val="center"/>
          </w:tcPr>
          <w:p>
            <w:pPr>
              <w:pStyle w:val="12"/>
            </w:pPr>
            <w:r>
              <w:t>行政运行</w:t>
            </w:r>
          </w:p>
        </w:tc>
        <w:tc>
          <w:tcPr>
            <w:tcW w:w="1361" w:type="dxa"/>
            <w:vAlign w:val="center"/>
          </w:tcPr>
          <w:p>
            <w:pPr>
              <w:pStyle w:val="11"/>
            </w:pPr>
            <w:r>
              <w:t>195.62</w:t>
            </w:r>
          </w:p>
        </w:tc>
        <w:tc>
          <w:tcPr>
            <w:tcW w:w="1361" w:type="dxa"/>
            <w:vAlign w:val="center"/>
          </w:tcPr>
          <w:p>
            <w:pPr>
              <w:pStyle w:val="11"/>
            </w:pPr>
            <w:r>
              <w:t>145.62</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21.87</w:t>
            </w:r>
          </w:p>
        </w:tc>
        <w:tc>
          <w:tcPr>
            <w:tcW w:w="1361" w:type="dxa"/>
            <w:vAlign w:val="center"/>
          </w:tcPr>
          <w:p>
            <w:pPr>
              <w:pStyle w:val="11"/>
            </w:pPr>
            <w:r>
              <w:t>21.87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21.87</w:t>
            </w:r>
          </w:p>
        </w:tc>
        <w:tc>
          <w:tcPr>
            <w:tcW w:w="1361" w:type="dxa"/>
            <w:vAlign w:val="center"/>
          </w:tcPr>
          <w:p>
            <w:pPr>
              <w:pStyle w:val="11"/>
            </w:pPr>
            <w:r>
              <w:t>21.87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3.62</w:t>
            </w:r>
          </w:p>
        </w:tc>
        <w:tc>
          <w:tcPr>
            <w:tcW w:w="1361" w:type="dxa"/>
            <w:vAlign w:val="center"/>
          </w:tcPr>
          <w:p>
            <w:pPr>
              <w:pStyle w:val="11"/>
            </w:pPr>
            <w:r>
              <w:t>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18.25</w:t>
            </w:r>
          </w:p>
        </w:tc>
        <w:tc>
          <w:tcPr>
            <w:tcW w:w="1361" w:type="dxa"/>
            <w:vAlign w:val="center"/>
          </w:tcPr>
          <w:p>
            <w:pPr>
              <w:pStyle w:val="11"/>
            </w:pPr>
            <w:r>
              <w:t>18.25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15.63</w:t>
            </w:r>
          </w:p>
        </w:tc>
        <w:tc>
          <w:tcPr>
            <w:tcW w:w="1361" w:type="dxa"/>
            <w:vAlign w:val="center"/>
          </w:tcPr>
          <w:p>
            <w:pPr>
              <w:pStyle w:val="11"/>
            </w:pPr>
            <w:r>
              <w:t>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15.63</w:t>
            </w:r>
          </w:p>
        </w:tc>
        <w:tc>
          <w:tcPr>
            <w:tcW w:w="1361" w:type="dxa"/>
            <w:vAlign w:val="center"/>
          </w:tcPr>
          <w:p>
            <w:pPr>
              <w:pStyle w:val="11"/>
            </w:pPr>
            <w:r>
              <w:t>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15.63</w:t>
            </w:r>
          </w:p>
        </w:tc>
        <w:tc>
          <w:tcPr>
            <w:tcW w:w="1361" w:type="dxa"/>
            <w:vAlign w:val="center"/>
          </w:tcPr>
          <w:p>
            <w:pPr>
              <w:pStyle w:val="11"/>
            </w:pPr>
            <w:r>
              <w:t>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14.53</w:t>
            </w:r>
          </w:p>
        </w:tc>
        <w:tc>
          <w:tcPr>
            <w:tcW w:w="1361" w:type="dxa"/>
            <w:vAlign w:val="center"/>
          </w:tcPr>
          <w:p>
            <w:pPr>
              <w:pStyle w:val="11"/>
            </w:pPr>
            <w:r>
              <w:t>14.53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14.53</w:t>
            </w:r>
          </w:p>
        </w:tc>
        <w:tc>
          <w:tcPr>
            <w:tcW w:w="1361" w:type="dxa"/>
            <w:vAlign w:val="center"/>
          </w:tcPr>
          <w:p>
            <w:pPr>
              <w:pStyle w:val="11"/>
            </w:pPr>
            <w:r>
              <w:t>14.53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14.53</w:t>
            </w:r>
          </w:p>
        </w:tc>
        <w:tc>
          <w:tcPr>
            <w:tcW w:w="1361" w:type="dxa"/>
            <w:vAlign w:val="center"/>
          </w:tcPr>
          <w:p>
            <w:pPr>
              <w:pStyle w:val="11"/>
            </w:pPr>
            <w:r>
              <w:t>14.53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247.66</w:t>
            </w:r>
          </w:p>
        </w:tc>
        <w:tc>
          <w:tcPr>
            <w:tcW w:w="3402" w:type="dxa"/>
            <w:vAlign w:val="center"/>
          </w:tcPr>
          <w:p>
            <w:pPr>
              <w:pStyle w:val="12"/>
            </w:pPr>
            <w:r>
              <w:t>一、一般公共服务支出</w:t>
            </w:r>
          </w:p>
        </w:tc>
        <w:tc>
          <w:tcPr>
            <w:tcW w:w="1474" w:type="dxa"/>
            <w:vAlign w:val="center"/>
          </w:tcPr>
          <w:p>
            <w:pPr>
              <w:pStyle w:val="11"/>
            </w:pPr>
            <w:r>
              <w:t>195.62</w:t>
            </w:r>
          </w:p>
        </w:tc>
        <w:tc>
          <w:tcPr>
            <w:tcW w:w="1474" w:type="dxa"/>
            <w:vAlign w:val="center"/>
          </w:tcPr>
          <w:p>
            <w:pPr>
              <w:pStyle w:val="11"/>
            </w:pPr>
            <w:r>
              <w:t>195.62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21.87</w:t>
            </w:r>
          </w:p>
        </w:tc>
        <w:tc>
          <w:tcPr>
            <w:tcW w:w="1474" w:type="dxa"/>
            <w:vAlign w:val="center"/>
          </w:tcPr>
          <w:p>
            <w:pPr>
              <w:pStyle w:val="11"/>
            </w:pPr>
            <w:r>
              <w:t>21.87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15.63</w:t>
            </w:r>
          </w:p>
        </w:tc>
        <w:tc>
          <w:tcPr>
            <w:tcW w:w="1474" w:type="dxa"/>
            <w:vAlign w:val="center"/>
          </w:tcPr>
          <w:p>
            <w:pPr>
              <w:pStyle w:val="11"/>
            </w:pPr>
            <w:r>
              <w:t>15.63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14.53</w:t>
            </w:r>
          </w:p>
        </w:tc>
        <w:tc>
          <w:tcPr>
            <w:tcW w:w="1474" w:type="dxa"/>
            <w:vAlign w:val="center"/>
          </w:tcPr>
          <w:p>
            <w:pPr>
              <w:pStyle w:val="11"/>
            </w:pPr>
            <w:r>
              <w:t>14.53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247.66</w:t>
            </w:r>
          </w:p>
        </w:tc>
        <w:tc>
          <w:tcPr>
            <w:tcW w:w="3402" w:type="dxa"/>
            <w:vAlign w:val="center"/>
          </w:tcPr>
          <w:p>
            <w:pPr>
              <w:pStyle w:val="14"/>
            </w:pPr>
            <w:r>
              <w:t>本年支出合计</w:t>
            </w:r>
          </w:p>
        </w:tc>
        <w:tc>
          <w:tcPr>
            <w:tcW w:w="1474" w:type="dxa"/>
            <w:vAlign w:val="center"/>
          </w:tcPr>
          <w:p>
            <w:pPr>
              <w:pStyle w:val="15"/>
            </w:pPr>
            <w:r>
              <w:t>247.66</w:t>
            </w:r>
          </w:p>
        </w:tc>
        <w:tc>
          <w:tcPr>
            <w:tcW w:w="1474" w:type="dxa"/>
            <w:vAlign w:val="center"/>
          </w:tcPr>
          <w:p>
            <w:pPr>
              <w:pStyle w:val="15"/>
            </w:pPr>
            <w:r>
              <w:t>247.66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247.66</w:t>
            </w:r>
          </w:p>
        </w:tc>
        <w:tc>
          <w:tcPr>
            <w:tcW w:w="3402" w:type="dxa"/>
            <w:vAlign w:val="center"/>
          </w:tcPr>
          <w:p>
            <w:pPr>
              <w:pStyle w:val="14"/>
            </w:pPr>
            <w:r>
              <w:t>支出总计</w:t>
            </w:r>
          </w:p>
        </w:tc>
        <w:tc>
          <w:tcPr>
            <w:tcW w:w="1474" w:type="dxa"/>
            <w:vAlign w:val="center"/>
          </w:tcPr>
          <w:p>
            <w:pPr>
              <w:pStyle w:val="15"/>
            </w:pPr>
            <w:r>
              <w:t>247.66</w:t>
            </w:r>
          </w:p>
        </w:tc>
        <w:tc>
          <w:tcPr>
            <w:tcW w:w="1474" w:type="dxa"/>
            <w:vAlign w:val="center"/>
          </w:tcPr>
          <w:p>
            <w:pPr>
              <w:pStyle w:val="15"/>
            </w:pPr>
            <w:r>
              <w:t>247.66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247.66</w:t>
            </w:r>
          </w:p>
        </w:tc>
        <w:tc>
          <w:tcPr>
            <w:tcW w:w="2551" w:type="dxa"/>
            <w:vAlign w:val="center"/>
          </w:tcPr>
          <w:p>
            <w:pPr>
              <w:pStyle w:val="15"/>
            </w:pPr>
            <w:r>
              <w:t>197.66</w:t>
            </w: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195.62</w:t>
            </w:r>
          </w:p>
        </w:tc>
        <w:tc>
          <w:tcPr>
            <w:tcW w:w="2551" w:type="dxa"/>
            <w:vAlign w:val="center"/>
          </w:tcPr>
          <w:p>
            <w:pPr>
              <w:pStyle w:val="11"/>
            </w:pPr>
            <w:r>
              <w:t>145.62</w:t>
            </w: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195.62</w:t>
            </w:r>
          </w:p>
        </w:tc>
        <w:tc>
          <w:tcPr>
            <w:tcW w:w="2551" w:type="dxa"/>
            <w:vAlign w:val="center"/>
          </w:tcPr>
          <w:p>
            <w:pPr>
              <w:pStyle w:val="11"/>
            </w:pPr>
            <w:r>
              <w:t>145.62</w:t>
            </w: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2011101</w:t>
            </w:r>
          </w:p>
        </w:tc>
        <w:tc>
          <w:tcPr>
            <w:tcW w:w="4535" w:type="dxa"/>
            <w:vAlign w:val="center"/>
          </w:tcPr>
          <w:p>
            <w:pPr>
              <w:pStyle w:val="12"/>
            </w:pPr>
            <w:r>
              <w:t>行政运行</w:t>
            </w:r>
          </w:p>
        </w:tc>
        <w:tc>
          <w:tcPr>
            <w:tcW w:w="2551" w:type="dxa"/>
            <w:vAlign w:val="center"/>
          </w:tcPr>
          <w:p>
            <w:pPr>
              <w:pStyle w:val="11"/>
            </w:pPr>
            <w:r>
              <w:t>195.62</w:t>
            </w:r>
          </w:p>
        </w:tc>
        <w:tc>
          <w:tcPr>
            <w:tcW w:w="2551" w:type="dxa"/>
            <w:vAlign w:val="center"/>
          </w:tcPr>
          <w:p>
            <w:pPr>
              <w:pStyle w:val="11"/>
            </w:pPr>
            <w:r>
              <w:t>145.62</w:t>
            </w: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21.87</w:t>
            </w:r>
          </w:p>
        </w:tc>
        <w:tc>
          <w:tcPr>
            <w:tcW w:w="2551" w:type="dxa"/>
            <w:vAlign w:val="center"/>
          </w:tcPr>
          <w:p>
            <w:pPr>
              <w:pStyle w:val="11"/>
            </w:pPr>
            <w:r>
              <w:t>21.87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21.87</w:t>
            </w:r>
          </w:p>
        </w:tc>
        <w:tc>
          <w:tcPr>
            <w:tcW w:w="2551" w:type="dxa"/>
            <w:vAlign w:val="center"/>
          </w:tcPr>
          <w:p>
            <w:pPr>
              <w:pStyle w:val="11"/>
            </w:pPr>
            <w:r>
              <w:t>21.87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3.62</w:t>
            </w:r>
          </w:p>
        </w:tc>
        <w:tc>
          <w:tcPr>
            <w:tcW w:w="2551" w:type="dxa"/>
            <w:vAlign w:val="center"/>
          </w:tcPr>
          <w:p>
            <w:pPr>
              <w:pStyle w:val="11"/>
            </w:pPr>
            <w:r>
              <w:t>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18.25</w:t>
            </w:r>
          </w:p>
        </w:tc>
        <w:tc>
          <w:tcPr>
            <w:tcW w:w="2551" w:type="dxa"/>
            <w:vAlign w:val="center"/>
          </w:tcPr>
          <w:p>
            <w:pPr>
              <w:pStyle w:val="11"/>
            </w:pPr>
            <w:r>
              <w:t>18.25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197.66</w:t>
            </w:r>
          </w:p>
        </w:tc>
        <w:tc>
          <w:tcPr>
            <w:tcW w:w="2551" w:type="dxa"/>
            <w:vAlign w:val="center"/>
          </w:tcPr>
          <w:p>
            <w:pPr>
              <w:pStyle w:val="15"/>
            </w:pPr>
            <w:r>
              <w:t>180.72</w:t>
            </w:r>
          </w:p>
        </w:tc>
        <w:tc>
          <w:tcPr>
            <w:tcW w:w="2551" w:type="dxa"/>
            <w:vAlign w:val="center"/>
          </w:tcPr>
          <w:p>
            <w:pPr>
              <w:pStyle w:val="15"/>
            </w:pPr>
            <w:r>
              <w:t>16.94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177.20</w:t>
            </w:r>
          </w:p>
        </w:tc>
        <w:tc>
          <w:tcPr>
            <w:tcW w:w="2551" w:type="dxa"/>
            <w:vAlign w:val="center"/>
          </w:tcPr>
          <w:p>
            <w:pPr>
              <w:pStyle w:val="11"/>
            </w:pPr>
            <w:r>
              <w:t>177.20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30.10</w:t>
            </w:r>
          </w:p>
        </w:tc>
        <w:tc>
          <w:tcPr>
            <w:tcW w:w="2551" w:type="dxa"/>
            <w:vAlign w:val="center"/>
          </w:tcPr>
          <w:p>
            <w:pPr>
              <w:pStyle w:val="11"/>
            </w:pPr>
            <w:r>
              <w:t>30.10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16.53</w:t>
            </w:r>
          </w:p>
        </w:tc>
        <w:tc>
          <w:tcPr>
            <w:tcW w:w="2551" w:type="dxa"/>
            <w:vAlign w:val="center"/>
          </w:tcPr>
          <w:p>
            <w:pPr>
              <w:pStyle w:val="11"/>
            </w:pPr>
            <w:r>
              <w:t>16.53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21.57</w:t>
            </w:r>
          </w:p>
        </w:tc>
        <w:tc>
          <w:tcPr>
            <w:tcW w:w="2551" w:type="dxa"/>
            <w:vAlign w:val="center"/>
          </w:tcPr>
          <w:p>
            <w:pPr>
              <w:pStyle w:val="11"/>
            </w:pPr>
            <w:r>
              <w:t>21.57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59.56</w:t>
            </w:r>
          </w:p>
        </w:tc>
        <w:tc>
          <w:tcPr>
            <w:tcW w:w="2551" w:type="dxa"/>
            <w:vAlign w:val="center"/>
          </w:tcPr>
          <w:p>
            <w:pPr>
              <w:pStyle w:val="11"/>
            </w:pPr>
            <w:r>
              <w:t>59.56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18.25</w:t>
            </w:r>
          </w:p>
        </w:tc>
        <w:tc>
          <w:tcPr>
            <w:tcW w:w="2551" w:type="dxa"/>
            <w:vAlign w:val="center"/>
          </w:tcPr>
          <w:p>
            <w:pPr>
              <w:pStyle w:val="11"/>
            </w:pPr>
            <w:r>
              <w:t>18.25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16.66</w:t>
            </w:r>
          </w:p>
        </w:tc>
        <w:tc>
          <w:tcPr>
            <w:tcW w:w="2551" w:type="dxa"/>
            <w:vAlign w:val="center"/>
          </w:tcPr>
          <w:p>
            <w:pPr>
              <w:pStyle w:val="11"/>
            </w:pPr>
          </w:p>
        </w:tc>
        <w:tc>
          <w:tcPr>
            <w:tcW w:w="2551" w:type="dxa"/>
            <w:vAlign w:val="center"/>
          </w:tcPr>
          <w:p>
            <w:pPr>
              <w:pStyle w:val="11"/>
            </w:pPr>
            <w:r>
              <w:t>16.66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2.10</w:t>
            </w:r>
          </w:p>
        </w:tc>
        <w:tc>
          <w:tcPr>
            <w:tcW w:w="2551" w:type="dxa"/>
            <w:vAlign w:val="center"/>
          </w:tcPr>
          <w:p>
            <w:pPr>
              <w:pStyle w:val="11"/>
            </w:pPr>
          </w:p>
        </w:tc>
        <w:tc>
          <w:tcPr>
            <w:tcW w:w="2551"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1.56</w:t>
            </w:r>
          </w:p>
        </w:tc>
        <w:tc>
          <w:tcPr>
            <w:tcW w:w="2551" w:type="dxa"/>
            <w:vAlign w:val="center"/>
          </w:tcPr>
          <w:p>
            <w:pPr>
              <w:pStyle w:val="11"/>
            </w:pPr>
          </w:p>
        </w:tc>
        <w:tc>
          <w:tcPr>
            <w:tcW w:w="2551"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0.83</w:t>
            </w:r>
          </w:p>
        </w:tc>
        <w:tc>
          <w:tcPr>
            <w:tcW w:w="2551" w:type="dxa"/>
            <w:vAlign w:val="center"/>
          </w:tcPr>
          <w:p>
            <w:pPr>
              <w:pStyle w:val="11"/>
            </w:pPr>
          </w:p>
        </w:tc>
        <w:tc>
          <w:tcPr>
            <w:tcW w:w="2551" w:type="dxa"/>
            <w:vAlign w:val="center"/>
          </w:tcPr>
          <w:p>
            <w:pPr>
              <w:pStyle w:val="11"/>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1.10</w:t>
            </w:r>
          </w:p>
        </w:tc>
        <w:tc>
          <w:tcPr>
            <w:tcW w:w="2551" w:type="dxa"/>
            <w:vAlign w:val="center"/>
          </w:tcPr>
          <w:p>
            <w:pPr>
              <w:pStyle w:val="11"/>
            </w:pPr>
          </w:p>
        </w:tc>
        <w:tc>
          <w:tcPr>
            <w:tcW w:w="2551"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0.68</w:t>
            </w:r>
          </w:p>
        </w:tc>
        <w:tc>
          <w:tcPr>
            <w:tcW w:w="2551" w:type="dxa"/>
            <w:vAlign w:val="center"/>
          </w:tcPr>
          <w:p>
            <w:pPr>
              <w:pStyle w:val="11"/>
            </w:pPr>
          </w:p>
        </w:tc>
        <w:tc>
          <w:tcPr>
            <w:tcW w:w="2551" w:type="dxa"/>
            <w:vAlign w:val="center"/>
          </w:tcPr>
          <w:p>
            <w:pPr>
              <w:pStyle w:val="11"/>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4.60</w:t>
            </w:r>
          </w:p>
        </w:tc>
        <w:tc>
          <w:tcPr>
            <w:tcW w:w="2551" w:type="dxa"/>
            <w:vAlign w:val="center"/>
          </w:tcPr>
          <w:p>
            <w:pPr>
              <w:pStyle w:val="11"/>
            </w:pPr>
          </w:p>
        </w:tc>
        <w:tc>
          <w:tcPr>
            <w:tcW w:w="2551"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3.52</w:t>
            </w:r>
          </w:p>
        </w:tc>
        <w:tc>
          <w:tcPr>
            <w:tcW w:w="2551" w:type="dxa"/>
            <w:vAlign w:val="center"/>
          </w:tcPr>
          <w:p>
            <w:pPr>
              <w:pStyle w:val="11"/>
            </w:pPr>
            <w:r>
              <w:t>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3.52</w:t>
            </w:r>
          </w:p>
        </w:tc>
        <w:tc>
          <w:tcPr>
            <w:tcW w:w="2551" w:type="dxa"/>
            <w:vAlign w:val="center"/>
          </w:tcPr>
          <w:p>
            <w:pPr>
              <w:pStyle w:val="11"/>
            </w:pPr>
            <w:r>
              <w:t>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4.80</w:t>
            </w:r>
          </w:p>
        </w:tc>
        <w:tc>
          <w:tcPr>
            <w:tcW w:w="2381" w:type="dxa"/>
            <w:vAlign w:val="center"/>
          </w:tcPr>
          <w:p>
            <w:pPr>
              <w:pStyle w:val="15"/>
            </w:pPr>
            <w:r>
              <w:t>4.80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4.80</w:t>
            </w:r>
          </w:p>
        </w:tc>
        <w:tc>
          <w:tcPr>
            <w:tcW w:w="2381" w:type="dxa"/>
            <w:vAlign w:val="center"/>
          </w:tcPr>
          <w:p>
            <w:pPr>
              <w:pStyle w:val="11"/>
            </w:pPr>
            <w:r>
              <w:t>4.80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4.60</w:t>
            </w:r>
          </w:p>
        </w:tc>
        <w:tc>
          <w:tcPr>
            <w:tcW w:w="2381" w:type="dxa"/>
            <w:vAlign w:val="center"/>
          </w:tcPr>
          <w:p>
            <w:pPr>
              <w:pStyle w:val="11"/>
            </w:pPr>
            <w:r>
              <w:t>4.60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4.60</w:t>
            </w:r>
          </w:p>
        </w:tc>
        <w:tc>
          <w:tcPr>
            <w:tcW w:w="2381" w:type="dxa"/>
            <w:vAlign w:val="center"/>
          </w:tcPr>
          <w:p>
            <w:pPr>
              <w:pStyle w:val="11"/>
            </w:pPr>
            <w:r>
              <w:t>4.60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秦皇岛北戴河新区廉政办2024年单位预算信息公开情况说明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按照《中华人民共和国预算法》、《地方预决算公开操作规程》和《关于进一步推进预算公开工作的实施意见》规定，现将秦皇岛北戴河新区廉政办2024年单位预算公开如下：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（一）维护党的章程和其他党内法规，监督检查党的路线、方针、政策和决议执行情况。</w:t>
      </w:r>
    </w:p>
    <w:p>
      <w:pPr>
        <w:pStyle w:val="17"/>
      </w:pPr>
      <w:r>
        <w:t>（二）协助新区党工委落实党风廉政建设主体责任。</w:t>
      </w:r>
    </w:p>
    <w:p>
      <w:pPr>
        <w:pStyle w:val="17"/>
      </w:pPr>
      <w:r>
        <w:t xml:space="preserve">（三）受理对个人或单位违纪行为的检举、控告。 </w:t>
      </w:r>
    </w:p>
    <w:p>
      <w:pPr>
        <w:pStyle w:val="17"/>
      </w:pPr>
      <w:r>
        <w:t xml:space="preserve">（四）根据市纪委监委和新区工管委安排对党员干部违反党章、党内法规及违反国家政策、法律、法规及违反政纪行为问题开展调查，并提出处理意见。 </w:t>
      </w:r>
    </w:p>
    <w:p>
      <w:pPr>
        <w:pStyle w:val="17"/>
      </w:pPr>
      <w:r>
        <w:t>（五）负责开展党风廉政建设宣传教育。</w:t>
      </w:r>
    </w:p>
    <w:p>
      <w:pPr>
        <w:pStyle w:val="17"/>
      </w:pPr>
      <w:r>
        <w:t>（六）完成新区工管委交办的其他任务。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秦皇岛北戴河新区廉政办</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247.66万元，其中：一般公共预算收入247.66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廉政办年度单位预算中支出预算的总体情况。2024年支出预算247.66万元，其中基本支出197.66万元，包括人员经费180.72万元和日常公用经费16.94万元；项目支出50.00万元，主要为纪检监察工作经费。</w:t>
      </w:r>
    </w:p>
    <w:p>
      <w:pPr>
        <w:pStyle w:val="18"/>
      </w:pPr>
      <w:r>
        <w:t>3、比上年增减情况</w:t>
      </w:r>
    </w:p>
    <w:p>
      <w:pPr>
        <w:pStyle w:val="18"/>
      </w:pPr>
      <w:r>
        <w:t>2024年预算收支安排247.66万元，较2023年预算减少285.42万元，其中：基本支出减少60.42万元，主要为机构调整，人员减少。项目支出减少225.00万元，主要为机构调整，评审监督科和审计科两个科室减出，重大项目评审服务费和审计及评审监督工作经费项目资金减出</w:t>
      </w:r>
      <w:bookmarkStart w:id="2" w:name="_GoBack"/>
      <w:bookmarkEnd w:id="2"/>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2024年，我单位机关运行经费共计安排16.94万元，主要用于日常维修、办公用房水电费、办公用房取暖费、办公用房物业管理费等日常运行支出。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4.80万元，其中因公出国（境）费0.00万元；公务用车购置及运维费4.60万元（其中：公务用车购置费为0.00万元，公务用车运维费4.60万元)；公务接待费0.20万元。与2023年相比减少0.07万元，增减变化的主要原因是厉行节约，进一步压减一般性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1、纪检监察工作经费绩效目标表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13031324P00880510360X</w:t>
            </w:r>
          </w:p>
        </w:tc>
        <w:tc>
          <w:tcPr>
            <w:tcW w:w="2835" w:type="dxa"/>
            <w:vAlign w:val="center"/>
          </w:tcPr>
          <w:p>
            <w:pPr>
              <w:pStyle w:val="10"/>
            </w:pPr>
            <w:r>
              <w:t>项目名称</w:t>
            </w:r>
          </w:p>
        </w:tc>
        <w:tc>
          <w:tcPr>
            <w:tcW w:w="6094" w:type="dxa"/>
            <w:gridSpan w:val="3"/>
            <w:vAlign w:val="center"/>
          </w:tcPr>
          <w:p>
            <w:pPr>
              <w:pStyle w:val="12"/>
            </w:pPr>
            <w:r>
              <w:t>纪检监察工作经费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用于日常办公；北戴河新区村级“小微权力”监督平台运行维护费；查办中、省、市、区专项整治案件等工作。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1.通过积极发挥职能作用、加强党风廉政建设，营造风清气正、干事创业的工作氛围。</w:t>
            </w:r>
          </w:p>
          <w:p>
            <w:pPr>
              <w:pStyle w:val="12"/>
            </w:pPr>
            <w:r>
              <w:t>2.加大问责力度，促进“两个责任”有效落实。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专题研究党风廉政建设工作次数</w:t>
            </w:r>
          </w:p>
        </w:tc>
        <w:tc>
          <w:tcPr>
            <w:tcW w:w="5386" w:type="dxa"/>
            <w:vAlign w:val="center"/>
          </w:tcPr>
          <w:p>
            <w:pPr>
              <w:pStyle w:val="12"/>
            </w:pPr>
            <w:r>
              <w:t>负责监督检查党的路线、方针、政策的执行情况和党政领导干部廉洁自律情况，综合分析新区各级党组织党风廉政建设和反腐败斗争情况，建立廉政制度、预防腐败制度和党风廉政建设责任制度，开展有关党风政风监督专项检查工作</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监督检查次数</w:t>
            </w:r>
          </w:p>
        </w:tc>
        <w:tc>
          <w:tcPr>
            <w:tcW w:w="5386" w:type="dxa"/>
            <w:vAlign w:val="center"/>
          </w:tcPr>
          <w:p>
            <w:pPr>
              <w:pStyle w:val="12"/>
            </w:pPr>
            <w:r>
              <w:t>全年实施监督检查次数</w:t>
            </w:r>
          </w:p>
        </w:tc>
        <w:tc>
          <w:tcPr>
            <w:tcW w:w="2268" w:type="dxa"/>
            <w:vAlign w:val="center"/>
          </w:tcPr>
          <w:p>
            <w:pPr>
              <w:pStyle w:val="12"/>
            </w:pPr>
            <w:r>
              <w:t>≥12次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四种形态处置情况</w:t>
            </w:r>
          </w:p>
        </w:tc>
        <w:tc>
          <w:tcPr>
            <w:tcW w:w="5386" w:type="dxa"/>
            <w:vAlign w:val="center"/>
          </w:tcPr>
          <w:p>
            <w:pPr>
              <w:pStyle w:val="12"/>
            </w:pPr>
            <w:r>
              <w:t>四种形态处置人数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廉政宣传次数</w:t>
            </w:r>
          </w:p>
        </w:tc>
        <w:tc>
          <w:tcPr>
            <w:tcW w:w="5386" w:type="dxa"/>
            <w:vAlign w:val="center"/>
          </w:tcPr>
          <w:p>
            <w:pPr>
              <w:pStyle w:val="12"/>
            </w:pPr>
            <w:r>
              <w:t>开展廉政宣传教育、发布廉政之声微信公众号</w:t>
            </w:r>
          </w:p>
        </w:tc>
        <w:tc>
          <w:tcPr>
            <w:tcW w:w="2268" w:type="dxa"/>
            <w:vAlign w:val="center"/>
          </w:tcPr>
          <w:p>
            <w:pPr>
              <w:pStyle w:val="12"/>
            </w:pPr>
            <w:r>
              <w:t>≥50次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受理信访举报问题线索清零比率</w:t>
            </w:r>
          </w:p>
        </w:tc>
        <w:tc>
          <w:tcPr>
            <w:tcW w:w="5386" w:type="dxa"/>
            <w:vAlign w:val="center"/>
          </w:tcPr>
          <w:p>
            <w:pPr>
              <w:pStyle w:val="12"/>
            </w:pPr>
            <w:r>
              <w:t>受理对纪检监察对象违反党政纪律行为的控告、检举及不服党纪、政纪处理的申诉</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实际支出金额小于预算控制数</w:t>
            </w:r>
          </w:p>
        </w:tc>
        <w:tc>
          <w:tcPr>
            <w:tcW w:w="2268" w:type="dxa"/>
            <w:vAlign w:val="center"/>
          </w:tcPr>
          <w:p>
            <w:pPr>
              <w:pStyle w:val="12"/>
            </w:pPr>
            <w:r>
              <w:t>≤50万元</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推动党员干部树立不敢腐、不能腐、不相腐的意识，持续推动党风廉政建设和反腐败工作向纵深发展。维护党纪国法尊严，坚决惩处腐败分子，有效遏制腐败现象。在新区产生的重要影响，得到广大受众的充分认可</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群众对问题线索办理情况满意度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201006秦皇岛北戴河新区廉政办</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5.15</w:t>
            </w:r>
          </w:p>
        </w:tc>
        <w:tc>
          <w:tcPr>
            <w:tcW w:w="964" w:type="dxa"/>
            <w:vAlign w:val="center"/>
          </w:tcPr>
          <w:p>
            <w:pPr>
              <w:pStyle w:val="15"/>
            </w:pPr>
            <w:r>
              <w:t>5.15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秦皇岛北戴河新区廉政办小计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5.15</w:t>
            </w:r>
          </w:p>
        </w:tc>
        <w:tc>
          <w:tcPr>
            <w:tcW w:w="964" w:type="dxa"/>
            <w:vAlign w:val="center"/>
          </w:tcPr>
          <w:p>
            <w:pPr>
              <w:pStyle w:val="15"/>
            </w:pPr>
            <w:r>
              <w:t>5.15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2024年公用经费项目（非三保）</w:t>
            </w:r>
          </w:p>
        </w:tc>
        <w:tc>
          <w:tcPr>
            <w:tcW w:w="964" w:type="dxa"/>
            <w:vAlign w:val="center"/>
          </w:tcPr>
          <w:p>
            <w:pPr>
              <w:pStyle w:val="11"/>
            </w:pPr>
            <w:r>
              <w:t>13.16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13.16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2024年公用经费项目（三保）</w:t>
            </w:r>
          </w:p>
        </w:tc>
        <w:tc>
          <w:tcPr>
            <w:tcW w:w="964" w:type="dxa"/>
            <w:vAlign w:val="center"/>
          </w:tcPr>
          <w:p>
            <w:pPr>
              <w:pStyle w:val="11"/>
            </w:pPr>
            <w:r>
              <w:t>3.78</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万元</w:t>
            </w:r>
          </w:p>
        </w:tc>
        <w:tc>
          <w:tcPr>
            <w:tcW w:w="850" w:type="dxa"/>
            <w:vAlign w:val="center"/>
          </w:tcPr>
          <w:p>
            <w:pPr>
              <w:pStyle w:val="11"/>
            </w:pPr>
            <w:r>
              <w:t>3</w:t>
            </w:r>
          </w:p>
        </w:tc>
        <w:tc>
          <w:tcPr>
            <w:tcW w:w="850" w:type="dxa"/>
            <w:vAlign w:val="center"/>
          </w:tcPr>
          <w:p>
            <w:pPr>
              <w:pStyle w:val="11"/>
            </w:pPr>
            <w:r>
              <w:t>0.09</w:t>
            </w:r>
          </w:p>
        </w:tc>
        <w:tc>
          <w:tcPr>
            <w:tcW w:w="964" w:type="dxa"/>
            <w:vAlign w:val="center"/>
          </w:tcPr>
          <w:p>
            <w:pPr>
              <w:pStyle w:val="11"/>
            </w:pPr>
            <w:r>
              <w:t>0.27</w:t>
            </w:r>
          </w:p>
        </w:tc>
        <w:tc>
          <w:tcPr>
            <w:tcW w:w="964" w:type="dxa"/>
            <w:vAlign w:val="center"/>
          </w:tcPr>
          <w:p>
            <w:pPr>
              <w:pStyle w:val="11"/>
            </w:pPr>
            <w:r>
              <w:t>0.27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3.78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2024年公用经费项目（三保）</w:t>
            </w:r>
          </w:p>
        </w:tc>
        <w:tc>
          <w:tcPr>
            <w:tcW w:w="964" w:type="dxa"/>
            <w:vAlign w:val="center"/>
          </w:tcPr>
          <w:p>
            <w:pPr>
              <w:pStyle w:val="11"/>
            </w:pPr>
            <w:r>
              <w:t>3.78</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0.28</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0.28</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秦皇岛北戴河新区廉政办上年末固定资产金额为0.00万元（详见下表）。本年度拟购置固定资产总额为</w:t>
      </w:r>
      <w:r>
        <w:rPr>
          <w:rFonts w:hint="eastAsia" w:eastAsia="方正仿宋_GBK" w:cs="Times New Roman"/>
          <w:b w:val="0"/>
          <w:color w:val="000000"/>
          <w:sz w:val="28"/>
          <w:lang w:val="en-US" w:eastAsia="zh-CN"/>
        </w:rPr>
        <w:t>0.27</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201006秦皇岛北戴河新区廉政办</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B8D5600"/>
    <w:rsid w:val="3D567770"/>
    <w:rsid w:val="52FC7DCA"/>
    <w:rsid w:val="59EF38F4"/>
    <w:rsid w:val="7847159D"/>
    <w:rsid w:val="7BAC4F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1" Type="http://schemas.openxmlformats.org/officeDocument/2006/relationships/fontTable" Target="fontTable.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2024-02-28T14:57:31Z</dcterms:created>
  <dcterms:modified xsi:type="dcterms:W3CDTF">2024-02-28T06:57:31Z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2024-02-28T14:57:34Z</dcterms:created>
  <dcterms:modified xsi:type="dcterms:W3CDTF">2024-02-28T06:57:34Z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2024-02-28T14:57:37Z</dcterms:created>
  <dcterms:modified xsi:type="dcterms:W3CDTF">2024-02-28T06:57:37Z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2024-02-28T14:57:37Z</dcterms:created>
  <dcterms:modified xsi:type="dcterms:W3CDTF">2024-02-28T06:57:37Z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2024-02-28T14:57:37Z</dcterms:created>
  <dcterms:modified xsi:type="dcterms:W3CDTF">2024-02-28T06:57:37Z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2024-02-28T14:57:40Z</dcterms:created>
  <dcterms:modified xsi:type="dcterms:W3CDTF">2024-02-28T06:57:40Z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2024-02-28T14:57:40Z</dcterms:created>
  <dcterms:modified xsi:type="dcterms:W3CDTF">2024-02-28T06:57:40Z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2024-02-28T14:57:41Z</dcterms:created>
  <dcterms:modified xsi:type="dcterms:W3CDTF">2024-02-28T06:57:41Z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2024-02-28T14:57:34Z</dcterms:created>
  <dcterms:modified xsi:type="dcterms:W3CDTF">2024-02-28T06:57:34Z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2024-02-28T14:57:34Z</dcterms:created>
  <dcterms:modified xsi:type="dcterms:W3CDTF">2024-02-28T06:57:34Z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2024-02-28T14:57:28Z</dcterms:created>
  <dcterms:modified xsi:type="dcterms:W3CDTF">2024-02-28T06:57:28Z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c38cba5-2b53-4cdb-8d40-c7a6b16d4f2c}">
  <ds:schemaRefs/>
</ds:datastoreItem>
</file>

<file path=customXml/itemProps11.xml><?xml version="1.0" encoding="utf-8"?>
<ds:datastoreItem xmlns:ds="http://schemas.openxmlformats.org/officeDocument/2006/customXml" ds:itemID="{813d88d3-0e71-4a37-9b57-b5f6b15fa094}">
  <ds:schemaRefs/>
</ds:datastoreItem>
</file>

<file path=customXml/itemProps12.xml><?xml version="1.0" encoding="utf-8"?>
<ds:datastoreItem xmlns:ds="http://schemas.openxmlformats.org/officeDocument/2006/customXml" ds:itemID="{484a1390-938a-4b5e-9aed-bae0578fe4c1}">
  <ds:schemaRefs/>
</ds:datastoreItem>
</file>

<file path=customXml/itemProps13.xml><?xml version="1.0" encoding="utf-8"?>
<ds:datastoreItem xmlns:ds="http://schemas.openxmlformats.org/officeDocument/2006/customXml" ds:itemID="{0ca864c9-515d-41df-aa9e-419d1cb854b4}">
  <ds:schemaRefs/>
</ds:datastoreItem>
</file>

<file path=customXml/itemProps14.xml><?xml version="1.0" encoding="utf-8"?>
<ds:datastoreItem xmlns:ds="http://schemas.openxmlformats.org/officeDocument/2006/customXml" ds:itemID="{63f0cee9-5621-464c-ac51-50e3fe6bf156}">
  <ds:schemaRefs/>
</ds:datastoreItem>
</file>

<file path=customXml/itemProps15.xml><?xml version="1.0" encoding="utf-8"?>
<ds:datastoreItem xmlns:ds="http://schemas.openxmlformats.org/officeDocument/2006/customXml" ds:itemID="{03e057b1-1945-4b0e-a061-556465301b7e}">
  <ds:schemaRefs/>
</ds:datastoreItem>
</file>

<file path=customXml/itemProps16.xml><?xml version="1.0" encoding="utf-8"?>
<ds:datastoreItem xmlns:ds="http://schemas.openxmlformats.org/officeDocument/2006/customXml" ds:itemID="{22c0fb4a-756c-439c-ba64-cb587b72fca8}">
  <ds:schemaRefs/>
</ds:datastoreItem>
</file>

<file path=customXml/itemProps17.xml><?xml version="1.0" encoding="utf-8"?>
<ds:datastoreItem xmlns:ds="http://schemas.openxmlformats.org/officeDocument/2006/customXml" ds:itemID="{78a9ed8a-e9bf-40b5-8793-95ba713211f3}">
  <ds:schemaRefs/>
</ds:datastoreItem>
</file>

<file path=customXml/itemProps18.xml><?xml version="1.0" encoding="utf-8"?>
<ds:datastoreItem xmlns:ds="http://schemas.openxmlformats.org/officeDocument/2006/customXml" ds:itemID="{e9c2e7f3-5597-4060-bbf6-c219be1c57fa}">
  <ds:schemaRefs/>
</ds:datastoreItem>
</file>

<file path=customXml/itemProps19.xml><?xml version="1.0" encoding="utf-8"?>
<ds:datastoreItem xmlns:ds="http://schemas.openxmlformats.org/officeDocument/2006/customXml" ds:itemID="{7626e7d4-b9e5-4e03-9900-f107af423d82}">
  <ds:schemaRefs/>
</ds:datastoreItem>
</file>

<file path=customXml/itemProps2.xml><?xml version="1.0" encoding="utf-8"?>
<ds:datastoreItem xmlns:ds="http://schemas.openxmlformats.org/officeDocument/2006/customXml" ds:itemID="{ff422640-f97a-4c8c-9b77-39bb1043e11b}">
  <ds:schemaRefs/>
</ds:datastoreItem>
</file>

<file path=customXml/itemProps20.xml><?xml version="1.0" encoding="utf-8"?>
<ds:datastoreItem xmlns:ds="http://schemas.openxmlformats.org/officeDocument/2006/customXml" ds:itemID="{f5264f78-a09a-4afc-829a-f3549ddce6cd}">
  <ds:schemaRefs/>
</ds:datastoreItem>
</file>

<file path=customXml/itemProps21.xml><?xml version="1.0" encoding="utf-8"?>
<ds:datastoreItem xmlns:ds="http://schemas.openxmlformats.org/officeDocument/2006/customXml" ds:itemID="{192e1567-9b20-4ee4-94de-416f9e9c4fb4}">
  <ds:schemaRefs/>
</ds:datastoreItem>
</file>

<file path=customXml/itemProps22.xml><?xml version="1.0" encoding="utf-8"?>
<ds:datastoreItem xmlns:ds="http://schemas.openxmlformats.org/officeDocument/2006/customXml" ds:itemID="{1eb5fcdc-05c0-4880-91d0-85b96d7f751b}">
  <ds:schemaRefs/>
</ds:datastoreItem>
</file>

<file path=customXml/itemProps23.xml><?xml version="1.0" encoding="utf-8"?>
<ds:datastoreItem xmlns:ds="http://schemas.openxmlformats.org/officeDocument/2006/customXml" ds:itemID="{b54dedea-2c4a-4ec3-9c0f-fb3f25d07ac0}">
  <ds:schemaRefs/>
</ds:datastoreItem>
</file>

<file path=customXml/itemProps24.xml><?xml version="1.0" encoding="utf-8"?>
<ds:datastoreItem xmlns:ds="http://schemas.openxmlformats.org/officeDocument/2006/customXml" ds:itemID="{8cb74ae5-03aa-4e5e-a644-8d827468fa23}">
  <ds:schemaRefs/>
</ds:datastoreItem>
</file>

<file path=customXml/itemProps25.xml><?xml version="1.0" encoding="utf-8"?>
<ds:datastoreItem xmlns:ds="http://schemas.openxmlformats.org/officeDocument/2006/customXml" ds:itemID="{c213dea7-0684-4cd3-8c76-60647b0d07c0}">
  <ds:schemaRefs/>
</ds:datastoreItem>
</file>

<file path=customXml/itemProps26.xml><?xml version="1.0" encoding="utf-8"?>
<ds:datastoreItem xmlns:ds="http://schemas.openxmlformats.org/officeDocument/2006/customXml" ds:itemID="{d0faa21f-de89-4597-94ff-cdcee7f6cb56}">
  <ds:schemaRefs/>
</ds:datastoreItem>
</file>

<file path=customXml/itemProps27.xml><?xml version="1.0" encoding="utf-8"?>
<ds:datastoreItem xmlns:ds="http://schemas.openxmlformats.org/officeDocument/2006/customXml" ds:itemID="{675f0dac-2940-4957-8954-84c498bc1ffa}">
  <ds:schemaRefs/>
</ds:datastoreItem>
</file>

<file path=customXml/itemProps28.xml><?xml version="1.0" encoding="utf-8"?>
<ds:datastoreItem xmlns:ds="http://schemas.openxmlformats.org/officeDocument/2006/customXml" ds:itemID="{9ef9e295-6a28-4433-831a-a785aae98164}">
  <ds:schemaRefs/>
</ds:datastoreItem>
</file>

<file path=customXml/itemProps29.xml><?xml version="1.0" encoding="utf-8"?>
<ds:datastoreItem xmlns:ds="http://schemas.openxmlformats.org/officeDocument/2006/customXml" ds:itemID="{46b993ee-5277-4a9e-a439-76fe35240525}">
  <ds:schemaRefs/>
</ds:datastoreItem>
</file>

<file path=customXml/itemProps3.xml><?xml version="1.0" encoding="utf-8"?>
<ds:datastoreItem xmlns:ds="http://schemas.openxmlformats.org/officeDocument/2006/customXml" ds:itemID="{e6f669de-e08f-4898-a248-a1cad6cb7faa}">
  <ds:schemaRefs/>
</ds:datastoreItem>
</file>

<file path=customXml/itemProps30.xml><?xml version="1.0" encoding="utf-8"?>
<ds:datastoreItem xmlns:ds="http://schemas.openxmlformats.org/officeDocument/2006/customXml" ds:itemID="{994e5b62-f7df-4dbe-9d3e-d10182f07369}">
  <ds:schemaRefs/>
</ds:datastoreItem>
</file>

<file path=customXml/itemProps31.xml><?xml version="1.0" encoding="utf-8"?>
<ds:datastoreItem xmlns:ds="http://schemas.openxmlformats.org/officeDocument/2006/customXml" ds:itemID="{f235beff-dd83-4c0d-acba-1659d46dc12c}">
  <ds:schemaRefs/>
</ds:datastoreItem>
</file>

<file path=customXml/itemProps32.xml><?xml version="1.0" encoding="utf-8"?>
<ds:datastoreItem xmlns:ds="http://schemas.openxmlformats.org/officeDocument/2006/customXml" ds:itemID="{7a077f00-4e35-4af8-b31f-aa9b0e4d3fcd}">
  <ds:schemaRefs/>
</ds:datastoreItem>
</file>

<file path=customXml/itemProps33.xml><?xml version="1.0" encoding="utf-8"?>
<ds:datastoreItem xmlns:ds="http://schemas.openxmlformats.org/officeDocument/2006/customXml" ds:itemID="{0b2075eb-24f4-46ad-ae1b-3d854d90bc23}">
  <ds:schemaRefs/>
</ds:datastoreItem>
</file>

<file path=customXml/itemProps34.xml><?xml version="1.0" encoding="utf-8"?>
<ds:datastoreItem xmlns:ds="http://schemas.openxmlformats.org/officeDocument/2006/customXml" ds:itemID="{03427538-abe6-4e0f-8641-da8bf02540aa}">
  <ds:schemaRefs/>
</ds:datastoreItem>
</file>

<file path=customXml/itemProps35.xml><?xml version="1.0" encoding="utf-8"?>
<ds:datastoreItem xmlns:ds="http://schemas.openxmlformats.org/officeDocument/2006/customXml" ds:itemID="{b514d012-a7bc-411e-bbc3-e6d5158a7276}">
  <ds:schemaRefs/>
</ds:datastoreItem>
</file>

<file path=customXml/itemProps36.xml><?xml version="1.0" encoding="utf-8"?>
<ds:datastoreItem xmlns:ds="http://schemas.openxmlformats.org/officeDocument/2006/customXml" ds:itemID="{5741d661-0656-413c-94e1-ff1c1b33bc8f}">
  <ds:schemaRefs/>
</ds:datastoreItem>
</file>

<file path=customXml/itemProps37.xml><?xml version="1.0" encoding="utf-8"?>
<ds:datastoreItem xmlns:ds="http://schemas.openxmlformats.org/officeDocument/2006/customXml" ds:itemID="{ae0bfeea-90a1-432a-ae5c-81a3a891017b}">
  <ds:schemaRefs/>
</ds:datastoreItem>
</file>

<file path=customXml/itemProps38.xml><?xml version="1.0" encoding="utf-8"?>
<ds:datastoreItem xmlns:ds="http://schemas.openxmlformats.org/officeDocument/2006/customXml" ds:itemID="{3d759d12-1b58-404e-8b21-7865b0428e33}">
  <ds:schemaRefs/>
</ds:datastoreItem>
</file>

<file path=customXml/itemProps39.xml><?xml version="1.0" encoding="utf-8"?>
<ds:datastoreItem xmlns:ds="http://schemas.openxmlformats.org/officeDocument/2006/customXml" ds:itemID="{bf57c4ff-a56c-4f42-b6c3-8232d4074a43}">
  <ds:schemaRefs/>
</ds:datastoreItem>
</file>

<file path=customXml/itemProps4.xml><?xml version="1.0" encoding="utf-8"?>
<ds:datastoreItem xmlns:ds="http://schemas.openxmlformats.org/officeDocument/2006/customXml" ds:itemID="{b127c9bd-430b-489e-a47f-aab1d8c91795}">
  <ds:schemaRefs/>
</ds:datastoreItem>
</file>

<file path=customXml/itemProps40.xml><?xml version="1.0" encoding="utf-8"?>
<ds:datastoreItem xmlns:ds="http://schemas.openxmlformats.org/officeDocument/2006/customXml" ds:itemID="{7c519779-abed-47fd-a875-f953a52e7256}">
  <ds:schemaRefs/>
</ds:datastoreItem>
</file>

<file path=customXml/itemProps41.xml><?xml version="1.0" encoding="utf-8"?>
<ds:datastoreItem xmlns:ds="http://schemas.openxmlformats.org/officeDocument/2006/customXml" ds:itemID="{55e916c0-5f51-49d1-9b34-95631aef5795}">
  <ds:schemaRefs/>
</ds:datastoreItem>
</file>

<file path=customXml/itemProps42.xml><?xml version="1.0" encoding="utf-8"?>
<ds:datastoreItem xmlns:ds="http://schemas.openxmlformats.org/officeDocument/2006/customXml" ds:itemID="{069bc823-4630-4db8-9388-5f591bf86d67}">
  <ds:schemaRefs/>
</ds:datastoreItem>
</file>

<file path=customXml/itemProps43.xml><?xml version="1.0" encoding="utf-8"?>
<ds:datastoreItem xmlns:ds="http://schemas.openxmlformats.org/officeDocument/2006/customXml" ds:itemID="{ab0bb357-25b8-4cf7-9ee7-272cffcea6f9}">
  <ds:schemaRefs/>
</ds:datastoreItem>
</file>

<file path=customXml/itemProps44.xml><?xml version="1.0" encoding="utf-8"?>
<ds:datastoreItem xmlns:ds="http://schemas.openxmlformats.org/officeDocument/2006/customXml" ds:itemID="{99d5f6ef-c736-414b-baa1-23f0c48b9535}">
  <ds:schemaRefs/>
</ds:datastoreItem>
</file>

<file path=customXml/itemProps45.xml><?xml version="1.0" encoding="utf-8"?>
<ds:datastoreItem xmlns:ds="http://schemas.openxmlformats.org/officeDocument/2006/customXml" ds:itemID="{8545ec28-f911-4581-98a0-ef37dbe94e9b}">
  <ds:schemaRefs/>
</ds:datastoreItem>
</file>

<file path=customXml/itemProps5.xml><?xml version="1.0" encoding="utf-8"?>
<ds:datastoreItem xmlns:ds="http://schemas.openxmlformats.org/officeDocument/2006/customXml" ds:itemID="{e6d96da9-7e6a-4d10-b678-fb0608c1ecdd}">
  <ds:schemaRefs/>
</ds:datastoreItem>
</file>

<file path=customXml/itemProps6.xml><?xml version="1.0" encoding="utf-8"?>
<ds:datastoreItem xmlns:ds="http://schemas.openxmlformats.org/officeDocument/2006/customXml" ds:itemID="{5ee3eb98-a8f8-44ae-a08f-001d3ee7b9e5}">
  <ds:schemaRefs/>
</ds:datastoreItem>
</file>

<file path=customXml/itemProps7.xml><?xml version="1.0" encoding="utf-8"?>
<ds:datastoreItem xmlns:ds="http://schemas.openxmlformats.org/officeDocument/2006/customXml" ds:itemID="{51b7c41f-1a32-4bd4-814d-e149e8be0cc5}">
  <ds:schemaRefs/>
</ds:datastoreItem>
</file>

<file path=customXml/itemProps8.xml><?xml version="1.0" encoding="utf-8"?>
<ds:datastoreItem xmlns:ds="http://schemas.openxmlformats.org/officeDocument/2006/customXml" ds:itemID="{307923f1-7bf5-484a-971e-832655cb8ea8}">
  <ds:schemaRefs/>
</ds:datastoreItem>
</file>

<file path=customXml/itemProps9.xml><?xml version="1.0" encoding="utf-8"?>
<ds:datastoreItem xmlns:ds="http://schemas.openxmlformats.org/officeDocument/2006/customXml" ds:itemID="{d9be6b84-1f79-4f3d-8a2f-2f9d72831903}">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2024-02-28T14:57:00Z</dcterms:created>
  <dc:creator>Administrator</dc:creator>
  <cp:lastModifiedBy>Administrator</cp:lastModifiedBy>
  <dcterms:modified xsi:type="dcterms:W3CDTF">2025-11-26T08:16:49Z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2E0D4DF882BA4C1186FD79779D9E1A44</vt:lpwstr>
  </property>
</Properties>
</file>