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一、秦皇岛北戴河新区营商环境和企业服务局本级收支预算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一、秦皇岛北戴河新区营商环境和企业服务局本级收支预算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223.17</w:t>
            </w:r>
          </w:p>
        </w:tc>
        <w:tc>
          <w:tcPr>
            <w:tcW w:w="4535" w:type="dxa"/>
            <w:vAlign w:val="center"/>
          </w:tcPr>
          <w:p>
            <w:pPr>
              <w:pStyle w:val="12"/>
            </w:pPr>
            <w:r>
              <w:t>一、一般公共服务支出</w:t>
            </w:r>
          </w:p>
        </w:tc>
        <w:tc>
          <w:tcPr>
            <w:tcW w:w="2126" w:type="dxa"/>
            <w:vAlign w:val="center"/>
          </w:tcPr>
          <w:p>
            <w:pPr>
              <w:pStyle w:val="11"/>
            </w:pPr>
            <w:r>
              <w:t>223.17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2000.00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2223.17</w:t>
            </w:r>
          </w:p>
        </w:tc>
        <w:tc>
          <w:tcPr>
            <w:tcW w:w="4535" w:type="dxa"/>
            <w:vAlign w:val="center"/>
          </w:tcPr>
          <w:p>
            <w:pPr>
              <w:pStyle w:val="14"/>
            </w:pPr>
            <w:r>
              <w:t>本年支出合计</w:t>
            </w:r>
          </w:p>
        </w:tc>
        <w:tc>
          <w:tcPr>
            <w:tcW w:w="2126" w:type="dxa"/>
            <w:vAlign w:val="center"/>
          </w:tcPr>
          <w:p>
            <w:pPr>
              <w:pStyle w:val="15"/>
            </w:pPr>
            <w:r>
              <w:t>2223.17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2223.17</w:t>
            </w:r>
          </w:p>
        </w:tc>
        <w:tc>
          <w:tcPr>
            <w:tcW w:w="4535" w:type="dxa"/>
            <w:vAlign w:val="center"/>
          </w:tcPr>
          <w:p>
            <w:pPr>
              <w:pStyle w:val="14"/>
            </w:pPr>
            <w:r>
              <w:t>支出总计</w:t>
            </w:r>
          </w:p>
        </w:tc>
        <w:tc>
          <w:tcPr>
            <w:tcW w:w="2126" w:type="dxa"/>
            <w:vAlign w:val="center"/>
          </w:tcPr>
          <w:p>
            <w:pPr>
              <w:pStyle w:val="15"/>
            </w:pPr>
            <w:r>
              <w:t>2223.17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2223.17</w:t>
            </w:r>
          </w:p>
        </w:tc>
        <w:tc>
          <w:tcPr>
            <w:tcW w:w="1134" w:type="dxa"/>
            <w:vAlign w:val="center"/>
          </w:tcPr>
          <w:p>
            <w:pPr>
              <w:pStyle w:val="15"/>
            </w:pPr>
            <w:r>
              <w:t>2223.17</w:t>
            </w:r>
          </w:p>
        </w:tc>
        <w:tc>
          <w:tcPr>
            <w:tcW w:w="1134" w:type="dxa"/>
            <w:vAlign w:val="center"/>
          </w:tcPr>
          <w:p>
            <w:pPr>
              <w:pStyle w:val="15"/>
            </w:pPr>
            <w:r>
              <w:t>2223.17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223.17</w:t>
            </w:r>
          </w:p>
        </w:tc>
        <w:tc>
          <w:tcPr>
            <w:tcW w:w="1134" w:type="dxa"/>
            <w:vAlign w:val="center"/>
          </w:tcPr>
          <w:p>
            <w:pPr>
              <w:pStyle w:val="11"/>
            </w:pPr>
            <w:r>
              <w:t>223.17</w:t>
            </w:r>
          </w:p>
        </w:tc>
        <w:tc>
          <w:tcPr>
            <w:tcW w:w="1134" w:type="dxa"/>
            <w:vAlign w:val="center"/>
          </w:tcPr>
          <w:p>
            <w:pPr>
              <w:pStyle w:val="11"/>
            </w:pPr>
            <w:r>
              <w:t>223.17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223.17</w:t>
            </w:r>
          </w:p>
        </w:tc>
        <w:tc>
          <w:tcPr>
            <w:tcW w:w="1134" w:type="dxa"/>
            <w:vAlign w:val="center"/>
          </w:tcPr>
          <w:p>
            <w:pPr>
              <w:pStyle w:val="11"/>
            </w:pPr>
            <w:r>
              <w:t>223.17</w:t>
            </w:r>
          </w:p>
        </w:tc>
        <w:tc>
          <w:tcPr>
            <w:tcW w:w="1134" w:type="dxa"/>
            <w:vAlign w:val="center"/>
          </w:tcPr>
          <w:p>
            <w:pPr>
              <w:pStyle w:val="11"/>
            </w:pPr>
            <w:r>
              <w:t>223.17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2011308</w:t>
            </w:r>
          </w:p>
        </w:tc>
        <w:tc>
          <w:tcPr>
            <w:tcW w:w="1559" w:type="dxa"/>
            <w:vAlign w:val="center"/>
          </w:tcPr>
          <w:p>
            <w:pPr>
              <w:pStyle w:val="12"/>
            </w:pPr>
            <w:r>
              <w:t>招商引资</w:t>
            </w:r>
          </w:p>
        </w:tc>
        <w:tc>
          <w:tcPr>
            <w:tcW w:w="1134" w:type="dxa"/>
            <w:vAlign w:val="center"/>
          </w:tcPr>
          <w:p>
            <w:pPr>
              <w:pStyle w:val="11"/>
            </w:pPr>
            <w:r>
              <w:t>223.17</w:t>
            </w:r>
          </w:p>
        </w:tc>
        <w:tc>
          <w:tcPr>
            <w:tcW w:w="1134" w:type="dxa"/>
            <w:vAlign w:val="center"/>
          </w:tcPr>
          <w:p>
            <w:pPr>
              <w:pStyle w:val="11"/>
            </w:pPr>
            <w:r>
              <w:t>223.17</w:t>
            </w:r>
          </w:p>
        </w:tc>
        <w:tc>
          <w:tcPr>
            <w:tcW w:w="1134" w:type="dxa"/>
            <w:vAlign w:val="center"/>
          </w:tcPr>
          <w:p>
            <w:pPr>
              <w:pStyle w:val="11"/>
            </w:pPr>
            <w:r>
              <w:t>223.17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2120803</w:t>
            </w:r>
          </w:p>
        </w:tc>
        <w:tc>
          <w:tcPr>
            <w:tcW w:w="1559" w:type="dxa"/>
            <w:vAlign w:val="center"/>
          </w:tcPr>
          <w:p>
            <w:pPr>
              <w:pStyle w:val="12"/>
            </w:pPr>
            <w:r>
              <w:t>城市建设支出</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2223.17</w:t>
            </w:r>
          </w:p>
        </w:tc>
        <w:tc>
          <w:tcPr>
            <w:tcW w:w="1361" w:type="dxa"/>
            <w:vAlign w:val="center"/>
          </w:tcPr>
          <w:p>
            <w:pPr>
              <w:pStyle w:val="15"/>
            </w:pPr>
            <w:r>
              <w:t>188.17</w:t>
            </w:r>
          </w:p>
        </w:tc>
        <w:tc>
          <w:tcPr>
            <w:tcW w:w="1361" w:type="dxa"/>
            <w:vAlign w:val="center"/>
          </w:tcPr>
          <w:p>
            <w:pPr>
              <w:pStyle w:val="15"/>
            </w:pPr>
            <w:r>
              <w:t>2035.00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223.17</w:t>
            </w:r>
          </w:p>
        </w:tc>
        <w:tc>
          <w:tcPr>
            <w:tcW w:w="1361" w:type="dxa"/>
            <w:vAlign w:val="center"/>
          </w:tcPr>
          <w:p>
            <w:pPr>
              <w:pStyle w:val="11"/>
            </w:pPr>
            <w:r>
              <w:t>188.17</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223.17</w:t>
            </w:r>
          </w:p>
        </w:tc>
        <w:tc>
          <w:tcPr>
            <w:tcW w:w="1361" w:type="dxa"/>
            <w:vAlign w:val="center"/>
          </w:tcPr>
          <w:p>
            <w:pPr>
              <w:pStyle w:val="11"/>
            </w:pPr>
            <w:r>
              <w:t>188.17</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2011308</w:t>
            </w:r>
          </w:p>
        </w:tc>
        <w:tc>
          <w:tcPr>
            <w:tcW w:w="4535" w:type="dxa"/>
            <w:vAlign w:val="center"/>
          </w:tcPr>
          <w:p>
            <w:pPr>
              <w:pStyle w:val="12"/>
            </w:pPr>
            <w:r>
              <w:t>招商引资</w:t>
            </w:r>
          </w:p>
        </w:tc>
        <w:tc>
          <w:tcPr>
            <w:tcW w:w="1361" w:type="dxa"/>
            <w:vAlign w:val="center"/>
          </w:tcPr>
          <w:p>
            <w:pPr>
              <w:pStyle w:val="11"/>
            </w:pPr>
            <w:r>
              <w:t>223.17</w:t>
            </w:r>
          </w:p>
        </w:tc>
        <w:tc>
          <w:tcPr>
            <w:tcW w:w="1361" w:type="dxa"/>
            <w:vAlign w:val="center"/>
          </w:tcPr>
          <w:p>
            <w:pPr>
              <w:pStyle w:val="11"/>
            </w:pPr>
            <w:r>
              <w:t>188.17</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2120803</w:t>
            </w:r>
          </w:p>
        </w:tc>
        <w:tc>
          <w:tcPr>
            <w:tcW w:w="4535" w:type="dxa"/>
            <w:vAlign w:val="center"/>
          </w:tcPr>
          <w:p>
            <w:pPr>
              <w:pStyle w:val="12"/>
            </w:pPr>
            <w:r>
              <w:t>城市建设支出</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223.17</w:t>
            </w:r>
          </w:p>
        </w:tc>
        <w:tc>
          <w:tcPr>
            <w:tcW w:w="3402" w:type="dxa"/>
            <w:vAlign w:val="center"/>
          </w:tcPr>
          <w:p>
            <w:pPr>
              <w:pStyle w:val="12"/>
            </w:pPr>
            <w:r>
              <w:t>一、一般公共服务支出</w:t>
            </w:r>
          </w:p>
        </w:tc>
        <w:tc>
          <w:tcPr>
            <w:tcW w:w="1474" w:type="dxa"/>
            <w:vAlign w:val="center"/>
          </w:tcPr>
          <w:p>
            <w:pPr>
              <w:pStyle w:val="11"/>
            </w:pPr>
            <w:r>
              <w:t>223.17</w:t>
            </w:r>
          </w:p>
        </w:tc>
        <w:tc>
          <w:tcPr>
            <w:tcW w:w="1474" w:type="dxa"/>
            <w:vAlign w:val="center"/>
          </w:tcPr>
          <w:p>
            <w:pPr>
              <w:pStyle w:val="11"/>
            </w:pPr>
            <w:r>
              <w:t>223.17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2000.00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2000.00</w:t>
            </w:r>
          </w:p>
        </w:tc>
        <w:tc>
          <w:tcPr>
            <w:tcW w:w="1474" w:type="dxa"/>
            <w:vAlign w:val="center"/>
          </w:tcPr>
          <w:p>
            <w:pPr>
              <w:pStyle w:val="11"/>
            </w:pPr>
          </w:p>
        </w:tc>
        <w:tc>
          <w:tcPr>
            <w:tcW w:w="1474" w:type="dxa"/>
            <w:vAlign w:val="center"/>
          </w:tcPr>
          <w:p>
            <w:pPr>
              <w:pStyle w:val="11"/>
            </w:pPr>
            <w:r>
              <w:t>2000.00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2223.17</w:t>
            </w:r>
          </w:p>
        </w:tc>
        <w:tc>
          <w:tcPr>
            <w:tcW w:w="3402" w:type="dxa"/>
            <w:vAlign w:val="center"/>
          </w:tcPr>
          <w:p>
            <w:pPr>
              <w:pStyle w:val="14"/>
            </w:pPr>
            <w:r>
              <w:t>本年支出合计</w:t>
            </w:r>
          </w:p>
        </w:tc>
        <w:tc>
          <w:tcPr>
            <w:tcW w:w="1474" w:type="dxa"/>
            <w:vAlign w:val="center"/>
          </w:tcPr>
          <w:p>
            <w:pPr>
              <w:pStyle w:val="15"/>
            </w:pPr>
            <w:r>
              <w:t>2223.17</w:t>
            </w:r>
          </w:p>
        </w:tc>
        <w:tc>
          <w:tcPr>
            <w:tcW w:w="1474" w:type="dxa"/>
            <w:vAlign w:val="center"/>
          </w:tcPr>
          <w:p>
            <w:pPr>
              <w:pStyle w:val="15"/>
            </w:pPr>
            <w:r>
              <w:t>223.17</w:t>
            </w:r>
          </w:p>
        </w:tc>
        <w:tc>
          <w:tcPr>
            <w:tcW w:w="1474" w:type="dxa"/>
            <w:vAlign w:val="center"/>
          </w:tcPr>
          <w:p>
            <w:pPr>
              <w:pStyle w:val="15"/>
            </w:pPr>
            <w:r>
              <w:t>2000.00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2223.17</w:t>
            </w:r>
          </w:p>
        </w:tc>
        <w:tc>
          <w:tcPr>
            <w:tcW w:w="3402" w:type="dxa"/>
            <w:vAlign w:val="center"/>
          </w:tcPr>
          <w:p>
            <w:pPr>
              <w:pStyle w:val="14"/>
            </w:pPr>
            <w:r>
              <w:t>支出总计</w:t>
            </w:r>
          </w:p>
        </w:tc>
        <w:tc>
          <w:tcPr>
            <w:tcW w:w="1474" w:type="dxa"/>
            <w:vAlign w:val="center"/>
          </w:tcPr>
          <w:p>
            <w:pPr>
              <w:pStyle w:val="15"/>
            </w:pPr>
            <w:r>
              <w:t>2223.17</w:t>
            </w:r>
          </w:p>
        </w:tc>
        <w:tc>
          <w:tcPr>
            <w:tcW w:w="1474" w:type="dxa"/>
            <w:vAlign w:val="center"/>
          </w:tcPr>
          <w:p>
            <w:pPr>
              <w:pStyle w:val="15"/>
            </w:pPr>
            <w:r>
              <w:t>223.17</w:t>
            </w:r>
          </w:p>
        </w:tc>
        <w:tc>
          <w:tcPr>
            <w:tcW w:w="1474" w:type="dxa"/>
            <w:vAlign w:val="center"/>
          </w:tcPr>
          <w:p>
            <w:pPr>
              <w:pStyle w:val="15"/>
            </w:pPr>
            <w:r>
              <w:t>2000.00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223.17</w:t>
            </w:r>
          </w:p>
        </w:tc>
        <w:tc>
          <w:tcPr>
            <w:tcW w:w="2551" w:type="dxa"/>
            <w:vAlign w:val="center"/>
          </w:tcPr>
          <w:p>
            <w:pPr>
              <w:pStyle w:val="15"/>
            </w:pPr>
            <w:r>
              <w:t>188.17</w:t>
            </w:r>
          </w:p>
        </w:tc>
        <w:tc>
          <w:tcPr>
            <w:tcW w:w="2551" w:type="dxa"/>
            <w:vAlign w:val="center"/>
          </w:tcPr>
          <w:p>
            <w:pPr>
              <w:pStyle w:val="15"/>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223.17</w:t>
            </w:r>
          </w:p>
        </w:tc>
        <w:tc>
          <w:tcPr>
            <w:tcW w:w="2551" w:type="dxa"/>
            <w:vAlign w:val="center"/>
          </w:tcPr>
          <w:p>
            <w:pPr>
              <w:pStyle w:val="11"/>
            </w:pPr>
            <w:r>
              <w:t>188.17</w:t>
            </w:r>
          </w:p>
        </w:tc>
        <w:tc>
          <w:tcPr>
            <w:tcW w:w="2551" w:type="dxa"/>
            <w:vAlign w:val="center"/>
          </w:tcPr>
          <w:p>
            <w:pPr>
              <w:pStyle w:val="11"/>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223.17</w:t>
            </w:r>
          </w:p>
        </w:tc>
        <w:tc>
          <w:tcPr>
            <w:tcW w:w="2551" w:type="dxa"/>
            <w:vAlign w:val="center"/>
          </w:tcPr>
          <w:p>
            <w:pPr>
              <w:pStyle w:val="11"/>
            </w:pPr>
            <w:r>
              <w:t>188.17</w:t>
            </w:r>
          </w:p>
        </w:tc>
        <w:tc>
          <w:tcPr>
            <w:tcW w:w="2551" w:type="dxa"/>
            <w:vAlign w:val="center"/>
          </w:tcPr>
          <w:p>
            <w:pPr>
              <w:pStyle w:val="11"/>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2011308</w:t>
            </w:r>
          </w:p>
        </w:tc>
        <w:tc>
          <w:tcPr>
            <w:tcW w:w="4535" w:type="dxa"/>
            <w:vAlign w:val="center"/>
          </w:tcPr>
          <w:p>
            <w:pPr>
              <w:pStyle w:val="12"/>
            </w:pPr>
            <w:r>
              <w:t>招商引资</w:t>
            </w:r>
          </w:p>
        </w:tc>
        <w:tc>
          <w:tcPr>
            <w:tcW w:w="2551" w:type="dxa"/>
            <w:vAlign w:val="center"/>
          </w:tcPr>
          <w:p>
            <w:pPr>
              <w:pStyle w:val="11"/>
            </w:pPr>
            <w:r>
              <w:t>223.17</w:t>
            </w:r>
          </w:p>
        </w:tc>
        <w:tc>
          <w:tcPr>
            <w:tcW w:w="2551" w:type="dxa"/>
            <w:vAlign w:val="center"/>
          </w:tcPr>
          <w:p>
            <w:pPr>
              <w:pStyle w:val="11"/>
            </w:pPr>
            <w:r>
              <w:t>188.17</w:t>
            </w:r>
          </w:p>
        </w:tc>
        <w:tc>
          <w:tcPr>
            <w:tcW w:w="2551" w:type="dxa"/>
            <w:vAlign w:val="center"/>
          </w:tcPr>
          <w:p>
            <w:pPr>
              <w:pStyle w:val="11"/>
            </w:pPr>
            <w:r>
              <w:t>35.00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188.17</w:t>
            </w:r>
          </w:p>
        </w:tc>
        <w:tc>
          <w:tcPr>
            <w:tcW w:w="2551" w:type="dxa"/>
            <w:vAlign w:val="center"/>
          </w:tcPr>
          <w:p>
            <w:pPr>
              <w:pStyle w:val="15"/>
            </w:pPr>
            <w:r>
              <w:t>174.16</w:t>
            </w:r>
          </w:p>
        </w:tc>
        <w:tc>
          <w:tcPr>
            <w:tcW w:w="2551" w:type="dxa"/>
            <w:vAlign w:val="center"/>
          </w:tcPr>
          <w:p>
            <w:pPr>
              <w:pStyle w:val="15"/>
            </w:pPr>
            <w:r>
              <w:t>14.01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174.16</w:t>
            </w:r>
          </w:p>
        </w:tc>
        <w:tc>
          <w:tcPr>
            <w:tcW w:w="2551" w:type="dxa"/>
            <w:vAlign w:val="center"/>
          </w:tcPr>
          <w:p>
            <w:pPr>
              <w:pStyle w:val="11"/>
            </w:pPr>
            <w:r>
              <w:t>174.16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63.56</w:t>
            </w:r>
          </w:p>
        </w:tc>
        <w:tc>
          <w:tcPr>
            <w:tcW w:w="2551" w:type="dxa"/>
            <w:vAlign w:val="center"/>
          </w:tcPr>
          <w:p>
            <w:pPr>
              <w:pStyle w:val="11"/>
            </w:pPr>
            <w:r>
              <w:t>63.56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6.96</w:t>
            </w:r>
          </w:p>
        </w:tc>
        <w:tc>
          <w:tcPr>
            <w:tcW w:w="2551" w:type="dxa"/>
            <w:vAlign w:val="center"/>
          </w:tcPr>
          <w:p>
            <w:pPr>
              <w:pStyle w:val="11"/>
            </w:pPr>
            <w:r>
              <w:t>6.96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56.90</w:t>
            </w:r>
          </w:p>
        </w:tc>
        <w:tc>
          <w:tcPr>
            <w:tcW w:w="2551" w:type="dxa"/>
            <w:vAlign w:val="center"/>
          </w:tcPr>
          <w:p>
            <w:pPr>
              <w:pStyle w:val="11"/>
            </w:pPr>
            <w:r>
              <w:t>56.90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17.19</w:t>
            </w:r>
          </w:p>
        </w:tc>
        <w:tc>
          <w:tcPr>
            <w:tcW w:w="2551" w:type="dxa"/>
            <w:vAlign w:val="center"/>
          </w:tcPr>
          <w:p>
            <w:pPr>
              <w:pStyle w:val="11"/>
            </w:pPr>
            <w:r>
              <w:t>17.19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7.12</w:t>
            </w:r>
          </w:p>
        </w:tc>
        <w:tc>
          <w:tcPr>
            <w:tcW w:w="2551" w:type="dxa"/>
            <w:vAlign w:val="center"/>
          </w:tcPr>
          <w:p>
            <w:pPr>
              <w:pStyle w:val="11"/>
            </w:pPr>
            <w:r>
              <w:t>7.12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6.89</w:t>
            </w:r>
          </w:p>
        </w:tc>
        <w:tc>
          <w:tcPr>
            <w:tcW w:w="2551" w:type="dxa"/>
            <w:vAlign w:val="center"/>
          </w:tcPr>
          <w:p>
            <w:pPr>
              <w:pStyle w:val="11"/>
            </w:pPr>
            <w:r>
              <w:t>6.89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1.08</w:t>
            </w:r>
          </w:p>
        </w:tc>
        <w:tc>
          <w:tcPr>
            <w:tcW w:w="2551" w:type="dxa"/>
            <w:vAlign w:val="center"/>
          </w:tcPr>
          <w:p>
            <w:pPr>
              <w:pStyle w:val="11"/>
            </w:pPr>
            <w:r>
              <w:t>1.08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14.46</w:t>
            </w:r>
          </w:p>
        </w:tc>
        <w:tc>
          <w:tcPr>
            <w:tcW w:w="2551" w:type="dxa"/>
            <w:vAlign w:val="center"/>
          </w:tcPr>
          <w:p>
            <w:pPr>
              <w:pStyle w:val="11"/>
            </w:pPr>
            <w:r>
              <w:t>14.46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13.49</w:t>
            </w:r>
          </w:p>
        </w:tc>
        <w:tc>
          <w:tcPr>
            <w:tcW w:w="2551" w:type="dxa"/>
            <w:vAlign w:val="center"/>
          </w:tcPr>
          <w:p>
            <w:pPr>
              <w:pStyle w:val="11"/>
            </w:pPr>
          </w:p>
        </w:tc>
        <w:tc>
          <w:tcPr>
            <w:tcW w:w="2551" w:type="dxa"/>
            <w:vAlign w:val="center"/>
          </w:tcPr>
          <w:p>
            <w:pPr>
              <w:pStyle w:val="11"/>
            </w:pPr>
            <w:r>
              <w:t>13.49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3.77</w:t>
            </w:r>
          </w:p>
        </w:tc>
        <w:tc>
          <w:tcPr>
            <w:tcW w:w="2551" w:type="dxa"/>
            <w:vAlign w:val="center"/>
          </w:tcPr>
          <w:p>
            <w:pPr>
              <w:pStyle w:val="11"/>
            </w:pPr>
          </w:p>
        </w:tc>
        <w:tc>
          <w:tcPr>
            <w:tcW w:w="2551" w:type="dxa"/>
            <w:vAlign w:val="center"/>
          </w:tcPr>
          <w:p>
            <w:pPr>
              <w:pStyle w:val="11"/>
            </w:pPr>
            <w:r>
              <w:t>3.77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0.52</w:t>
            </w:r>
          </w:p>
        </w:tc>
        <w:tc>
          <w:tcPr>
            <w:tcW w:w="2551" w:type="dxa"/>
            <w:vAlign w:val="center"/>
          </w:tcPr>
          <w:p>
            <w:pPr>
              <w:pStyle w:val="11"/>
            </w:pPr>
          </w:p>
        </w:tc>
        <w:tc>
          <w:tcPr>
            <w:tcW w:w="2551" w:type="dxa"/>
            <w:vAlign w:val="center"/>
          </w:tcPr>
          <w:p>
            <w:pPr>
              <w:pStyle w:val="11"/>
            </w:pPr>
            <w:r>
              <w:t>0.52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2.08</w:t>
            </w:r>
          </w:p>
        </w:tc>
        <w:tc>
          <w:tcPr>
            <w:tcW w:w="2551" w:type="dxa"/>
            <w:vAlign w:val="center"/>
          </w:tcPr>
          <w:p>
            <w:pPr>
              <w:pStyle w:val="11"/>
            </w:pPr>
          </w:p>
        </w:tc>
        <w:tc>
          <w:tcPr>
            <w:tcW w:w="2551" w:type="dxa"/>
            <w:vAlign w:val="center"/>
          </w:tcPr>
          <w:p>
            <w:pPr>
              <w:pStyle w:val="11"/>
            </w:pPr>
            <w:r>
              <w:t>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1.42</w:t>
            </w:r>
          </w:p>
        </w:tc>
        <w:tc>
          <w:tcPr>
            <w:tcW w:w="2551" w:type="dxa"/>
            <w:vAlign w:val="center"/>
          </w:tcPr>
          <w:p>
            <w:pPr>
              <w:pStyle w:val="11"/>
            </w:pPr>
          </w:p>
        </w:tc>
        <w:tc>
          <w:tcPr>
            <w:tcW w:w="2551" w:type="dxa"/>
            <w:vAlign w:val="center"/>
          </w:tcPr>
          <w:p>
            <w:pPr>
              <w:pStyle w:val="11"/>
            </w:pPr>
            <w:r>
              <w:t>1.42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0.17</w:t>
            </w:r>
          </w:p>
        </w:tc>
        <w:tc>
          <w:tcPr>
            <w:tcW w:w="2551" w:type="dxa"/>
            <w:vAlign w:val="center"/>
          </w:tcPr>
          <w:p>
            <w:pPr>
              <w:pStyle w:val="11"/>
            </w:pPr>
          </w:p>
        </w:tc>
        <w:tc>
          <w:tcPr>
            <w:tcW w:w="2551" w:type="dxa"/>
            <w:vAlign w:val="center"/>
          </w:tcPr>
          <w:p>
            <w:pPr>
              <w:pStyle w:val="11"/>
            </w:pPr>
            <w:r>
              <w:t>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1.90</w:t>
            </w:r>
          </w:p>
        </w:tc>
        <w:tc>
          <w:tcPr>
            <w:tcW w:w="2551" w:type="dxa"/>
            <w:vAlign w:val="center"/>
          </w:tcPr>
          <w:p>
            <w:pPr>
              <w:pStyle w:val="11"/>
            </w:pPr>
          </w:p>
        </w:tc>
        <w:tc>
          <w:tcPr>
            <w:tcW w:w="2551" w:type="dxa"/>
            <w:vAlign w:val="center"/>
          </w:tcPr>
          <w:p>
            <w:pPr>
              <w:pStyle w:val="11"/>
            </w:pPr>
            <w:r>
              <w:t>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1.24</w:t>
            </w:r>
          </w:p>
        </w:tc>
        <w:tc>
          <w:tcPr>
            <w:tcW w:w="2551" w:type="dxa"/>
            <w:vAlign w:val="center"/>
          </w:tcPr>
          <w:p>
            <w:pPr>
              <w:pStyle w:val="11"/>
            </w:pPr>
          </w:p>
        </w:tc>
        <w:tc>
          <w:tcPr>
            <w:tcW w:w="2551" w:type="dxa"/>
            <w:vAlign w:val="center"/>
          </w:tcPr>
          <w:p>
            <w:pPr>
              <w:pStyle w:val="11"/>
            </w:pPr>
            <w:r>
              <w:t>1.24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0.52</w:t>
            </w:r>
          </w:p>
        </w:tc>
        <w:tc>
          <w:tcPr>
            <w:tcW w:w="2551" w:type="dxa"/>
            <w:vAlign w:val="center"/>
          </w:tcPr>
          <w:p>
            <w:pPr>
              <w:pStyle w:val="11"/>
            </w:pPr>
          </w:p>
        </w:tc>
        <w:tc>
          <w:tcPr>
            <w:tcW w:w="2551" w:type="dxa"/>
            <w:vAlign w:val="center"/>
          </w:tcPr>
          <w:p>
            <w:pPr>
              <w:pStyle w:val="11"/>
            </w:pPr>
            <w:r>
              <w:t>0.52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0.52</w:t>
            </w:r>
          </w:p>
        </w:tc>
        <w:tc>
          <w:tcPr>
            <w:tcW w:w="2551" w:type="dxa"/>
            <w:vAlign w:val="center"/>
          </w:tcPr>
          <w:p>
            <w:pPr>
              <w:pStyle w:val="11"/>
            </w:pPr>
          </w:p>
        </w:tc>
        <w:tc>
          <w:tcPr>
            <w:tcW w:w="2551" w:type="dxa"/>
            <w:vAlign w:val="center"/>
          </w:tcPr>
          <w:p>
            <w:pPr>
              <w:pStyle w:val="11"/>
            </w:pPr>
            <w:r>
              <w:t>0.52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2000.00</w:t>
            </w:r>
          </w:p>
        </w:tc>
        <w:tc>
          <w:tcPr>
            <w:tcW w:w="2551" w:type="dxa"/>
            <w:vAlign w:val="center"/>
          </w:tcPr>
          <w:p>
            <w:pPr>
              <w:pStyle w:val="15"/>
            </w:pPr>
          </w:p>
        </w:tc>
        <w:tc>
          <w:tcPr>
            <w:tcW w:w="2551" w:type="dxa"/>
            <w:vAlign w:val="center"/>
          </w:tcPr>
          <w:p>
            <w:pPr>
              <w:pStyle w:val="15"/>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2120803</w:t>
            </w:r>
          </w:p>
        </w:tc>
        <w:tc>
          <w:tcPr>
            <w:tcW w:w="4535" w:type="dxa"/>
            <w:vAlign w:val="center"/>
          </w:tcPr>
          <w:p>
            <w:pPr>
              <w:pStyle w:val="12"/>
            </w:pPr>
            <w:r>
              <w:t>城市建设支出</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0.17</w:t>
            </w:r>
          </w:p>
        </w:tc>
        <w:tc>
          <w:tcPr>
            <w:tcW w:w="2381" w:type="dxa"/>
            <w:vAlign w:val="center"/>
          </w:tcPr>
          <w:p>
            <w:pPr>
              <w:pStyle w:val="15"/>
            </w:pPr>
            <w:r>
              <w:t>0.17</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0.17</w:t>
            </w:r>
          </w:p>
        </w:tc>
        <w:tc>
          <w:tcPr>
            <w:tcW w:w="2381" w:type="dxa"/>
            <w:vAlign w:val="center"/>
          </w:tcPr>
          <w:p>
            <w:pPr>
              <w:pStyle w:val="11"/>
            </w:pPr>
            <w:r>
              <w:t>0.17</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0.17</w:t>
            </w:r>
          </w:p>
        </w:tc>
        <w:tc>
          <w:tcPr>
            <w:tcW w:w="2381" w:type="dxa"/>
            <w:vAlign w:val="center"/>
          </w:tcPr>
          <w:p>
            <w:pPr>
              <w:pStyle w:val="11"/>
            </w:pPr>
            <w:r>
              <w:t>0.17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秦皇岛北戴河新区营商环境和企业服务局本级2025年单位预算信息公开情况说明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按照《中华人民共和国预算法》、《地方预决算公开操作规程》和《关于进一步推进预算公开工作的实施意见》规定，现将秦皇岛北戴河新区营商环境和企业服务局本级2025年单位预算公开如下：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营商环境和企业服务局主要工作职能：贯彻执行和督促推动国家、省、市优化营商环境建设的法律法规、规章和相关政策的落实。开展营商环境建设研究，组织拟订营商环境建设规划、政策措施及年度计划。承担优化营商环境领导小组办公室职责，组织推进相关政策、措施落实，推进新区营商环境市场化、法制化、国际化一流体系建设。对各部门营商环境建设工作开展评价考核。组织开展损害营商环境突出问题专项调查。针对重点产业项目在投资协议签订后，会同项目分包单位采取领办、代办方式，为项目提供全程式、保姆式、管家式服务；协调解决项目建设中的问题和困难，贯彻执行重点项目建设政策法规，研究提出重点项目服务制度，协调机制等。</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秦皇岛北戴河新区营商环境和企业服务局本级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2223.17万元，其中：一般公共预算收入223.17万元，基金预算收入2000.00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营商环境和企业服务局本级年度单位预算中支出预算的总体情况。2025年支出预算2223.17万元，其中基本支出188.17万元，包括人员经费174.16万元和日常公用经费14.01万元；项目支出2035.00万元，主要为营商环境运营经费和产业新城运行开发建设运营资金</w:t>
      </w:r>
    </w:p>
    <w:p>
      <w:pPr>
        <w:pStyle w:val="18"/>
      </w:pPr>
      <w:r>
        <w:t>3、比上年增减情况</w:t>
      </w:r>
    </w:p>
    <w:p>
      <w:pPr>
        <w:pStyle w:val="18"/>
      </w:pPr>
      <w:r>
        <w:t>2025年预算收支安排2223.17万元，较2024年预算增加53.16万元，其中：基本支出增加58.16万元，主要为新增人员经费</w:t>
      </w:r>
      <w:r>
        <w:rPr>
          <w:rFonts w:hint="eastAsia"/>
          <w:lang w:eastAsia="zh-CN"/>
        </w:rPr>
        <w:t>。</w:t>
      </w:r>
      <w:r>
        <w:t>项目支出减少5.00万元，主要为年度预算减少，压缩预算，节约开支。</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2025年，我单位机关运行经费共计安排14.01万元，主要用于日常维修、办公用房水电费、办公用房取暖费、办公用房物业管理费等日常运行支出。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0.17万元，其中因公出国（境）费0.00万元；公务用车购置及运维费0.00万元（其中：公务用车购置费为0.00万元，公务用车运维费0.00万元)；公务接待费0.17万元。与2024年相比增加0.03万元，增减变化的主要原因是</w:t>
      </w:r>
      <w:r>
        <w:rPr>
          <w:rFonts w:hint="eastAsia"/>
          <w:lang w:val="en-US" w:eastAsia="zh-CN"/>
        </w:rPr>
        <w:t>2025年人员增加，</w:t>
      </w:r>
      <w:bookmarkStart w:id="1" w:name="_GoBack"/>
      <w:bookmarkEnd w:id="1"/>
      <w:r>
        <w:rPr>
          <w:rFonts w:hint="eastAsia"/>
          <w:lang w:val="en-US" w:eastAsia="zh-CN"/>
        </w:rPr>
        <w:t>经费增加</w:t>
      </w:r>
      <w: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1、营商环境和企业服务工作经费绩效目标表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13031325P00880510467Y</w:t>
            </w:r>
          </w:p>
        </w:tc>
        <w:tc>
          <w:tcPr>
            <w:tcW w:w="2835" w:type="dxa"/>
            <w:vAlign w:val="center"/>
          </w:tcPr>
          <w:p>
            <w:pPr>
              <w:pStyle w:val="10"/>
            </w:pPr>
            <w:r>
              <w:t>项目名称</w:t>
            </w:r>
          </w:p>
        </w:tc>
        <w:tc>
          <w:tcPr>
            <w:tcW w:w="6095" w:type="dxa"/>
            <w:gridSpan w:val="3"/>
            <w:vAlign w:val="center"/>
          </w:tcPr>
          <w:p>
            <w:pPr>
              <w:pStyle w:val="12"/>
            </w:pPr>
            <w:r>
              <w:t>营商环境和企业服务工作经费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根据方案营商环境和企业服务局落实执行，营商环境建设、招商引资、项目落地、政策落实、企业服务等相关职能并开展具体工作。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1.多层面多渠道招大引强；强化项目要素保障；保障营商环境推广工作提质增效。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服务企业数量</w:t>
            </w:r>
          </w:p>
        </w:tc>
        <w:tc>
          <w:tcPr>
            <w:tcW w:w="5386" w:type="dxa"/>
            <w:vAlign w:val="center"/>
          </w:tcPr>
          <w:p>
            <w:pPr>
              <w:pStyle w:val="12"/>
            </w:pPr>
            <w:r>
              <w:t>根据部门职责和招商引资情况，需要服务企业的数量</w:t>
            </w:r>
          </w:p>
        </w:tc>
        <w:tc>
          <w:tcPr>
            <w:tcW w:w="2268" w:type="dxa"/>
            <w:vAlign w:val="center"/>
          </w:tcPr>
          <w:p>
            <w:pPr>
              <w:pStyle w:val="12"/>
            </w:pPr>
            <w:r>
              <w:t>≥10个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系统安全运行天数</w:t>
            </w:r>
          </w:p>
          <w:p>
            <w:pPr>
              <w:pStyle w:val="12"/>
            </w:pPr>
          </w:p>
        </w:tc>
        <w:tc>
          <w:tcPr>
            <w:tcW w:w="5386" w:type="dxa"/>
            <w:vAlign w:val="center"/>
          </w:tcPr>
          <w:p>
            <w:pPr>
              <w:pStyle w:val="12"/>
            </w:pPr>
            <w:r>
              <w:t>办公等设备正常运行，无故障的天数</w:t>
            </w:r>
          </w:p>
        </w:tc>
        <w:tc>
          <w:tcPr>
            <w:tcW w:w="2268" w:type="dxa"/>
            <w:vAlign w:val="center"/>
          </w:tcPr>
          <w:p>
            <w:pPr>
              <w:pStyle w:val="12"/>
            </w:pPr>
            <w:r>
              <w:t>≥360天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系统故障率</w:t>
            </w:r>
          </w:p>
        </w:tc>
        <w:tc>
          <w:tcPr>
            <w:tcW w:w="5386" w:type="dxa"/>
            <w:vAlign w:val="center"/>
          </w:tcPr>
          <w:p>
            <w:pPr>
              <w:pStyle w:val="12"/>
            </w:pPr>
            <w:r>
              <w:t>因系统故障影响不能办理业务的天数比率</w:t>
            </w:r>
          </w:p>
        </w:tc>
        <w:tc>
          <w:tcPr>
            <w:tcW w:w="2268" w:type="dxa"/>
            <w:vAlign w:val="center"/>
          </w:tcPr>
          <w:p>
            <w:pPr>
              <w:pStyle w:val="12"/>
            </w:pPr>
            <w:r>
              <w:t>≤1%</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完成工作及时率</w:t>
            </w:r>
          </w:p>
        </w:tc>
        <w:tc>
          <w:tcPr>
            <w:tcW w:w="5386" w:type="dxa"/>
            <w:vAlign w:val="center"/>
          </w:tcPr>
          <w:p>
            <w:pPr>
              <w:pStyle w:val="12"/>
            </w:pPr>
            <w:r>
              <w:t>反映各项工作完成及时率</w:t>
            </w:r>
          </w:p>
        </w:tc>
        <w:tc>
          <w:tcPr>
            <w:tcW w:w="2268" w:type="dxa"/>
            <w:vAlign w:val="center"/>
          </w:tcPr>
          <w:p>
            <w:pPr>
              <w:pStyle w:val="12"/>
            </w:pPr>
            <w:r>
              <w:t>≥96%</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公文收发情况</w:t>
            </w:r>
          </w:p>
        </w:tc>
        <w:tc>
          <w:tcPr>
            <w:tcW w:w="5386" w:type="dxa"/>
            <w:vAlign w:val="center"/>
          </w:tcPr>
          <w:p>
            <w:pPr>
              <w:pStyle w:val="12"/>
            </w:pPr>
            <w:r>
              <w:t>反映部门接收公文比率</w:t>
            </w:r>
          </w:p>
        </w:tc>
        <w:tc>
          <w:tcPr>
            <w:tcW w:w="2268" w:type="dxa"/>
            <w:vAlign w:val="center"/>
          </w:tcPr>
          <w:p>
            <w:pPr>
              <w:pStyle w:val="12"/>
            </w:pPr>
            <w:r>
              <w:t>≥96%</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成本控制预算数</w:t>
            </w:r>
          </w:p>
        </w:tc>
        <w:tc>
          <w:tcPr>
            <w:tcW w:w="5386" w:type="dxa"/>
            <w:vAlign w:val="center"/>
          </w:tcPr>
          <w:p>
            <w:pPr>
              <w:pStyle w:val="12"/>
            </w:pPr>
            <w:r>
              <w:t>实际支出金额小于预算控制数</w:t>
            </w:r>
          </w:p>
        </w:tc>
        <w:tc>
          <w:tcPr>
            <w:tcW w:w="2268" w:type="dxa"/>
            <w:vAlign w:val="center"/>
          </w:tcPr>
          <w:p>
            <w:pPr>
              <w:pStyle w:val="12"/>
            </w:pPr>
            <w:r>
              <w:t>≤35万</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营商环境持续优化</w:t>
            </w:r>
          </w:p>
        </w:tc>
        <w:tc>
          <w:tcPr>
            <w:tcW w:w="5386" w:type="dxa"/>
            <w:vAlign w:val="center"/>
          </w:tcPr>
          <w:p>
            <w:pPr>
              <w:pStyle w:val="12"/>
            </w:pPr>
            <w:r>
              <w:t>营商环境逐年提升</w:t>
            </w:r>
          </w:p>
        </w:tc>
        <w:tc>
          <w:tcPr>
            <w:tcW w:w="2268" w:type="dxa"/>
            <w:vAlign w:val="center"/>
          </w:tcPr>
          <w:p>
            <w:pPr>
              <w:pStyle w:val="12"/>
            </w:pPr>
            <w:r>
              <w:t>显著提升</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提升经济水平</w:t>
            </w:r>
          </w:p>
        </w:tc>
        <w:tc>
          <w:tcPr>
            <w:tcW w:w="5386" w:type="dxa"/>
            <w:vAlign w:val="center"/>
          </w:tcPr>
          <w:p>
            <w:pPr>
              <w:pStyle w:val="12"/>
            </w:pPr>
            <w:r>
              <w:t>通过招商引资，促进项目落地，带动经济水平</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提升人居环境</w:t>
            </w:r>
          </w:p>
        </w:tc>
        <w:tc>
          <w:tcPr>
            <w:tcW w:w="5386" w:type="dxa"/>
            <w:vAlign w:val="center"/>
          </w:tcPr>
          <w:p>
            <w:pPr>
              <w:pStyle w:val="12"/>
            </w:pPr>
            <w:r>
              <w:t>基础设施配套，人居环境得到提升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综合满意度</w:t>
            </w:r>
          </w:p>
        </w:tc>
        <w:tc>
          <w:tcPr>
            <w:tcW w:w="5386" w:type="dxa"/>
            <w:vAlign w:val="center"/>
          </w:tcPr>
          <w:p>
            <w:pPr>
              <w:pStyle w:val="12"/>
            </w:pPr>
            <w:r>
              <w:t>被调查单位或群体对本单位工作的满意程度</w:t>
            </w:r>
          </w:p>
        </w:tc>
        <w:tc>
          <w:tcPr>
            <w:tcW w:w="2268" w:type="dxa"/>
            <w:vAlign w:val="center"/>
          </w:tcPr>
          <w:p>
            <w:pPr>
              <w:pStyle w:val="12"/>
            </w:pPr>
            <w:r>
              <w:t>≥90%</w:t>
            </w:r>
          </w:p>
        </w:tc>
        <w:tc>
          <w:tcPr>
            <w:tcW w:w="1276" w:type="dxa"/>
            <w:vAlign w:val="center"/>
          </w:tcPr>
          <w:p>
            <w:pPr>
              <w:pStyle w:val="12"/>
            </w:pPr>
            <w:r>
              <w:t>部门职责和工作计划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2、产业新城开发建设运营资金绩效目标表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13031325P00880410307Q</w:t>
            </w:r>
          </w:p>
        </w:tc>
        <w:tc>
          <w:tcPr>
            <w:tcW w:w="2835" w:type="dxa"/>
            <w:vAlign w:val="center"/>
          </w:tcPr>
          <w:p>
            <w:pPr>
              <w:pStyle w:val="10"/>
            </w:pPr>
            <w:r>
              <w:t>项目名称</w:t>
            </w:r>
          </w:p>
        </w:tc>
        <w:tc>
          <w:tcPr>
            <w:tcW w:w="6095" w:type="dxa"/>
            <w:gridSpan w:val="3"/>
            <w:vAlign w:val="center"/>
          </w:tcPr>
          <w:p>
            <w:pPr>
              <w:pStyle w:val="12"/>
            </w:pPr>
            <w:r>
              <w:t>产业新城开发建设运营资金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由社会资本方负责开展基础设施建设、运营、维护，公共设施建设，土地整理投资，产业发展服务及其他咨询服务；</w:t>
            </w:r>
          </w:p>
          <w:p>
            <w:pPr>
              <w:pStyle w:val="12"/>
            </w:pPr>
            <w:r>
              <w:t>推进合作区域内规划编制调整、收储征用土地补偿、建设工程项目实施；</w:t>
            </w:r>
          </w:p>
          <w:p>
            <w:pPr>
              <w:pStyle w:val="12"/>
            </w:pPr>
            <w:r>
              <w:t>完善中心片区路网建设，水电暖等配套设施建设，环境改造提升，提升产业新城城市和产业形象。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1.改善生态环境，完善城市功能，提高人民幸福生活指数</w:t>
            </w:r>
          </w:p>
          <w:p>
            <w:pPr>
              <w:pStyle w:val="12"/>
            </w:pPr>
            <w:r>
              <w:t>2.完善城市公共基础设施配套，保障城市良好运转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≥2个</w:t>
            </w:r>
          </w:p>
        </w:tc>
        <w:tc>
          <w:tcPr>
            <w:tcW w:w="1276" w:type="dxa"/>
            <w:vAlign w:val="center"/>
          </w:tcPr>
          <w:p>
            <w:pPr>
              <w:pStyle w:val="12"/>
            </w:pPr>
            <w:r>
              <w:t>实际数量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公建设施服务人数</w:t>
            </w:r>
          </w:p>
        </w:tc>
        <w:tc>
          <w:tcPr>
            <w:tcW w:w="5386" w:type="dxa"/>
            <w:vAlign w:val="center"/>
          </w:tcPr>
          <w:p>
            <w:pPr>
              <w:pStyle w:val="12"/>
            </w:pPr>
            <w:r>
              <w:t>现有公共设施建筑服务群众人次</w:t>
            </w:r>
          </w:p>
        </w:tc>
        <w:tc>
          <w:tcPr>
            <w:tcW w:w="2268" w:type="dxa"/>
            <w:vAlign w:val="center"/>
          </w:tcPr>
          <w:p>
            <w:pPr>
              <w:pStyle w:val="12"/>
            </w:pPr>
            <w:r>
              <w:t>≥2000人次</w:t>
            </w:r>
          </w:p>
        </w:tc>
        <w:tc>
          <w:tcPr>
            <w:tcW w:w="1276" w:type="dxa"/>
            <w:vAlign w:val="center"/>
          </w:tcPr>
          <w:p>
            <w:pPr>
              <w:pStyle w:val="12"/>
            </w:pPr>
            <w:r>
              <w:t>实际人次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项目（工程）验收合格率</w:t>
            </w:r>
          </w:p>
        </w:tc>
        <w:tc>
          <w:tcPr>
            <w:tcW w:w="5386" w:type="dxa"/>
            <w:vAlign w:val="center"/>
          </w:tcPr>
          <w:p>
            <w:pPr>
              <w:pStyle w:val="12"/>
            </w:pPr>
            <w:r>
              <w:t>项目（工程）验收合格率</w:t>
            </w:r>
          </w:p>
        </w:tc>
        <w:tc>
          <w:tcPr>
            <w:tcW w:w="2268" w:type="dxa"/>
            <w:vAlign w:val="center"/>
          </w:tcPr>
          <w:p>
            <w:pPr>
              <w:pStyle w:val="12"/>
            </w:pPr>
            <w:r>
              <w:t>≥100%</w:t>
            </w:r>
          </w:p>
        </w:tc>
        <w:tc>
          <w:tcPr>
            <w:tcW w:w="1276" w:type="dxa"/>
            <w:vAlign w:val="center"/>
          </w:tcPr>
          <w:p>
            <w:pPr>
              <w:pStyle w:val="12"/>
            </w:pPr>
            <w:r>
              <w:t>实际比例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项目（工程）完成及时率</w:t>
            </w:r>
          </w:p>
        </w:tc>
        <w:tc>
          <w:tcPr>
            <w:tcW w:w="5386" w:type="dxa"/>
            <w:vAlign w:val="center"/>
          </w:tcPr>
          <w:p>
            <w:pPr>
              <w:pStyle w:val="12"/>
            </w:pPr>
            <w:r>
              <w:t>项目（工程）完成及时率</w:t>
            </w:r>
          </w:p>
        </w:tc>
        <w:tc>
          <w:tcPr>
            <w:tcW w:w="2268" w:type="dxa"/>
            <w:vAlign w:val="center"/>
          </w:tcPr>
          <w:p>
            <w:pPr>
              <w:pStyle w:val="12"/>
            </w:pPr>
            <w:r>
              <w:t>≥90%</w:t>
            </w:r>
          </w:p>
        </w:tc>
        <w:tc>
          <w:tcPr>
            <w:tcW w:w="1276" w:type="dxa"/>
            <w:vAlign w:val="center"/>
          </w:tcPr>
          <w:p>
            <w:pPr>
              <w:pStyle w:val="12"/>
            </w:pPr>
            <w:r>
              <w:t>实际比例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受益人数</w:t>
            </w:r>
          </w:p>
        </w:tc>
        <w:tc>
          <w:tcPr>
            <w:tcW w:w="5386" w:type="dxa"/>
            <w:vAlign w:val="center"/>
          </w:tcPr>
          <w:p>
            <w:pPr>
              <w:pStyle w:val="12"/>
            </w:pPr>
            <w:r>
              <w:t>受益人数</w:t>
            </w:r>
          </w:p>
        </w:tc>
        <w:tc>
          <w:tcPr>
            <w:tcW w:w="2268" w:type="dxa"/>
            <w:vAlign w:val="center"/>
          </w:tcPr>
          <w:p>
            <w:pPr>
              <w:pStyle w:val="12"/>
            </w:pPr>
            <w:r>
              <w:t>≥3000人次</w:t>
            </w:r>
          </w:p>
        </w:tc>
        <w:tc>
          <w:tcPr>
            <w:tcW w:w="1276" w:type="dxa"/>
            <w:vAlign w:val="center"/>
          </w:tcPr>
          <w:p>
            <w:pPr>
              <w:pStyle w:val="12"/>
            </w:pPr>
            <w:r>
              <w:t>实际人次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域内新增税收</w:t>
            </w:r>
          </w:p>
        </w:tc>
        <w:tc>
          <w:tcPr>
            <w:tcW w:w="5386" w:type="dxa"/>
            <w:vAlign w:val="center"/>
          </w:tcPr>
          <w:p>
            <w:pPr>
              <w:pStyle w:val="12"/>
            </w:pPr>
            <w:r>
              <w:t>企业缴纳的税款</w:t>
            </w:r>
          </w:p>
        </w:tc>
        <w:tc>
          <w:tcPr>
            <w:tcW w:w="2268" w:type="dxa"/>
            <w:vAlign w:val="center"/>
          </w:tcPr>
          <w:p>
            <w:pPr>
              <w:pStyle w:val="12"/>
            </w:pPr>
            <w:r>
              <w:t>≥200万元</w:t>
            </w:r>
          </w:p>
        </w:tc>
        <w:tc>
          <w:tcPr>
            <w:tcW w:w="1276" w:type="dxa"/>
            <w:vAlign w:val="center"/>
          </w:tcPr>
          <w:p>
            <w:pPr>
              <w:pStyle w:val="12"/>
            </w:pPr>
            <w:r>
              <w:t>实际纳税额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城市环境</w:t>
            </w:r>
          </w:p>
        </w:tc>
        <w:tc>
          <w:tcPr>
            <w:tcW w:w="5386" w:type="dxa"/>
            <w:vAlign w:val="center"/>
          </w:tcPr>
          <w:p>
            <w:pPr>
              <w:pStyle w:val="12"/>
            </w:pPr>
            <w:r>
              <w:t>公园、绿化等环境提升面积</w:t>
            </w:r>
          </w:p>
        </w:tc>
        <w:tc>
          <w:tcPr>
            <w:tcW w:w="2268" w:type="dxa"/>
            <w:vAlign w:val="center"/>
          </w:tcPr>
          <w:p>
            <w:pPr>
              <w:pStyle w:val="12"/>
            </w:pPr>
            <w:r>
              <w:t>≥5000平米</w:t>
            </w:r>
          </w:p>
        </w:tc>
        <w:tc>
          <w:tcPr>
            <w:tcW w:w="1276" w:type="dxa"/>
            <w:vAlign w:val="center"/>
          </w:tcPr>
          <w:p>
            <w:pPr>
              <w:pStyle w:val="12"/>
            </w:pPr>
            <w:r>
              <w:t>完工绿化面积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入区企业满意度</w:t>
            </w:r>
          </w:p>
        </w:tc>
        <w:tc>
          <w:tcPr>
            <w:tcW w:w="5386" w:type="dxa"/>
            <w:vAlign w:val="center"/>
          </w:tcPr>
          <w:p>
            <w:pPr>
              <w:pStyle w:val="12"/>
            </w:pPr>
            <w:r>
              <w:t>产业新城片区内企业满意度</w:t>
            </w:r>
          </w:p>
        </w:tc>
        <w:tc>
          <w:tcPr>
            <w:tcW w:w="2268" w:type="dxa"/>
            <w:vAlign w:val="center"/>
          </w:tcPr>
          <w:p>
            <w:pPr>
              <w:pStyle w:val="12"/>
            </w:pPr>
            <w:r>
              <w:t>≥90%</w:t>
            </w:r>
          </w:p>
        </w:tc>
        <w:tc>
          <w:tcPr>
            <w:tcW w:w="1276" w:type="dxa"/>
            <w:vAlign w:val="center"/>
          </w:tcPr>
          <w:p>
            <w:pPr>
              <w:pStyle w:val="12"/>
            </w:pPr>
            <w:r>
              <w:t>电话走访、现场调研</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2.63</w:t>
            </w:r>
          </w:p>
        </w:tc>
        <w:tc>
          <w:tcPr>
            <w:tcW w:w="964" w:type="dxa"/>
            <w:vAlign w:val="center"/>
          </w:tcPr>
          <w:p>
            <w:pPr>
              <w:pStyle w:val="15"/>
            </w:pPr>
            <w:r>
              <w:t>2.63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秦皇岛北戴河新区营商环境和企业服务局本级小计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2.63</w:t>
            </w:r>
          </w:p>
        </w:tc>
        <w:tc>
          <w:tcPr>
            <w:tcW w:w="964" w:type="dxa"/>
            <w:vAlign w:val="center"/>
          </w:tcPr>
          <w:p>
            <w:pPr>
              <w:pStyle w:val="15"/>
            </w:pPr>
            <w:r>
              <w:t>2.63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7.12</w:t>
            </w:r>
          </w:p>
        </w:tc>
        <w:tc>
          <w:tcPr>
            <w:tcW w:w="1134" w:type="dxa"/>
            <w:vAlign w:val="center"/>
          </w:tcPr>
          <w:p>
            <w:pPr>
              <w:pStyle w:val="12"/>
            </w:pPr>
            <w:r>
              <w:t>一般会议服务</w:t>
            </w:r>
          </w:p>
        </w:tc>
        <w:tc>
          <w:tcPr>
            <w:tcW w:w="1134" w:type="dxa"/>
            <w:vAlign w:val="center"/>
          </w:tcPr>
          <w:p>
            <w:pPr>
              <w:pStyle w:val="12"/>
            </w:pPr>
            <w:r>
              <w:t>C22010200</w:t>
            </w:r>
          </w:p>
        </w:tc>
        <w:tc>
          <w:tcPr>
            <w:tcW w:w="709" w:type="dxa"/>
            <w:vAlign w:val="center"/>
          </w:tcPr>
          <w:p>
            <w:pPr>
              <w:pStyle w:val="13"/>
            </w:pPr>
            <w:r>
              <w:t>项</w:t>
            </w:r>
          </w:p>
        </w:tc>
        <w:tc>
          <w:tcPr>
            <w:tcW w:w="850" w:type="dxa"/>
            <w:vAlign w:val="center"/>
          </w:tcPr>
          <w:p>
            <w:pPr>
              <w:pStyle w:val="11"/>
            </w:pPr>
            <w:r>
              <w:t>5</w:t>
            </w:r>
          </w:p>
        </w:tc>
        <w:tc>
          <w:tcPr>
            <w:tcW w:w="850" w:type="dxa"/>
            <w:vAlign w:val="center"/>
          </w:tcPr>
          <w:p>
            <w:pPr>
              <w:pStyle w:val="11"/>
            </w:pPr>
            <w:r>
              <w:t>0.20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6.89</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0.56</w:t>
            </w:r>
          </w:p>
        </w:tc>
        <w:tc>
          <w:tcPr>
            <w:tcW w:w="964" w:type="dxa"/>
            <w:vAlign w:val="center"/>
          </w:tcPr>
          <w:p>
            <w:pPr>
              <w:pStyle w:val="11"/>
            </w:pPr>
            <w:r>
              <w:t>0.56</w:t>
            </w:r>
          </w:p>
        </w:tc>
        <w:tc>
          <w:tcPr>
            <w:tcW w:w="964" w:type="dxa"/>
            <w:vAlign w:val="center"/>
          </w:tcPr>
          <w:p>
            <w:pPr>
              <w:pStyle w:val="11"/>
            </w:pPr>
            <w:r>
              <w:t>0.56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6.89</w:t>
            </w:r>
          </w:p>
        </w:tc>
        <w:tc>
          <w:tcPr>
            <w:tcW w:w="1134" w:type="dxa"/>
            <w:vAlign w:val="center"/>
          </w:tcPr>
          <w:p>
            <w:pPr>
              <w:pStyle w:val="12"/>
            </w:pPr>
            <w:r>
              <w:t>其他打印机</w:t>
            </w:r>
          </w:p>
        </w:tc>
        <w:tc>
          <w:tcPr>
            <w:tcW w:w="1134" w:type="dxa"/>
            <w:vAlign w:val="center"/>
          </w:tcPr>
          <w:p>
            <w:pPr>
              <w:pStyle w:val="12"/>
            </w:pPr>
            <w:r>
              <w:t>A02021099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6.89</w:t>
            </w:r>
          </w:p>
        </w:tc>
        <w:tc>
          <w:tcPr>
            <w:tcW w:w="1134" w:type="dxa"/>
            <w:vAlign w:val="center"/>
          </w:tcPr>
          <w:p>
            <w:pPr>
              <w:pStyle w:val="12"/>
            </w:pPr>
            <w:r>
              <w:t>其他输入输出设备</w:t>
            </w:r>
          </w:p>
        </w:tc>
        <w:tc>
          <w:tcPr>
            <w:tcW w:w="1134" w:type="dxa"/>
            <w:vAlign w:val="center"/>
          </w:tcPr>
          <w:p>
            <w:pPr>
              <w:pStyle w:val="12"/>
            </w:pPr>
            <w:r>
              <w:t>A02021199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6.89</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100</w:t>
            </w:r>
          </w:p>
        </w:tc>
        <w:tc>
          <w:tcPr>
            <w:tcW w:w="850" w:type="dxa"/>
            <w:vAlign w:val="center"/>
          </w:tcPr>
          <w:p>
            <w:pPr>
              <w:pStyle w:val="11"/>
            </w:pPr>
            <w:r>
              <w:t>0.00</w:t>
            </w:r>
          </w:p>
        </w:tc>
        <w:tc>
          <w:tcPr>
            <w:tcW w:w="964" w:type="dxa"/>
            <w:vAlign w:val="center"/>
          </w:tcPr>
          <w:p>
            <w:pPr>
              <w:pStyle w:val="11"/>
            </w:pPr>
            <w:r>
              <w:t>0.17</w:t>
            </w:r>
          </w:p>
        </w:tc>
        <w:tc>
          <w:tcPr>
            <w:tcW w:w="964" w:type="dxa"/>
            <w:vAlign w:val="center"/>
          </w:tcPr>
          <w:p>
            <w:pPr>
              <w:pStyle w:val="11"/>
            </w:pPr>
            <w:r>
              <w:t>0.17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6.89</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秦皇岛北戴河新区营商环境和企业服务局本级上年末固定资产金额为3.03万元（详见下表）。本年度拟购置固定资产总额为1.00万元，已按要求列入政府采购预算，详见政府采购预算表。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13</w:t>
            </w:r>
          </w:p>
        </w:tc>
        <w:tc>
          <w:tcPr>
            <w:tcW w:w="2835" w:type="dxa"/>
            <w:vAlign w:val="center"/>
          </w:tcPr>
          <w:p>
            <w:pPr>
              <w:pStyle w:val="11"/>
            </w:pPr>
            <w:r>
              <w:t>3.03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81712"/>
    <w:rsid w:val="40F90CF2"/>
    <w:rsid w:val="5BD51E7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TotalTime>8</TotalTime>
  <ScaleCrop>false</ScaleCrop>
  <LinksUpToDate>false</LinksUpToDate>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2025-02-17T14:31:00Z</dcterms:created>
  <dc:creator>投融资科</dc:creator>
  <cp:lastModifiedBy>七彩凌云郡主</cp:lastModifiedBy>
  <dcterms:modified xsi:type="dcterms:W3CDTF">2025-11-24T07:16:20Z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4FFDE31362484A198792AED5B641A758</vt:lpwstr>
  </property>
</Properties>
</file>