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223.17</w:t>
            </w:r>
          </w:p>
        </w:tc>
        <w:tc>
          <w:tcPr>
            <w:tcW w:w="4535" w:type="dxa"/>
            <w:vAlign w:val="center"/>
          </w:tcPr>
          <w:p>
            <w:pPr>
              <w:pStyle w:val="14"/>
            </w:pPr>
            <w:r>
              <w:t>一、一般公共服务支出</w:t>
            </w:r>
          </w:p>
        </w:tc>
        <w:tc>
          <w:tcPr>
            <w:tcW w:w="2126" w:type="dxa"/>
            <w:vAlign w:val="center"/>
          </w:tcPr>
          <w:p>
            <w:pPr>
              <w:pStyle w:val="13"/>
            </w:pPr>
            <w:r>
              <w:t>223.17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2000.00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2223.17</w:t>
            </w:r>
          </w:p>
        </w:tc>
        <w:tc>
          <w:tcPr>
            <w:tcW w:w="4535" w:type="dxa"/>
            <w:vAlign w:val="center"/>
          </w:tcPr>
          <w:p>
            <w:pPr>
              <w:pStyle w:val="16"/>
            </w:pPr>
            <w:r>
              <w:t>本年支出合计</w:t>
            </w:r>
          </w:p>
        </w:tc>
        <w:tc>
          <w:tcPr>
            <w:tcW w:w="2126" w:type="dxa"/>
            <w:vAlign w:val="center"/>
          </w:tcPr>
          <w:p>
            <w:pPr>
              <w:pStyle w:val="17"/>
            </w:pPr>
            <w:r>
              <w:t>2223.17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2223.17</w:t>
            </w:r>
          </w:p>
        </w:tc>
        <w:tc>
          <w:tcPr>
            <w:tcW w:w="4535" w:type="dxa"/>
            <w:vAlign w:val="center"/>
          </w:tcPr>
          <w:p>
            <w:pPr>
              <w:pStyle w:val="16"/>
            </w:pPr>
            <w:r>
              <w:t>支出总计</w:t>
            </w:r>
          </w:p>
        </w:tc>
        <w:tc>
          <w:tcPr>
            <w:tcW w:w="2126" w:type="dxa"/>
            <w:vAlign w:val="center"/>
          </w:tcPr>
          <w:p>
            <w:pPr>
              <w:pStyle w:val="17"/>
            </w:pPr>
            <w:r>
              <w:t>2223.17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2223.17</w:t>
            </w:r>
          </w:p>
        </w:tc>
        <w:tc>
          <w:tcPr>
            <w:tcW w:w="1134" w:type="dxa"/>
            <w:vAlign w:val="center"/>
          </w:tcPr>
          <w:p>
            <w:pPr>
              <w:pStyle w:val="17"/>
            </w:pPr>
            <w:r>
              <w:t>2223.17</w:t>
            </w:r>
          </w:p>
        </w:tc>
        <w:tc>
          <w:tcPr>
            <w:tcW w:w="1134" w:type="dxa"/>
            <w:vAlign w:val="center"/>
          </w:tcPr>
          <w:p>
            <w:pPr>
              <w:pStyle w:val="17"/>
            </w:pPr>
            <w:r>
              <w:t>2223.17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r>
              <w:t>223.17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2120803</w:t>
            </w:r>
          </w:p>
        </w:tc>
        <w:tc>
          <w:tcPr>
            <w:tcW w:w="1559" w:type="dxa"/>
            <w:vAlign w:val="center"/>
          </w:tcPr>
          <w:p>
            <w:pPr>
              <w:pStyle w:val="14"/>
            </w:pPr>
            <w:r>
              <w:t>城市建设支出</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r>
              <w:t>2000.00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2223.17</w:t>
            </w:r>
          </w:p>
        </w:tc>
        <w:tc>
          <w:tcPr>
            <w:tcW w:w="1361" w:type="dxa"/>
            <w:vAlign w:val="center"/>
          </w:tcPr>
          <w:p>
            <w:pPr>
              <w:pStyle w:val="17"/>
            </w:pPr>
            <w:r>
              <w:t>188.17</w:t>
            </w:r>
          </w:p>
        </w:tc>
        <w:tc>
          <w:tcPr>
            <w:tcW w:w="1361" w:type="dxa"/>
            <w:vAlign w:val="center"/>
          </w:tcPr>
          <w:p>
            <w:pPr>
              <w:pStyle w:val="17"/>
            </w:pPr>
            <w:r>
              <w:t>2035.00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223.17</w:t>
            </w:r>
          </w:p>
        </w:tc>
        <w:tc>
          <w:tcPr>
            <w:tcW w:w="1361" w:type="dxa"/>
            <w:vAlign w:val="center"/>
          </w:tcPr>
          <w:p>
            <w:pPr>
              <w:pStyle w:val="13"/>
            </w:pPr>
            <w:r>
              <w:t>188.17</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223.17</w:t>
            </w:r>
          </w:p>
        </w:tc>
        <w:tc>
          <w:tcPr>
            <w:tcW w:w="1361" w:type="dxa"/>
            <w:vAlign w:val="center"/>
          </w:tcPr>
          <w:p>
            <w:pPr>
              <w:pStyle w:val="13"/>
            </w:pPr>
            <w:r>
              <w:t>188.17</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223.17</w:t>
            </w:r>
          </w:p>
        </w:tc>
        <w:tc>
          <w:tcPr>
            <w:tcW w:w="1361" w:type="dxa"/>
            <w:vAlign w:val="center"/>
          </w:tcPr>
          <w:p>
            <w:pPr>
              <w:pStyle w:val="13"/>
            </w:pPr>
            <w:r>
              <w:t>188.17</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2120803</w:t>
            </w:r>
          </w:p>
        </w:tc>
        <w:tc>
          <w:tcPr>
            <w:tcW w:w="4535" w:type="dxa"/>
            <w:vAlign w:val="center"/>
          </w:tcPr>
          <w:p>
            <w:pPr>
              <w:pStyle w:val="14"/>
            </w:pPr>
            <w:r>
              <w:t>城市建设支出</w:t>
            </w: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r>
              <w:t>2000.00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223.17</w:t>
            </w:r>
          </w:p>
        </w:tc>
        <w:tc>
          <w:tcPr>
            <w:tcW w:w="3402" w:type="dxa"/>
            <w:vAlign w:val="center"/>
          </w:tcPr>
          <w:p>
            <w:pPr>
              <w:pStyle w:val="14"/>
            </w:pPr>
            <w:r>
              <w:t>一、一般公共服务支出</w:t>
            </w:r>
          </w:p>
        </w:tc>
        <w:tc>
          <w:tcPr>
            <w:tcW w:w="1474" w:type="dxa"/>
            <w:vAlign w:val="center"/>
          </w:tcPr>
          <w:p>
            <w:pPr>
              <w:pStyle w:val="13"/>
            </w:pPr>
            <w:r>
              <w:t>223.17</w:t>
            </w:r>
          </w:p>
        </w:tc>
        <w:tc>
          <w:tcPr>
            <w:tcW w:w="1474" w:type="dxa"/>
            <w:vAlign w:val="center"/>
          </w:tcPr>
          <w:p>
            <w:pPr>
              <w:pStyle w:val="13"/>
            </w:pPr>
            <w:r>
              <w:t>223.17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2000.00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2000.00</w:t>
            </w:r>
          </w:p>
        </w:tc>
        <w:tc>
          <w:tcPr>
            <w:tcW w:w="1474" w:type="dxa"/>
            <w:vAlign w:val="center"/>
          </w:tcPr>
          <w:p>
            <w:pPr>
              <w:pStyle w:val="13"/>
            </w:pPr>
          </w:p>
        </w:tc>
        <w:tc>
          <w:tcPr>
            <w:tcW w:w="1474" w:type="dxa"/>
            <w:vAlign w:val="center"/>
          </w:tcPr>
          <w:p>
            <w:pPr>
              <w:pStyle w:val="13"/>
            </w:pPr>
            <w:r>
              <w:t>2000.00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2223.17</w:t>
            </w:r>
          </w:p>
        </w:tc>
        <w:tc>
          <w:tcPr>
            <w:tcW w:w="3402" w:type="dxa"/>
            <w:vAlign w:val="center"/>
          </w:tcPr>
          <w:p>
            <w:pPr>
              <w:pStyle w:val="16"/>
            </w:pPr>
            <w:r>
              <w:t>本年支出合计</w:t>
            </w:r>
          </w:p>
        </w:tc>
        <w:tc>
          <w:tcPr>
            <w:tcW w:w="1474" w:type="dxa"/>
            <w:vAlign w:val="center"/>
          </w:tcPr>
          <w:p>
            <w:pPr>
              <w:pStyle w:val="17"/>
            </w:pPr>
            <w:r>
              <w:t>2223.17</w:t>
            </w:r>
          </w:p>
        </w:tc>
        <w:tc>
          <w:tcPr>
            <w:tcW w:w="1474" w:type="dxa"/>
            <w:vAlign w:val="center"/>
          </w:tcPr>
          <w:p>
            <w:pPr>
              <w:pStyle w:val="17"/>
            </w:pPr>
            <w:r>
              <w:t>223.17</w:t>
            </w:r>
          </w:p>
        </w:tc>
        <w:tc>
          <w:tcPr>
            <w:tcW w:w="1474" w:type="dxa"/>
            <w:vAlign w:val="center"/>
          </w:tcPr>
          <w:p>
            <w:pPr>
              <w:pStyle w:val="17"/>
            </w:pPr>
            <w:r>
              <w:t>2000.00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2223.17</w:t>
            </w:r>
          </w:p>
        </w:tc>
        <w:tc>
          <w:tcPr>
            <w:tcW w:w="3402" w:type="dxa"/>
            <w:vAlign w:val="center"/>
          </w:tcPr>
          <w:p>
            <w:pPr>
              <w:pStyle w:val="16"/>
            </w:pPr>
            <w:r>
              <w:t>支出总计</w:t>
            </w:r>
          </w:p>
        </w:tc>
        <w:tc>
          <w:tcPr>
            <w:tcW w:w="1474" w:type="dxa"/>
            <w:vAlign w:val="center"/>
          </w:tcPr>
          <w:p>
            <w:pPr>
              <w:pStyle w:val="17"/>
            </w:pPr>
            <w:r>
              <w:t>2223.17</w:t>
            </w:r>
          </w:p>
        </w:tc>
        <w:tc>
          <w:tcPr>
            <w:tcW w:w="1474" w:type="dxa"/>
            <w:vAlign w:val="center"/>
          </w:tcPr>
          <w:p>
            <w:pPr>
              <w:pStyle w:val="17"/>
            </w:pPr>
            <w:r>
              <w:t>223.17</w:t>
            </w:r>
          </w:p>
        </w:tc>
        <w:tc>
          <w:tcPr>
            <w:tcW w:w="1474" w:type="dxa"/>
            <w:vAlign w:val="center"/>
          </w:tcPr>
          <w:p>
            <w:pPr>
              <w:pStyle w:val="17"/>
            </w:pPr>
            <w:r>
              <w:t>2000.00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223.17</w:t>
            </w:r>
          </w:p>
        </w:tc>
        <w:tc>
          <w:tcPr>
            <w:tcW w:w="2551" w:type="dxa"/>
            <w:vAlign w:val="center"/>
          </w:tcPr>
          <w:p>
            <w:pPr>
              <w:pStyle w:val="17"/>
            </w:pPr>
            <w:r>
              <w:t>188.17</w:t>
            </w:r>
          </w:p>
        </w:tc>
        <w:tc>
          <w:tcPr>
            <w:tcW w:w="2551" w:type="dxa"/>
            <w:vAlign w:val="center"/>
          </w:tcPr>
          <w:p>
            <w:pPr>
              <w:pStyle w:val="17"/>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223.17</w:t>
            </w:r>
          </w:p>
        </w:tc>
        <w:tc>
          <w:tcPr>
            <w:tcW w:w="2551" w:type="dxa"/>
            <w:vAlign w:val="center"/>
          </w:tcPr>
          <w:p>
            <w:pPr>
              <w:pStyle w:val="13"/>
            </w:pPr>
            <w:r>
              <w:t>188.17</w:t>
            </w: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223.17</w:t>
            </w:r>
          </w:p>
        </w:tc>
        <w:tc>
          <w:tcPr>
            <w:tcW w:w="2551" w:type="dxa"/>
            <w:vAlign w:val="center"/>
          </w:tcPr>
          <w:p>
            <w:pPr>
              <w:pStyle w:val="13"/>
            </w:pPr>
            <w:r>
              <w:t>188.17</w:t>
            </w: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223.17</w:t>
            </w:r>
          </w:p>
        </w:tc>
        <w:tc>
          <w:tcPr>
            <w:tcW w:w="2551" w:type="dxa"/>
            <w:vAlign w:val="center"/>
          </w:tcPr>
          <w:p>
            <w:pPr>
              <w:pStyle w:val="13"/>
            </w:pPr>
            <w:r>
              <w:t>188.17</w:t>
            </w:r>
          </w:p>
        </w:tc>
        <w:tc>
          <w:tcPr>
            <w:tcW w:w="2551" w:type="dxa"/>
            <w:vAlign w:val="center"/>
          </w:tcPr>
          <w:p>
            <w:pPr>
              <w:pStyle w:val="13"/>
            </w:pPr>
            <w:r>
              <w:t>35.00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188.17</w:t>
            </w:r>
          </w:p>
        </w:tc>
        <w:tc>
          <w:tcPr>
            <w:tcW w:w="2551" w:type="dxa"/>
            <w:vAlign w:val="center"/>
          </w:tcPr>
          <w:p>
            <w:pPr>
              <w:pStyle w:val="17"/>
            </w:pPr>
            <w:r>
              <w:t>174.16</w:t>
            </w:r>
          </w:p>
        </w:tc>
        <w:tc>
          <w:tcPr>
            <w:tcW w:w="2551" w:type="dxa"/>
            <w:vAlign w:val="center"/>
          </w:tcPr>
          <w:p>
            <w:pPr>
              <w:pStyle w:val="17"/>
            </w:pPr>
            <w:r>
              <w:t>14.01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174.16</w:t>
            </w:r>
          </w:p>
        </w:tc>
        <w:tc>
          <w:tcPr>
            <w:tcW w:w="2551" w:type="dxa"/>
            <w:vAlign w:val="center"/>
          </w:tcPr>
          <w:p>
            <w:pPr>
              <w:pStyle w:val="13"/>
            </w:pPr>
            <w:r>
              <w:t>174.16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63.56</w:t>
            </w:r>
          </w:p>
        </w:tc>
        <w:tc>
          <w:tcPr>
            <w:tcW w:w="2551" w:type="dxa"/>
            <w:vAlign w:val="center"/>
          </w:tcPr>
          <w:p>
            <w:pPr>
              <w:pStyle w:val="13"/>
            </w:pPr>
            <w:r>
              <w:t>63.56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6.96</w:t>
            </w:r>
          </w:p>
        </w:tc>
        <w:tc>
          <w:tcPr>
            <w:tcW w:w="2551" w:type="dxa"/>
            <w:vAlign w:val="center"/>
          </w:tcPr>
          <w:p>
            <w:pPr>
              <w:pStyle w:val="13"/>
            </w:pPr>
            <w:r>
              <w:t>6.96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56.90</w:t>
            </w:r>
          </w:p>
        </w:tc>
        <w:tc>
          <w:tcPr>
            <w:tcW w:w="2551" w:type="dxa"/>
            <w:vAlign w:val="center"/>
          </w:tcPr>
          <w:p>
            <w:pPr>
              <w:pStyle w:val="13"/>
            </w:pPr>
            <w:r>
              <w:t>56.90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17.19</w:t>
            </w:r>
          </w:p>
        </w:tc>
        <w:tc>
          <w:tcPr>
            <w:tcW w:w="2551" w:type="dxa"/>
            <w:vAlign w:val="center"/>
          </w:tcPr>
          <w:p>
            <w:pPr>
              <w:pStyle w:val="13"/>
            </w:pPr>
            <w:r>
              <w:t>17.19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7.12</w:t>
            </w:r>
          </w:p>
        </w:tc>
        <w:tc>
          <w:tcPr>
            <w:tcW w:w="2551" w:type="dxa"/>
            <w:vAlign w:val="center"/>
          </w:tcPr>
          <w:p>
            <w:pPr>
              <w:pStyle w:val="13"/>
            </w:pPr>
            <w:r>
              <w:t>7.12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6.89</w:t>
            </w:r>
          </w:p>
        </w:tc>
        <w:tc>
          <w:tcPr>
            <w:tcW w:w="2551" w:type="dxa"/>
            <w:vAlign w:val="center"/>
          </w:tcPr>
          <w:p>
            <w:pPr>
              <w:pStyle w:val="13"/>
            </w:pPr>
            <w:r>
              <w:t>6.89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1.08</w:t>
            </w:r>
          </w:p>
        </w:tc>
        <w:tc>
          <w:tcPr>
            <w:tcW w:w="2551" w:type="dxa"/>
            <w:vAlign w:val="center"/>
          </w:tcPr>
          <w:p>
            <w:pPr>
              <w:pStyle w:val="13"/>
            </w:pPr>
            <w:r>
              <w:t>1.08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14.46</w:t>
            </w:r>
          </w:p>
        </w:tc>
        <w:tc>
          <w:tcPr>
            <w:tcW w:w="2551" w:type="dxa"/>
            <w:vAlign w:val="center"/>
          </w:tcPr>
          <w:p>
            <w:pPr>
              <w:pStyle w:val="13"/>
            </w:pPr>
            <w:r>
              <w:t>14.46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13.49</w:t>
            </w:r>
          </w:p>
        </w:tc>
        <w:tc>
          <w:tcPr>
            <w:tcW w:w="2551" w:type="dxa"/>
            <w:vAlign w:val="center"/>
          </w:tcPr>
          <w:p>
            <w:pPr>
              <w:pStyle w:val="13"/>
            </w:pPr>
          </w:p>
        </w:tc>
        <w:tc>
          <w:tcPr>
            <w:tcW w:w="2551" w:type="dxa"/>
            <w:vAlign w:val="center"/>
          </w:tcPr>
          <w:p>
            <w:pPr>
              <w:pStyle w:val="13"/>
            </w:pPr>
            <w:r>
              <w:t>13.49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3.77</w:t>
            </w:r>
          </w:p>
        </w:tc>
        <w:tc>
          <w:tcPr>
            <w:tcW w:w="2551" w:type="dxa"/>
            <w:vAlign w:val="center"/>
          </w:tcPr>
          <w:p>
            <w:pPr>
              <w:pStyle w:val="13"/>
            </w:pPr>
          </w:p>
        </w:tc>
        <w:tc>
          <w:tcPr>
            <w:tcW w:w="2551" w:type="dxa"/>
            <w:vAlign w:val="center"/>
          </w:tcPr>
          <w:p>
            <w:pPr>
              <w:pStyle w:val="13"/>
            </w:pPr>
            <w:r>
              <w:t>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0.52</w:t>
            </w:r>
          </w:p>
        </w:tc>
        <w:tc>
          <w:tcPr>
            <w:tcW w:w="2551" w:type="dxa"/>
            <w:vAlign w:val="center"/>
          </w:tcPr>
          <w:p>
            <w:pPr>
              <w:pStyle w:val="13"/>
            </w:pPr>
          </w:p>
        </w:tc>
        <w:tc>
          <w:tcPr>
            <w:tcW w:w="2551" w:type="dxa"/>
            <w:vAlign w:val="center"/>
          </w:tcPr>
          <w:p>
            <w:pPr>
              <w:pStyle w:val="13"/>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2.08</w:t>
            </w:r>
          </w:p>
        </w:tc>
        <w:tc>
          <w:tcPr>
            <w:tcW w:w="2551" w:type="dxa"/>
            <w:vAlign w:val="center"/>
          </w:tcPr>
          <w:p>
            <w:pPr>
              <w:pStyle w:val="13"/>
            </w:pPr>
          </w:p>
        </w:tc>
        <w:tc>
          <w:tcPr>
            <w:tcW w:w="2551" w:type="dxa"/>
            <w:vAlign w:val="center"/>
          </w:tcPr>
          <w:p>
            <w:pPr>
              <w:pStyle w:val="13"/>
            </w:pPr>
            <w:r>
              <w:t>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1.42</w:t>
            </w:r>
          </w:p>
        </w:tc>
        <w:tc>
          <w:tcPr>
            <w:tcW w:w="2551" w:type="dxa"/>
            <w:vAlign w:val="center"/>
          </w:tcPr>
          <w:p>
            <w:pPr>
              <w:pStyle w:val="13"/>
            </w:pPr>
          </w:p>
        </w:tc>
        <w:tc>
          <w:tcPr>
            <w:tcW w:w="2551" w:type="dxa"/>
            <w:vAlign w:val="center"/>
          </w:tcPr>
          <w:p>
            <w:pPr>
              <w:pStyle w:val="13"/>
            </w:pPr>
            <w:r>
              <w:t>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0.17</w:t>
            </w:r>
          </w:p>
        </w:tc>
        <w:tc>
          <w:tcPr>
            <w:tcW w:w="2551" w:type="dxa"/>
            <w:vAlign w:val="center"/>
          </w:tcPr>
          <w:p>
            <w:pPr>
              <w:pStyle w:val="13"/>
            </w:pPr>
          </w:p>
        </w:tc>
        <w:tc>
          <w:tcPr>
            <w:tcW w:w="2551" w:type="dxa"/>
            <w:vAlign w:val="center"/>
          </w:tcPr>
          <w:p>
            <w:pPr>
              <w:pStyle w:val="13"/>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1.90</w:t>
            </w:r>
          </w:p>
        </w:tc>
        <w:tc>
          <w:tcPr>
            <w:tcW w:w="2551" w:type="dxa"/>
            <w:vAlign w:val="center"/>
          </w:tcPr>
          <w:p>
            <w:pPr>
              <w:pStyle w:val="13"/>
            </w:pPr>
          </w:p>
        </w:tc>
        <w:tc>
          <w:tcPr>
            <w:tcW w:w="2551" w:type="dxa"/>
            <w:vAlign w:val="center"/>
          </w:tcPr>
          <w:p>
            <w:pPr>
              <w:pStyle w:val="13"/>
            </w:pPr>
            <w:r>
              <w:t>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1.24</w:t>
            </w:r>
          </w:p>
        </w:tc>
        <w:tc>
          <w:tcPr>
            <w:tcW w:w="2551" w:type="dxa"/>
            <w:vAlign w:val="center"/>
          </w:tcPr>
          <w:p>
            <w:pPr>
              <w:pStyle w:val="13"/>
            </w:pPr>
          </w:p>
        </w:tc>
        <w:tc>
          <w:tcPr>
            <w:tcW w:w="2551" w:type="dxa"/>
            <w:vAlign w:val="center"/>
          </w:tcPr>
          <w:p>
            <w:pPr>
              <w:pStyle w:val="13"/>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0.52</w:t>
            </w:r>
          </w:p>
        </w:tc>
        <w:tc>
          <w:tcPr>
            <w:tcW w:w="2551" w:type="dxa"/>
            <w:vAlign w:val="center"/>
          </w:tcPr>
          <w:p>
            <w:pPr>
              <w:pStyle w:val="13"/>
            </w:pPr>
          </w:p>
        </w:tc>
        <w:tc>
          <w:tcPr>
            <w:tcW w:w="2551" w:type="dxa"/>
            <w:vAlign w:val="center"/>
          </w:tcPr>
          <w:p>
            <w:pPr>
              <w:pStyle w:val="13"/>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0.52</w:t>
            </w:r>
          </w:p>
        </w:tc>
        <w:tc>
          <w:tcPr>
            <w:tcW w:w="2551" w:type="dxa"/>
            <w:vAlign w:val="center"/>
          </w:tcPr>
          <w:p>
            <w:pPr>
              <w:pStyle w:val="13"/>
            </w:pPr>
          </w:p>
        </w:tc>
        <w:tc>
          <w:tcPr>
            <w:tcW w:w="2551" w:type="dxa"/>
            <w:vAlign w:val="center"/>
          </w:tcPr>
          <w:p>
            <w:pPr>
              <w:pStyle w:val="13"/>
            </w:pPr>
            <w:r>
              <w:t>0.52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2000.00</w:t>
            </w:r>
          </w:p>
        </w:tc>
        <w:tc>
          <w:tcPr>
            <w:tcW w:w="2551" w:type="dxa"/>
            <w:vAlign w:val="center"/>
          </w:tcPr>
          <w:p>
            <w:pPr>
              <w:pStyle w:val="17"/>
            </w:pPr>
          </w:p>
        </w:tc>
        <w:tc>
          <w:tcPr>
            <w:tcW w:w="2551" w:type="dxa"/>
            <w:vAlign w:val="center"/>
          </w:tcPr>
          <w:p>
            <w:pPr>
              <w:pStyle w:val="17"/>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2000.00</w:t>
            </w:r>
          </w:p>
        </w:tc>
        <w:tc>
          <w:tcPr>
            <w:tcW w:w="2551" w:type="dxa"/>
            <w:vAlign w:val="center"/>
          </w:tcPr>
          <w:p>
            <w:pPr>
              <w:pStyle w:val="13"/>
            </w:pPr>
          </w:p>
        </w:tc>
        <w:tc>
          <w:tcPr>
            <w:tcW w:w="2551" w:type="dxa"/>
            <w:vAlign w:val="center"/>
          </w:tcPr>
          <w:p>
            <w:pPr>
              <w:pStyle w:val="13"/>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2000.00</w:t>
            </w:r>
          </w:p>
        </w:tc>
        <w:tc>
          <w:tcPr>
            <w:tcW w:w="2551" w:type="dxa"/>
            <w:vAlign w:val="center"/>
          </w:tcPr>
          <w:p>
            <w:pPr>
              <w:pStyle w:val="13"/>
            </w:pPr>
          </w:p>
        </w:tc>
        <w:tc>
          <w:tcPr>
            <w:tcW w:w="2551" w:type="dxa"/>
            <w:vAlign w:val="center"/>
          </w:tcPr>
          <w:p>
            <w:pPr>
              <w:pStyle w:val="13"/>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2120803</w:t>
            </w:r>
          </w:p>
        </w:tc>
        <w:tc>
          <w:tcPr>
            <w:tcW w:w="4535" w:type="dxa"/>
            <w:vAlign w:val="center"/>
          </w:tcPr>
          <w:p>
            <w:pPr>
              <w:pStyle w:val="14"/>
            </w:pPr>
            <w:r>
              <w:t>城市建设支出</w:t>
            </w:r>
          </w:p>
        </w:tc>
        <w:tc>
          <w:tcPr>
            <w:tcW w:w="2551" w:type="dxa"/>
            <w:vAlign w:val="center"/>
          </w:tcPr>
          <w:p>
            <w:pPr>
              <w:pStyle w:val="13"/>
            </w:pPr>
            <w:r>
              <w:t>2000.00</w:t>
            </w:r>
          </w:p>
        </w:tc>
        <w:tc>
          <w:tcPr>
            <w:tcW w:w="2551" w:type="dxa"/>
            <w:vAlign w:val="center"/>
          </w:tcPr>
          <w:p>
            <w:pPr>
              <w:pStyle w:val="13"/>
            </w:pPr>
          </w:p>
        </w:tc>
        <w:tc>
          <w:tcPr>
            <w:tcW w:w="2551" w:type="dxa"/>
            <w:vAlign w:val="center"/>
          </w:tcPr>
          <w:p>
            <w:pPr>
              <w:pStyle w:val="13"/>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0.17</w:t>
            </w:r>
          </w:p>
        </w:tc>
        <w:tc>
          <w:tcPr>
            <w:tcW w:w="2381" w:type="dxa"/>
            <w:vAlign w:val="center"/>
          </w:tcPr>
          <w:p>
            <w:pPr>
              <w:pStyle w:val="17"/>
            </w:pPr>
            <w:r>
              <w:t>0.17</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0.17</w:t>
            </w:r>
          </w:p>
        </w:tc>
        <w:tc>
          <w:tcPr>
            <w:tcW w:w="2381" w:type="dxa"/>
            <w:vAlign w:val="center"/>
          </w:tcPr>
          <w:p>
            <w:pPr>
              <w:pStyle w:val="13"/>
            </w:pPr>
            <w:r>
              <w:t>0.17</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0.17</w:t>
            </w:r>
          </w:p>
        </w:tc>
        <w:tc>
          <w:tcPr>
            <w:tcW w:w="2381" w:type="dxa"/>
            <w:vAlign w:val="center"/>
          </w:tcPr>
          <w:p>
            <w:pPr>
              <w:pStyle w:val="13"/>
            </w:pPr>
            <w:r>
              <w:t>0.17</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秦皇岛北戴河新区营商环境和企业服务局2025年部门预算信息公开情况说明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秦皇岛北戴河新区营商环境和企业服务局2025年部门预算信息公开情况说明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按照《中华人民共和国预算法》、《地方预决算公开操作规程》和《关于进一步推进预算公开工作的实施意见》规定，现将秦皇岛北戴河新区营商环境和企业服务局2025年部门预算公开如下：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p>
    <w:p>
      <w:pPr>
        <w:pStyle w:val="19"/>
      </w:pPr>
      <w:r>
        <w:t>营商环境和企业服务局主要工作职能：贯彻执行和督促推动国家、省、市优化营商环境建设的法律法规、规章和相关政策的落实。开展营商环境建设研究，组织拟订营商环境建设规划、政策措施及年度计划。承担优化营商环境领导小组办公室职责，组织推进相关政策、措施落实，推进新区营商环境市场化、法制化、国际化一流体系建设。对各部门营商环境建设工作开展评价考核。组织开展损害营商环境突出问题专项调查。针对重点产业项目在投资协议签订后，会同项目分包单位采取领办、代办方式，为项目提供全程式、保姆式、管家式服务；协调解决项目建设中的问题和困难，贯彻执行重点项目建设政策法规，研究提出重点项目服务制度，协调机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秦皇岛北戴河新区营商环境和企业服务局本级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按照预算管理有关规定，目前部门预算的编制实行综合预算管理，即全部收入和支出都反映在预算中。秦皇岛北戴河新区营商环境和企业服务局机关及所属事业单位的收支包含在部门预算中。</w:t>
      </w:r>
    </w:p>
    <w:p>
      <w:pPr>
        <w:pStyle w:val="20"/>
      </w:pPr>
      <w:r>
        <w:t>1、收入说明</w:t>
      </w:r>
    </w:p>
    <w:p>
      <w:pPr>
        <w:pStyle w:val="20"/>
      </w:pPr>
      <w:r>
        <w:t>反映本部门当年全部收入。2025年预算收入2223.17万元，其中：一般公共预算收入223.17万元，基金预算收入2000.00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秦皇岛北戴河新区营商环境和企业服务局年度部门预算中支出预算的总体情况。2025年支出预算2223.17万元，其中基本支出188.17万元，包括人员经费174.16万元和日常公用经费14.01万元；项目支出2035.00万元，主要为营商环境运营经费和产业新城运行开发建设运营资金</w:t>
      </w:r>
    </w:p>
    <w:p>
      <w:pPr>
        <w:pStyle w:val="20"/>
      </w:pPr>
      <w:r>
        <w:t>3、比上年增减情况</w:t>
      </w:r>
    </w:p>
    <w:p>
      <w:pPr>
        <w:pStyle w:val="20"/>
      </w:pPr>
      <w:r>
        <w:t>2025年预算收支安排2223.17万元，较2024年预算增加53.16万元，其中：基本支出增加58.16万元，主要为新增人员经费</w:t>
      </w:r>
      <w:r>
        <w:rPr>
          <w:rFonts w:hint="eastAsia"/>
          <w:lang w:eastAsia="zh-CN"/>
        </w:rPr>
        <w:t>。</w:t>
      </w:r>
      <w:r>
        <w:t>项目支出减少5.00万元，主要为年度预算减少，压缩预算，节约开支。</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rPr>
          <w:rFonts w:ascii="Times New Roman" w:hAnsi="Times New Roman" w:eastAsia="方正仿宋_GBK" w:cs="Times New Roman"/>
          <w:sz w:val="28"/>
          <w:szCs w:val="24"/>
          <w:lang w:val="en-US" w:eastAsia="uk-UA" w:bidi="ar-SA"/>
        </w:rPr>
      </w:pPr>
      <w:r>
        <w:rPr>
          <w:rFonts w:ascii="宋体" w:hAnsi="宋体" w:eastAsia="宋体" w:cs="宋体"/>
          <w:sz w:val="24"/>
          <w:szCs w:val="24"/>
        </w:rPr>
        <w:t> </w:t>
      </w:r>
      <w:r>
        <w:rPr>
          <w:rFonts w:ascii="Times New Roman" w:hAnsi="Times New Roman" w:eastAsia="方正仿宋_GBK" w:cs="Times New Roman"/>
          <w:sz w:val="28"/>
          <w:szCs w:val="24"/>
          <w:lang w:val="en-US" w:eastAsia="uk-UA" w:bidi="ar-SA"/>
        </w:rPr>
        <w:t>2025年，我部门机关运行经费共计安排14.01万元，主要用于日常维修、办公用房水电费、办公用房取暖费、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rFonts w:hint="default" w:eastAsia="方正仿宋_GBK"/>
          <w:lang w:val="en-US" w:eastAsia="zh-CN"/>
        </w:rPr>
      </w:pPr>
      <w:r>
        <w:t>2025年，我部门财政拨款“三公”经费预算安排0.17万元，其中因公出国（境）费0.00万元；公务用车购置及运维费0.00万元（其中：公务用车购置费为0.00万元，公务用车运维费0.00万元)；公务接待费0.17万元。与2024年相比增加0.03万元，增减变化的主要原因是</w:t>
      </w:r>
      <w:r>
        <w:rPr>
          <w:rFonts w:hint="eastAsia"/>
          <w:lang w:val="en-US" w:eastAsia="zh-CN"/>
        </w:rPr>
        <w:t>2025年人员增加，经费增加。</w:t>
      </w:r>
      <w:bookmarkStart w:id="20" w:name="_GoBack"/>
      <w:bookmarkEnd w:id="20"/>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营商环境和企业服务局坚持以习近平新时代中国特色社会主义思想为指导，全面贯彻落实党的二十大精神，在新区工管委的坚强领导下，积极开展招商引资、狠抓项目落地服务、全力推进项目建设。</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 xml:space="preserve">（一）鼓足干劲开展招商引资工作  </w:t>
      </w:r>
    </w:p>
    <w:p>
      <w:pPr>
        <w:pStyle w:val="24"/>
      </w:pPr>
      <w:r>
        <w:t>密集对接，通过小团组招商活动储备在谈项目。围绕医药、医疗器械、合成生物制造等相关重点产业，积极开展走出去、请进来招商，借助生命科学大会、康养论坛等方式，大力宣传“7+6”政策，密切跟踪对接意向企业，加强沟通交流，并适时邀请重点客商来新区进行考察。共赴北京、深圳、上海、嘉兴、西安等地外出团组招商12次，拜访企业38家，邀请接待客商考察28次，联系企业发送邀请函80余次，累计洽谈对接项目80余个，储备在谈项目30个。</w:t>
      </w:r>
    </w:p>
    <w:p>
      <w:pPr>
        <w:pStyle w:val="24"/>
      </w:pPr>
      <w:r>
        <w:t>（二）多措并举服务项目企业</w:t>
      </w:r>
    </w:p>
    <w:p>
      <w:pPr>
        <w:pStyle w:val="24"/>
      </w:pPr>
      <w:r>
        <w:t>一是开展提前介入服务，主动对接招商部门和项目单位，参与招商洽谈环节，提前了解洽谈项目的具体情况和诉求，定制服务方案、谋划包装项目、建立项目储备库，为推进项目尽快落地做好准备。二是开展项目联合指导服务，组织多部门联合指导会、建设项目手续办理培训会、专利申报培训等指导服务。三是落实“签约即帮办”工作制度，明确专人通过“一对一”帮助企业开展项目手续办理，按照清单制报建制为企业办理人提供申报所需材料清单，协助办事人员准备好申报材料，为其量身定制“最简流程图”，指定专人协助完成相关审批前的资料准备。</w:t>
      </w:r>
    </w:p>
    <w:p>
      <w:pPr>
        <w:pStyle w:val="24"/>
      </w:pPr>
      <w:r>
        <w:t>（三）产业新城项目整体处置取得突破</w:t>
      </w:r>
    </w:p>
    <w:p>
      <w:pPr>
        <w:pStyle w:val="24"/>
      </w:pPr>
      <w:r>
        <w:t>一是产业港产权交易取得实质性进展。协调组织完成交易税费测算、产业新城投资审计认定、资产重新评估方面、产权交易合同条款商定、产权转移资料整备，并积极推进债务纠纷和解、资本金筹措方面、银行贷款资金落实等工作；二是配合新区财政部门和华夏幸福，完成了剩余已完工项目的审计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（一）加强组织领导，明确工作责任。</w:t>
      </w:r>
    </w:p>
    <w:p>
      <w:pPr>
        <w:pStyle w:val="25"/>
      </w:pPr>
      <w:r>
        <w:t>高度重视预算绩效各项工作，切实加强领导，增强责任意识，精心谋划，周密部署，明确责任分工，扎实推动，确保落实。</w:t>
      </w:r>
    </w:p>
    <w:p>
      <w:pPr>
        <w:pStyle w:val="25"/>
      </w:pPr>
      <w:r>
        <w:t>（二）完善制度建设</w:t>
      </w:r>
    </w:p>
    <w:p>
      <w:pPr>
        <w:pStyle w:val="25"/>
      </w:pPr>
      <w:r>
        <w:t>建立健全管理制度，认真梳理部门职责、工作内容，建立了规范的绩效预算管理结构，健全了绩效目标指标体系。</w:t>
      </w:r>
    </w:p>
    <w:p>
      <w:pPr>
        <w:pStyle w:val="25"/>
      </w:pPr>
      <w:r>
        <w:t>（三）加强支出管理</w:t>
      </w:r>
    </w:p>
    <w:p>
      <w:pPr>
        <w:pStyle w:val="25"/>
      </w:pPr>
      <w:r>
        <w:t>严格执行国家的财政、财务制度、开支范围和标准，建立健全必要的支出管理制度和手续，分清各种支出界限，按照批准的严格审批手续。</w:t>
      </w:r>
    </w:p>
    <w:p>
      <w:pPr>
        <w:pStyle w:val="25"/>
      </w:pPr>
      <w:r>
        <w:t>（四）加强绩效运行监控</w:t>
      </w:r>
    </w:p>
    <w:p>
      <w:pPr>
        <w:pStyle w:val="25"/>
        <w:sectPr>
          <w:pgSz w:w="16840" w:h="11900" w:orient="landscape"/>
          <w:pgMar w:top="1361" w:right="1020" w:bottom="1361" w:left="1020" w:header="720" w:footer="720" w:gutter="0"/>
          <w:cols w:space="720" w:num="1"/>
        </w:sectPr>
      </w:pPr>
      <w:r>
        <w:t>加强对预算执行的监督检查，依据充分、制度健全、资金使用规范、监管责任落实到位，较好发挥财政资金使用效益。</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1、营商环境和企业服务工作经费绩效目标表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13031325P00880510467Y</w:t>
            </w:r>
          </w:p>
        </w:tc>
        <w:tc>
          <w:tcPr>
            <w:tcW w:w="2835" w:type="dxa"/>
            <w:vAlign w:val="center"/>
          </w:tcPr>
          <w:p>
            <w:pPr>
              <w:pStyle w:val="12"/>
            </w:pPr>
            <w:r>
              <w:t>项目名称</w:t>
            </w:r>
          </w:p>
        </w:tc>
        <w:tc>
          <w:tcPr>
            <w:tcW w:w="6095" w:type="dxa"/>
            <w:gridSpan w:val="3"/>
            <w:vAlign w:val="center"/>
          </w:tcPr>
          <w:p>
            <w:pPr>
              <w:pStyle w:val="14"/>
            </w:pPr>
            <w:r>
              <w:t>营商环境和企业服务工作经费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根据方案营商环境和企业服务局落实执行，营商环境建设、招商引资、项目落地、政策落实、企业服务等相关职能并开展具体工作。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1.多层面多渠道招大引强；强化项目要素保障；保障营商环境推广工作提质增效。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服务企业数量</w:t>
            </w:r>
          </w:p>
        </w:tc>
        <w:tc>
          <w:tcPr>
            <w:tcW w:w="5386" w:type="dxa"/>
            <w:vAlign w:val="center"/>
          </w:tcPr>
          <w:p>
            <w:pPr>
              <w:pStyle w:val="14"/>
            </w:pPr>
            <w:r>
              <w:t>根据部门职责和招商引资情况，需要服务企业的数量</w:t>
            </w:r>
          </w:p>
        </w:tc>
        <w:tc>
          <w:tcPr>
            <w:tcW w:w="2268" w:type="dxa"/>
            <w:vAlign w:val="center"/>
          </w:tcPr>
          <w:p>
            <w:pPr>
              <w:pStyle w:val="14"/>
            </w:pPr>
            <w:r>
              <w:t>≥10个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系统安全运行天数</w:t>
            </w:r>
          </w:p>
          <w:p>
            <w:pPr>
              <w:pStyle w:val="14"/>
            </w:pPr>
          </w:p>
        </w:tc>
        <w:tc>
          <w:tcPr>
            <w:tcW w:w="5386" w:type="dxa"/>
            <w:vAlign w:val="center"/>
          </w:tcPr>
          <w:p>
            <w:pPr>
              <w:pStyle w:val="14"/>
            </w:pPr>
            <w:r>
              <w:t>办公等设备正常运行，无故障的天数</w:t>
            </w:r>
          </w:p>
        </w:tc>
        <w:tc>
          <w:tcPr>
            <w:tcW w:w="2268" w:type="dxa"/>
            <w:vAlign w:val="center"/>
          </w:tcPr>
          <w:p>
            <w:pPr>
              <w:pStyle w:val="14"/>
            </w:pPr>
            <w:r>
              <w:t>≥360天</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系统故障率</w:t>
            </w:r>
          </w:p>
        </w:tc>
        <w:tc>
          <w:tcPr>
            <w:tcW w:w="5386" w:type="dxa"/>
            <w:vAlign w:val="center"/>
          </w:tcPr>
          <w:p>
            <w:pPr>
              <w:pStyle w:val="14"/>
            </w:pPr>
            <w:r>
              <w:t>因系统故障影响不能办理业务的天数比率</w:t>
            </w:r>
          </w:p>
        </w:tc>
        <w:tc>
          <w:tcPr>
            <w:tcW w:w="2268" w:type="dxa"/>
            <w:vAlign w:val="center"/>
          </w:tcPr>
          <w:p>
            <w:pPr>
              <w:pStyle w:val="14"/>
            </w:pPr>
            <w:r>
              <w:t>≤1%</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完成工作及时率</w:t>
            </w:r>
          </w:p>
        </w:tc>
        <w:tc>
          <w:tcPr>
            <w:tcW w:w="5386" w:type="dxa"/>
            <w:vAlign w:val="center"/>
          </w:tcPr>
          <w:p>
            <w:pPr>
              <w:pStyle w:val="14"/>
            </w:pPr>
            <w:r>
              <w:t>反映各项工作完成及时率</w:t>
            </w:r>
          </w:p>
        </w:tc>
        <w:tc>
          <w:tcPr>
            <w:tcW w:w="2268" w:type="dxa"/>
            <w:vAlign w:val="center"/>
          </w:tcPr>
          <w:p>
            <w:pPr>
              <w:pStyle w:val="14"/>
            </w:pPr>
            <w:r>
              <w:t>≥96%</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公文收发情况</w:t>
            </w:r>
          </w:p>
        </w:tc>
        <w:tc>
          <w:tcPr>
            <w:tcW w:w="5386" w:type="dxa"/>
            <w:vAlign w:val="center"/>
          </w:tcPr>
          <w:p>
            <w:pPr>
              <w:pStyle w:val="14"/>
            </w:pPr>
            <w:r>
              <w:t>反映部门接收公文比率</w:t>
            </w:r>
          </w:p>
        </w:tc>
        <w:tc>
          <w:tcPr>
            <w:tcW w:w="2268" w:type="dxa"/>
            <w:vAlign w:val="center"/>
          </w:tcPr>
          <w:p>
            <w:pPr>
              <w:pStyle w:val="14"/>
            </w:pPr>
            <w:r>
              <w:t>≥96%</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成本控制预算数</w:t>
            </w:r>
          </w:p>
        </w:tc>
        <w:tc>
          <w:tcPr>
            <w:tcW w:w="5386" w:type="dxa"/>
            <w:vAlign w:val="center"/>
          </w:tcPr>
          <w:p>
            <w:pPr>
              <w:pStyle w:val="14"/>
            </w:pPr>
            <w:r>
              <w:t>实际支出金额小于预算控制数</w:t>
            </w:r>
          </w:p>
        </w:tc>
        <w:tc>
          <w:tcPr>
            <w:tcW w:w="2268" w:type="dxa"/>
            <w:vAlign w:val="center"/>
          </w:tcPr>
          <w:p>
            <w:pPr>
              <w:pStyle w:val="14"/>
            </w:pPr>
            <w:r>
              <w:t>≤35万</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营商环境持续优化</w:t>
            </w:r>
          </w:p>
        </w:tc>
        <w:tc>
          <w:tcPr>
            <w:tcW w:w="5386" w:type="dxa"/>
            <w:vAlign w:val="center"/>
          </w:tcPr>
          <w:p>
            <w:pPr>
              <w:pStyle w:val="14"/>
            </w:pPr>
            <w:r>
              <w:t>营商环境逐年提升</w:t>
            </w:r>
          </w:p>
        </w:tc>
        <w:tc>
          <w:tcPr>
            <w:tcW w:w="2268" w:type="dxa"/>
            <w:vAlign w:val="center"/>
          </w:tcPr>
          <w:p>
            <w:pPr>
              <w:pStyle w:val="14"/>
            </w:pPr>
            <w:r>
              <w:t>显著提升</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提升经济水平</w:t>
            </w:r>
          </w:p>
        </w:tc>
        <w:tc>
          <w:tcPr>
            <w:tcW w:w="5386" w:type="dxa"/>
            <w:vAlign w:val="center"/>
          </w:tcPr>
          <w:p>
            <w:pPr>
              <w:pStyle w:val="14"/>
            </w:pPr>
            <w:r>
              <w:t>通过招商引资，促进项目落地，带动经济水平</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提升人居环境</w:t>
            </w:r>
          </w:p>
        </w:tc>
        <w:tc>
          <w:tcPr>
            <w:tcW w:w="5386" w:type="dxa"/>
            <w:vAlign w:val="center"/>
          </w:tcPr>
          <w:p>
            <w:pPr>
              <w:pStyle w:val="14"/>
            </w:pPr>
            <w:r>
              <w:t>基础设施配套，人居环境得到提升</w:t>
            </w:r>
          </w:p>
        </w:tc>
        <w:tc>
          <w:tcPr>
            <w:tcW w:w="2268" w:type="dxa"/>
            <w:vAlign w:val="center"/>
          </w:tcPr>
          <w:p>
            <w:pPr>
              <w:pStyle w:val="14"/>
            </w:pPr>
            <w:r>
              <w:t>≥85%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综合满意度</w:t>
            </w:r>
          </w:p>
        </w:tc>
        <w:tc>
          <w:tcPr>
            <w:tcW w:w="5386" w:type="dxa"/>
            <w:vAlign w:val="center"/>
          </w:tcPr>
          <w:p>
            <w:pPr>
              <w:pStyle w:val="14"/>
            </w:pPr>
            <w:r>
              <w:t>被调查单位或群体对本单位工作的满意程度</w:t>
            </w:r>
          </w:p>
        </w:tc>
        <w:tc>
          <w:tcPr>
            <w:tcW w:w="2268" w:type="dxa"/>
            <w:vAlign w:val="center"/>
          </w:tcPr>
          <w:p>
            <w:pPr>
              <w:pStyle w:val="14"/>
            </w:pPr>
            <w:r>
              <w:t>≥90%</w:t>
            </w:r>
          </w:p>
        </w:tc>
        <w:tc>
          <w:tcPr>
            <w:tcW w:w="1276" w:type="dxa"/>
            <w:vAlign w:val="center"/>
          </w:tcPr>
          <w:p>
            <w:pPr>
              <w:pStyle w:val="14"/>
            </w:pPr>
            <w:r>
              <w:t>部门职责和工作计划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2、产业新城开发建设运营资金绩效目标表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13031325P00880410307Q</w:t>
            </w:r>
          </w:p>
        </w:tc>
        <w:tc>
          <w:tcPr>
            <w:tcW w:w="2835" w:type="dxa"/>
            <w:vAlign w:val="center"/>
          </w:tcPr>
          <w:p>
            <w:pPr>
              <w:pStyle w:val="12"/>
            </w:pPr>
            <w:r>
              <w:t>项目名称</w:t>
            </w:r>
          </w:p>
        </w:tc>
        <w:tc>
          <w:tcPr>
            <w:tcW w:w="6095" w:type="dxa"/>
            <w:gridSpan w:val="3"/>
            <w:vAlign w:val="center"/>
          </w:tcPr>
          <w:p>
            <w:pPr>
              <w:pStyle w:val="14"/>
            </w:pPr>
            <w:r>
              <w:t>产业新城开发建设运营资金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2000.00</w:t>
            </w:r>
          </w:p>
        </w:tc>
        <w:tc>
          <w:tcPr>
            <w:tcW w:w="2835" w:type="dxa"/>
            <w:vAlign w:val="center"/>
          </w:tcPr>
          <w:p>
            <w:pPr>
              <w:pStyle w:val="12"/>
            </w:pPr>
            <w:r>
              <w:t>其中：财政    资金</w:t>
            </w:r>
          </w:p>
        </w:tc>
        <w:tc>
          <w:tcPr>
            <w:tcW w:w="2551" w:type="dxa"/>
            <w:vAlign w:val="center"/>
          </w:tcPr>
          <w:p>
            <w:pPr>
              <w:pStyle w:val="14"/>
            </w:pPr>
            <w:r>
              <w:t>2000.00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由社会资本方负责开展基础设施建设、运营、维护，公共设施建设，土地整理投资，产业发展服务及其他咨询服务；</w:t>
            </w:r>
          </w:p>
          <w:p>
            <w:pPr>
              <w:pStyle w:val="14"/>
            </w:pPr>
            <w:r>
              <w:t>推进合作区域内规划编制调整、收储征用土地补偿、建设工程项目实施；</w:t>
            </w:r>
          </w:p>
          <w:p>
            <w:pPr>
              <w:pStyle w:val="14"/>
            </w:pPr>
            <w:r>
              <w:t>完善中心片区路网建设，水电暖等配套设施建设，环境改造提升，提升产业新城城市和产业形象。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1.改善生态环境，完善城市功能，提高人民幸福生活指数</w:t>
            </w:r>
          </w:p>
          <w:p>
            <w:pPr>
              <w:pStyle w:val="14"/>
            </w:pPr>
            <w:r>
              <w:t>2.完善城市公共基础设施配套，保障城市良好运转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完成项目数量</w:t>
            </w:r>
          </w:p>
        </w:tc>
        <w:tc>
          <w:tcPr>
            <w:tcW w:w="5386" w:type="dxa"/>
            <w:vAlign w:val="center"/>
          </w:tcPr>
          <w:p>
            <w:pPr>
              <w:pStyle w:val="14"/>
            </w:pPr>
            <w:r>
              <w:t>完成项目数量</w:t>
            </w:r>
          </w:p>
        </w:tc>
        <w:tc>
          <w:tcPr>
            <w:tcW w:w="2268" w:type="dxa"/>
            <w:vAlign w:val="center"/>
          </w:tcPr>
          <w:p>
            <w:pPr>
              <w:pStyle w:val="14"/>
            </w:pPr>
            <w:r>
              <w:t>≥2个</w:t>
            </w:r>
          </w:p>
        </w:tc>
        <w:tc>
          <w:tcPr>
            <w:tcW w:w="1276" w:type="dxa"/>
            <w:vAlign w:val="center"/>
          </w:tcPr>
          <w:p>
            <w:pPr>
              <w:pStyle w:val="14"/>
            </w:pPr>
            <w:r>
              <w:t>实际数量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公建设施服务人数</w:t>
            </w:r>
          </w:p>
        </w:tc>
        <w:tc>
          <w:tcPr>
            <w:tcW w:w="5386" w:type="dxa"/>
            <w:vAlign w:val="center"/>
          </w:tcPr>
          <w:p>
            <w:pPr>
              <w:pStyle w:val="14"/>
            </w:pPr>
            <w:r>
              <w:t>现有公共设施建筑服务群众人次</w:t>
            </w:r>
          </w:p>
        </w:tc>
        <w:tc>
          <w:tcPr>
            <w:tcW w:w="2268" w:type="dxa"/>
            <w:vAlign w:val="center"/>
          </w:tcPr>
          <w:p>
            <w:pPr>
              <w:pStyle w:val="14"/>
            </w:pPr>
            <w:r>
              <w:t>≥2000人次</w:t>
            </w:r>
          </w:p>
        </w:tc>
        <w:tc>
          <w:tcPr>
            <w:tcW w:w="1276" w:type="dxa"/>
            <w:vAlign w:val="center"/>
          </w:tcPr>
          <w:p>
            <w:pPr>
              <w:pStyle w:val="14"/>
            </w:pPr>
            <w:r>
              <w:t>实际人次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项目（工程）验收合格率</w:t>
            </w:r>
          </w:p>
        </w:tc>
        <w:tc>
          <w:tcPr>
            <w:tcW w:w="5386" w:type="dxa"/>
            <w:vAlign w:val="center"/>
          </w:tcPr>
          <w:p>
            <w:pPr>
              <w:pStyle w:val="14"/>
            </w:pPr>
            <w:r>
              <w:t>项目（工程）验收合格率</w:t>
            </w:r>
          </w:p>
        </w:tc>
        <w:tc>
          <w:tcPr>
            <w:tcW w:w="2268" w:type="dxa"/>
            <w:vAlign w:val="center"/>
          </w:tcPr>
          <w:p>
            <w:pPr>
              <w:pStyle w:val="14"/>
            </w:pPr>
            <w:r>
              <w:t>≥100%</w:t>
            </w:r>
          </w:p>
        </w:tc>
        <w:tc>
          <w:tcPr>
            <w:tcW w:w="1276" w:type="dxa"/>
            <w:vAlign w:val="center"/>
          </w:tcPr>
          <w:p>
            <w:pPr>
              <w:pStyle w:val="14"/>
            </w:pPr>
            <w:r>
              <w:t>实际比例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项目（工程）完成及时率</w:t>
            </w:r>
          </w:p>
        </w:tc>
        <w:tc>
          <w:tcPr>
            <w:tcW w:w="5386" w:type="dxa"/>
            <w:vAlign w:val="center"/>
          </w:tcPr>
          <w:p>
            <w:pPr>
              <w:pStyle w:val="14"/>
            </w:pPr>
            <w:r>
              <w:t>项目（工程）完成及时率</w:t>
            </w:r>
          </w:p>
        </w:tc>
        <w:tc>
          <w:tcPr>
            <w:tcW w:w="2268" w:type="dxa"/>
            <w:vAlign w:val="center"/>
          </w:tcPr>
          <w:p>
            <w:pPr>
              <w:pStyle w:val="14"/>
            </w:pPr>
            <w:r>
              <w:t>≥90%</w:t>
            </w:r>
          </w:p>
        </w:tc>
        <w:tc>
          <w:tcPr>
            <w:tcW w:w="1276" w:type="dxa"/>
            <w:vAlign w:val="center"/>
          </w:tcPr>
          <w:p>
            <w:pPr>
              <w:pStyle w:val="14"/>
            </w:pPr>
            <w:r>
              <w:t>实际比例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受益人数</w:t>
            </w:r>
          </w:p>
        </w:tc>
        <w:tc>
          <w:tcPr>
            <w:tcW w:w="5386" w:type="dxa"/>
            <w:vAlign w:val="center"/>
          </w:tcPr>
          <w:p>
            <w:pPr>
              <w:pStyle w:val="14"/>
            </w:pPr>
            <w:r>
              <w:t>受益人数</w:t>
            </w:r>
          </w:p>
        </w:tc>
        <w:tc>
          <w:tcPr>
            <w:tcW w:w="2268" w:type="dxa"/>
            <w:vAlign w:val="center"/>
          </w:tcPr>
          <w:p>
            <w:pPr>
              <w:pStyle w:val="14"/>
            </w:pPr>
            <w:r>
              <w:t>≥3000人次</w:t>
            </w:r>
          </w:p>
        </w:tc>
        <w:tc>
          <w:tcPr>
            <w:tcW w:w="1276" w:type="dxa"/>
            <w:vAlign w:val="center"/>
          </w:tcPr>
          <w:p>
            <w:pPr>
              <w:pStyle w:val="14"/>
            </w:pPr>
            <w:r>
              <w:t>实际人次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域内新增税收</w:t>
            </w:r>
          </w:p>
        </w:tc>
        <w:tc>
          <w:tcPr>
            <w:tcW w:w="5386" w:type="dxa"/>
            <w:vAlign w:val="center"/>
          </w:tcPr>
          <w:p>
            <w:pPr>
              <w:pStyle w:val="14"/>
            </w:pPr>
            <w:r>
              <w:t>企业缴纳的税款</w:t>
            </w:r>
          </w:p>
        </w:tc>
        <w:tc>
          <w:tcPr>
            <w:tcW w:w="2268" w:type="dxa"/>
            <w:vAlign w:val="center"/>
          </w:tcPr>
          <w:p>
            <w:pPr>
              <w:pStyle w:val="14"/>
            </w:pPr>
            <w:r>
              <w:t>≥200万元</w:t>
            </w:r>
          </w:p>
        </w:tc>
        <w:tc>
          <w:tcPr>
            <w:tcW w:w="1276" w:type="dxa"/>
            <w:vAlign w:val="center"/>
          </w:tcPr>
          <w:p>
            <w:pPr>
              <w:pStyle w:val="14"/>
            </w:pPr>
            <w:r>
              <w:t>实际纳税额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城市环境</w:t>
            </w:r>
          </w:p>
        </w:tc>
        <w:tc>
          <w:tcPr>
            <w:tcW w:w="5386" w:type="dxa"/>
            <w:vAlign w:val="center"/>
          </w:tcPr>
          <w:p>
            <w:pPr>
              <w:pStyle w:val="14"/>
            </w:pPr>
            <w:r>
              <w:t>公园、绿化等环境提升面积</w:t>
            </w:r>
          </w:p>
        </w:tc>
        <w:tc>
          <w:tcPr>
            <w:tcW w:w="2268" w:type="dxa"/>
            <w:vAlign w:val="center"/>
          </w:tcPr>
          <w:p>
            <w:pPr>
              <w:pStyle w:val="14"/>
            </w:pPr>
            <w:r>
              <w:t>≥5000平米</w:t>
            </w:r>
          </w:p>
        </w:tc>
        <w:tc>
          <w:tcPr>
            <w:tcW w:w="1276" w:type="dxa"/>
            <w:vAlign w:val="center"/>
          </w:tcPr>
          <w:p>
            <w:pPr>
              <w:pStyle w:val="14"/>
            </w:pPr>
            <w:r>
              <w:t>完工绿化面积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入区企业满意度</w:t>
            </w:r>
          </w:p>
        </w:tc>
        <w:tc>
          <w:tcPr>
            <w:tcW w:w="5386" w:type="dxa"/>
            <w:vAlign w:val="center"/>
          </w:tcPr>
          <w:p>
            <w:pPr>
              <w:pStyle w:val="14"/>
            </w:pPr>
            <w:r>
              <w:t>产业新城片区内企业满意度</w:t>
            </w:r>
          </w:p>
        </w:tc>
        <w:tc>
          <w:tcPr>
            <w:tcW w:w="2268" w:type="dxa"/>
            <w:vAlign w:val="center"/>
          </w:tcPr>
          <w:p>
            <w:pPr>
              <w:pStyle w:val="14"/>
            </w:pPr>
            <w:r>
              <w:t>≥90%</w:t>
            </w:r>
          </w:p>
        </w:tc>
        <w:tc>
          <w:tcPr>
            <w:tcW w:w="1276" w:type="dxa"/>
            <w:vAlign w:val="center"/>
          </w:tcPr>
          <w:p>
            <w:pPr>
              <w:pStyle w:val="14"/>
            </w:pPr>
            <w:r>
              <w:t>电话走访、现场调研</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2.63</w:t>
            </w:r>
          </w:p>
        </w:tc>
        <w:tc>
          <w:tcPr>
            <w:tcW w:w="964" w:type="dxa"/>
            <w:vAlign w:val="center"/>
          </w:tcPr>
          <w:p>
            <w:pPr>
              <w:pStyle w:val="17"/>
            </w:pPr>
            <w:r>
              <w:t>2.63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秦皇岛北戴河新区营商环境和企业服务局本级小计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2.63</w:t>
            </w:r>
          </w:p>
        </w:tc>
        <w:tc>
          <w:tcPr>
            <w:tcW w:w="964" w:type="dxa"/>
            <w:vAlign w:val="center"/>
          </w:tcPr>
          <w:p>
            <w:pPr>
              <w:pStyle w:val="17"/>
            </w:pPr>
            <w:r>
              <w:t>2.63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公用经费二</w:t>
            </w:r>
          </w:p>
        </w:tc>
        <w:tc>
          <w:tcPr>
            <w:tcW w:w="964" w:type="dxa"/>
            <w:vAlign w:val="center"/>
          </w:tcPr>
          <w:p>
            <w:pPr>
              <w:pStyle w:val="13"/>
            </w:pPr>
            <w:r>
              <w:t>7.12</w:t>
            </w:r>
          </w:p>
        </w:tc>
        <w:tc>
          <w:tcPr>
            <w:tcW w:w="1134" w:type="dxa"/>
            <w:vAlign w:val="center"/>
          </w:tcPr>
          <w:p>
            <w:pPr>
              <w:pStyle w:val="14"/>
            </w:pPr>
            <w:r>
              <w:t>一般会议服务</w:t>
            </w:r>
          </w:p>
        </w:tc>
        <w:tc>
          <w:tcPr>
            <w:tcW w:w="1134" w:type="dxa"/>
            <w:vAlign w:val="center"/>
          </w:tcPr>
          <w:p>
            <w:pPr>
              <w:pStyle w:val="14"/>
            </w:pPr>
            <w:r>
              <w:t>C22010200</w:t>
            </w:r>
          </w:p>
        </w:tc>
        <w:tc>
          <w:tcPr>
            <w:tcW w:w="709" w:type="dxa"/>
            <w:vAlign w:val="center"/>
          </w:tcPr>
          <w:p>
            <w:pPr>
              <w:pStyle w:val="15"/>
            </w:pPr>
            <w:r>
              <w:t>项</w:t>
            </w:r>
          </w:p>
        </w:tc>
        <w:tc>
          <w:tcPr>
            <w:tcW w:w="850" w:type="dxa"/>
            <w:vAlign w:val="center"/>
          </w:tcPr>
          <w:p>
            <w:pPr>
              <w:pStyle w:val="13"/>
            </w:pPr>
            <w:r>
              <w:t>5</w:t>
            </w:r>
          </w:p>
        </w:tc>
        <w:tc>
          <w:tcPr>
            <w:tcW w:w="850" w:type="dxa"/>
            <w:vAlign w:val="center"/>
          </w:tcPr>
          <w:p>
            <w:pPr>
              <w:pStyle w:val="13"/>
            </w:pPr>
            <w:r>
              <w:t>0.20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6.89</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0.56</w:t>
            </w:r>
          </w:p>
        </w:tc>
        <w:tc>
          <w:tcPr>
            <w:tcW w:w="964" w:type="dxa"/>
            <w:vAlign w:val="center"/>
          </w:tcPr>
          <w:p>
            <w:pPr>
              <w:pStyle w:val="13"/>
            </w:pPr>
            <w:r>
              <w:t>0.56</w:t>
            </w:r>
          </w:p>
        </w:tc>
        <w:tc>
          <w:tcPr>
            <w:tcW w:w="964" w:type="dxa"/>
            <w:vAlign w:val="center"/>
          </w:tcPr>
          <w:p>
            <w:pPr>
              <w:pStyle w:val="13"/>
            </w:pPr>
            <w:r>
              <w:t>0.56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6.89</w:t>
            </w:r>
          </w:p>
        </w:tc>
        <w:tc>
          <w:tcPr>
            <w:tcW w:w="1134" w:type="dxa"/>
            <w:vAlign w:val="center"/>
          </w:tcPr>
          <w:p>
            <w:pPr>
              <w:pStyle w:val="14"/>
            </w:pPr>
            <w:r>
              <w:t>其他打印机</w:t>
            </w:r>
          </w:p>
        </w:tc>
        <w:tc>
          <w:tcPr>
            <w:tcW w:w="1134" w:type="dxa"/>
            <w:vAlign w:val="center"/>
          </w:tcPr>
          <w:p>
            <w:pPr>
              <w:pStyle w:val="14"/>
            </w:pPr>
            <w:r>
              <w:t>A02021099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0.20</w:t>
            </w:r>
          </w:p>
        </w:tc>
        <w:tc>
          <w:tcPr>
            <w:tcW w:w="964" w:type="dxa"/>
            <w:vAlign w:val="center"/>
          </w:tcPr>
          <w:p>
            <w:pPr>
              <w:pStyle w:val="13"/>
            </w:pPr>
            <w:r>
              <w:t>0.20</w:t>
            </w:r>
          </w:p>
        </w:tc>
        <w:tc>
          <w:tcPr>
            <w:tcW w:w="964" w:type="dxa"/>
            <w:vAlign w:val="center"/>
          </w:tcPr>
          <w:p>
            <w:pPr>
              <w:pStyle w:val="13"/>
            </w:pPr>
            <w:r>
              <w:t>0.20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6.89</w:t>
            </w:r>
          </w:p>
        </w:tc>
        <w:tc>
          <w:tcPr>
            <w:tcW w:w="1134" w:type="dxa"/>
            <w:vAlign w:val="center"/>
          </w:tcPr>
          <w:p>
            <w:pPr>
              <w:pStyle w:val="14"/>
            </w:pPr>
            <w:r>
              <w:t>其他输入输出设备</w:t>
            </w:r>
          </w:p>
        </w:tc>
        <w:tc>
          <w:tcPr>
            <w:tcW w:w="1134" w:type="dxa"/>
            <w:vAlign w:val="center"/>
          </w:tcPr>
          <w:p>
            <w:pPr>
              <w:pStyle w:val="14"/>
            </w:pPr>
            <w:r>
              <w:t>A02021199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0.20</w:t>
            </w:r>
          </w:p>
        </w:tc>
        <w:tc>
          <w:tcPr>
            <w:tcW w:w="964" w:type="dxa"/>
            <w:vAlign w:val="center"/>
          </w:tcPr>
          <w:p>
            <w:pPr>
              <w:pStyle w:val="13"/>
            </w:pPr>
            <w:r>
              <w:t>0.20</w:t>
            </w:r>
          </w:p>
        </w:tc>
        <w:tc>
          <w:tcPr>
            <w:tcW w:w="964" w:type="dxa"/>
            <w:vAlign w:val="center"/>
          </w:tcPr>
          <w:p>
            <w:pPr>
              <w:pStyle w:val="13"/>
            </w:pPr>
            <w:r>
              <w:t>0.20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6.89</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100</w:t>
            </w:r>
          </w:p>
        </w:tc>
        <w:tc>
          <w:tcPr>
            <w:tcW w:w="850" w:type="dxa"/>
            <w:vAlign w:val="center"/>
          </w:tcPr>
          <w:p>
            <w:pPr>
              <w:pStyle w:val="13"/>
            </w:pPr>
            <w:r>
              <w:t>0.00</w:t>
            </w:r>
          </w:p>
        </w:tc>
        <w:tc>
          <w:tcPr>
            <w:tcW w:w="964" w:type="dxa"/>
            <w:vAlign w:val="center"/>
          </w:tcPr>
          <w:p>
            <w:pPr>
              <w:pStyle w:val="13"/>
            </w:pPr>
            <w:r>
              <w:t>0.17</w:t>
            </w:r>
          </w:p>
        </w:tc>
        <w:tc>
          <w:tcPr>
            <w:tcW w:w="964" w:type="dxa"/>
            <w:vAlign w:val="center"/>
          </w:tcPr>
          <w:p>
            <w:pPr>
              <w:pStyle w:val="13"/>
            </w:pPr>
            <w:r>
              <w:t>0.17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6.89</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0.50</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秦皇岛北戴河新区营商环境和企业服务局（含所属单位）上年末固定资产金额为3.03万元（详见下表）。本年度拟购置固定资产总额为1.00万元，已按要求列入政府采购预算，详见政府采购预算表。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236秦皇岛北戴河新区营商环境和企业服务局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3.03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13</w:t>
            </w:r>
          </w:p>
        </w:tc>
        <w:tc>
          <w:tcPr>
            <w:tcW w:w="2835" w:type="dxa"/>
            <w:vAlign w:val="center"/>
          </w:tcPr>
          <w:p>
            <w:pPr>
              <w:pStyle w:val="13"/>
            </w:pPr>
            <w:r>
              <w:t>3.03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94A5B"/>
    <w:multiLevelType w:val="singleLevel"/>
    <w:tmpl w:val="C6494A5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C76D4"/>
    <w:rsid w:val="0D7D385F"/>
    <w:rsid w:val="17E24FD5"/>
    <w:rsid w:val="2FE63583"/>
    <w:rsid w:val="3EDB0C13"/>
    <w:rsid w:val="5DA31380"/>
    <w:rsid w:val="5E23324B"/>
    <w:rsid w:val="6792324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TotalTime>10</TotalTime>
  <ScaleCrop>false</ScaleCrop>
  <LinksUpToDate>false</LinksUpToDate>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2025-02-17T14:22:00Z</dcterms:created>
  <dc:creator>投融资科</dc:creator>
  <cp:lastModifiedBy>七彩凌云郡主</cp:lastModifiedBy>
  <dcterms:modified xsi:type="dcterms:W3CDTF">2025-11-24T07:15:51Z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49CEAF0FF43844609E6F5A8A85CFA6CF</vt:lpwstr>
  </property>
</Properties>
</file>