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一、秦皇岛北戴河新区营商环境和企业服务局本级收支预算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一、秦皇岛北戴河新区营商环境和企业服务局本级收支预算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170.01</w:t>
            </w:r>
          </w:p>
        </w:tc>
        <w:tc>
          <w:tcPr>
            <w:tcW w:w="4535" w:type="dxa"/>
            <w:vAlign w:val="center"/>
          </w:tcPr>
          <w:p>
            <w:pPr>
              <w:pStyle w:val="12"/>
            </w:pPr>
            <w:r>
              <w:t>一、一般公共服务支出</w:t>
            </w:r>
          </w:p>
        </w:tc>
        <w:tc>
          <w:tcPr>
            <w:tcW w:w="2126" w:type="dxa"/>
            <w:vAlign w:val="center"/>
          </w:tcPr>
          <w:p>
            <w:pPr>
              <w:pStyle w:val="11"/>
            </w:pPr>
            <w:r>
              <w:t>170.01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2000.00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2170.01</w:t>
            </w:r>
          </w:p>
        </w:tc>
        <w:tc>
          <w:tcPr>
            <w:tcW w:w="4535" w:type="dxa"/>
            <w:vAlign w:val="center"/>
          </w:tcPr>
          <w:p>
            <w:pPr>
              <w:pStyle w:val="14"/>
            </w:pPr>
            <w:r>
              <w:t>本年支出合计</w:t>
            </w:r>
          </w:p>
        </w:tc>
        <w:tc>
          <w:tcPr>
            <w:tcW w:w="2126" w:type="dxa"/>
            <w:vAlign w:val="center"/>
          </w:tcPr>
          <w:p>
            <w:pPr>
              <w:pStyle w:val="15"/>
            </w:pPr>
            <w:r>
              <w:t>2170.01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2170.01</w:t>
            </w:r>
          </w:p>
        </w:tc>
        <w:tc>
          <w:tcPr>
            <w:tcW w:w="4535" w:type="dxa"/>
            <w:vAlign w:val="center"/>
          </w:tcPr>
          <w:p>
            <w:pPr>
              <w:pStyle w:val="14"/>
            </w:pPr>
            <w:r>
              <w:t>支出总计</w:t>
            </w:r>
          </w:p>
        </w:tc>
        <w:tc>
          <w:tcPr>
            <w:tcW w:w="2126" w:type="dxa"/>
            <w:vAlign w:val="center"/>
          </w:tcPr>
          <w:p>
            <w:pPr>
              <w:pStyle w:val="15"/>
            </w:pPr>
            <w:r>
              <w:t>2170.01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2170.01</w:t>
            </w:r>
          </w:p>
        </w:tc>
        <w:tc>
          <w:tcPr>
            <w:tcW w:w="1134" w:type="dxa"/>
            <w:vAlign w:val="center"/>
          </w:tcPr>
          <w:p>
            <w:pPr>
              <w:pStyle w:val="15"/>
            </w:pPr>
            <w:r>
              <w:t>2170.01</w:t>
            </w:r>
          </w:p>
        </w:tc>
        <w:tc>
          <w:tcPr>
            <w:tcW w:w="1134" w:type="dxa"/>
            <w:vAlign w:val="center"/>
          </w:tcPr>
          <w:p>
            <w:pPr>
              <w:pStyle w:val="15"/>
            </w:pPr>
            <w:r>
              <w:t>2170.01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170.01</w:t>
            </w:r>
          </w:p>
        </w:tc>
        <w:tc>
          <w:tcPr>
            <w:tcW w:w="1134" w:type="dxa"/>
            <w:vAlign w:val="center"/>
          </w:tcPr>
          <w:p>
            <w:pPr>
              <w:pStyle w:val="11"/>
            </w:pPr>
            <w:r>
              <w:t>170.01</w:t>
            </w:r>
          </w:p>
        </w:tc>
        <w:tc>
          <w:tcPr>
            <w:tcW w:w="1134" w:type="dxa"/>
            <w:vAlign w:val="center"/>
          </w:tcPr>
          <w:p>
            <w:pPr>
              <w:pStyle w:val="11"/>
            </w:pPr>
            <w:r>
              <w:t>170.01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170.01</w:t>
            </w:r>
          </w:p>
        </w:tc>
        <w:tc>
          <w:tcPr>
            <w:tcW w:w="1134" w:type="dxa"/>
            <w:vAlign w:val="center"/>
          </w:tcPr>
          <w:p>
            <w:pPr>
              <w:pStyle w:val="11"/>
            </w:pPr>
            <w:r>
              <w:t>170.01</w:t>
            </w:r>
          </w:p>
        </w:tc>
        <w:tc>
          <w:tcPr>
            <w:tcW w:w="1134" w:type="dxa"/>
            <w:vAlign w:val="center"/>
          </w:tcPr>
          <w:p>
            <w:pPr>
              <w:pStyle w:val="11"/>
            </w:pPr>
            <w:r>
              <w:t>170.01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2011308</w:t>
            </w:r>
          </w:p>
        </w:tc>
        <w:tc>
          <w:tcPr>
            <w:tcW w:w="1559" w:type="dxa"/>
            <w:vAlign w:val="center"/>
          </w:tcPr>
          <w:p>
            <w:pPr>
              <w:pStyle w:val="12"/>
            </w:pPr>
            <w:r>
              <w:t>招商引资</w:t>
            </w:r>
          </w:p>
        </w:tc>
        <w:tc>
          <w:tcPr>
            <w:tcW w:w="1134" w:type="dxa"/>
            <w:vAlign w:val="center"/>
          </w:tcPr>
          <w:p>
            <w:pPr>
              <w:pStyle w:val="11"/>
            </w:pPr>
            <w:r>
              <w:t>170.01</w:t>
            </w:r>
          </w:p>
        </w:tc>
        <w:tc>
          <w:tcPr>
            <w:tcW w:w="1134" w:type="dxa"/>
            <w:vAlign w:val="center"/>
          </w:tcPr>
          <w:p>
            <w:pPr>
              <w:pStyle w:val="11"/>
            </w:pPr>
            <w:r>
              <w:t>170.01</w:t>
            </w:r>
          </w:p>
        </w:tc>
        <w:tc>
          <w:tcPr>
            <w:tcW w:w="1134" w:type="dxa"/>
            <w:vAlign w:val="center"/>
          </w:tcPr>
          <w:p>
            <w:pPr>
              <w:pStyle w:val="11"/>
            </w:pPr>
            <w:r>
              <w:t>170.01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2120803</w:t>
            </w:r>
          </w:p>
        </w:tc>
        <w:tc>
          <w:tcPr>
            <w:tcW w:w="1559" w:type="dxa"/>
            <w:vAlign w:val="center"/>
          </w:tcPr>
          <w:p>
            <w:pPr>
              <w:pStyle w:val="12"/>
            </w:pPr>
            <w:r>
              <w:t>城市建设支出</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2170.01</w:t>
            </w:r>
          </w:p>
        </w:tc>
        <w:tc>
          <w:tcPr>
            <w:tcW w:w="1361" w:type="dxa"/>
            <w:vAlign w:val="center"/>
          </w:tcPr>
          <w:p>
            <w:pPr>
              <w:pStyle w:val="15"/>
            </w:pPr>
            <w:r>
              <w:t>130.01</w:t>
            </w:r>
          </w:p>
        </w:tc>
        <w:tc>
          <w:tcPr>
            <w:tcW w:w="1361" w:type="dxa"/>
            <w:vAlign w:val="center"/>
          </w:tcPr>
          <w:p>
            <w:pPr>
              <w:pStyle w:val="15"/>
            </w:pPr>
            <w:r>
              <w:t>2040.00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170.01</w:t>
            </w:r>
          </w:p>
        </w:tc>
        <w:tc>
          <w:tcPr>
            <w:tcW w:w="1361" w:type="dxa"/>
            <w:vAlign w:val="center"/>
          </w:tcPr>
          <w:p>
            <w:pPr>
              <w:pStyle w:val="11"/>
            </w:pPr>
            <w:r>
              <w:t>130.01</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170.01</w:t>
            </w:r>
          </w:p>
        </w:tc>
        <w:tc>
          <w:tcPr>
            <w:tcW w:w="1361" w:type="dxa"/>
            <w:vAlign w:val="center"/>
          </w:tcPr>
          <w:p>
            <w:pPr>
              <w:pStyle w:val="11"/>
            </w:pPr>
            <w:r>
              <w:t>130.01</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2011308</w:t>
            </w:r>
          </w:p>
        </w:tc>
        <w:tc>
          <w:tcPr>
            <w:tcW w:w="4535" w:type="dxa"/>
            <w:vAlign w:val="center"/>
          </w:tcPr>
          <w:p>
            <w:pPr>
              <w:pStyle w:val="12"/>
            </w:pPr>
            <w:r>
              <w:t>招商引资</w:t>
            </w:r>
          </w:p>
        </w:tc>
        <w:tc>
          <w:tcPr>
            <w:tcW w:w="1361" w:type="dxa"/>
            <w:vAlign w:val="center"/>
          </w:tcPr>
          <w:p>
            <w:pPr>
              <w:pStyle w:val="11"/>
            </w:pPr>
            <w:r>
              <w:t>170.01</w:t>
            </w:r>
          </w:p>
        </w:tc>
        <w:tc>
          <w:tcPr>
            <w:tcW w:w="1361" w:type="dxa"/>
            <w:vAlign w:val="center"/>
          </w:tcPr>
          <w:p>
            <w:pPr>
              <w:pStyle w:val="11"/>
            </w:pPr>
            <w:r>
              <w:t>130.01</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2120803</w:t>
            </w:r>
          </w:p>
        </w:tc>
        <w:tc>
          <w:tcPr>
            <w:tcW w:w="4535" w:type="dxa"/>
            <w:vAlign w:val="center"/>
          </w:tcPr>
          <w:p>
            <w:pPr>
              <w:pStyle w:val="12"/>
            </w:pPr>
            <w:r>
              <w:t>城市建设支出</w:t>
            </w: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170.01</w:t>
            </w:r>
          </w:p>
        </w:tc>
        <w:tc>
          <w:tcPr>
            <w:tcW w:w="3402" w:type="dxa"/>
            <w:vAlign w:val="center"/>
          </w:tcPr>
          <w:p>
            <w:pPr>
              <w:pStyle w:val="12"/>
            </w:pPr>
            <w:r>
              <w:t>一、一般公共服务支出</w:t>
            </w:r>
          </w:p>
        </w:tc>
        <w:tc>
          <w:tcPr>
            <w:tcW w:w="1474" w:type="dxa"/>
            <w:vAlign w:val="center"/>
          </w:tcPr>
          <w:p>
            <w:pPr>
              <w:pStyle w:val="11"/>
            </w:pPr>
            <w:r>
              <w:t>170.01</w:t>
            </w:r>
          </w:p>
        </w:tc>
        <w:tc>
          <w:tcPr>
            <w:tcW w:w="1474" w:type="dxa"/>
            <w:vAlign w:val="center"/>
          </w:tcPr>
          <w:p>
            <w:pPr>
              <w:pStyle w:val="11"/>
            </w:pPr>
            <w:r>
              <w:t>170.01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2000.00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2000.00</w:t>
            </w:r>
          </w:p>
        </w:tc>
        <w:tc>
          <w:tcPr>
            <w:tcW w:w="1474" w:type="dxa"/>
            <w:vAlign w:val="center"/>
          </w:tcPr>
          <w:p>
            <w:pPr>
              <w:pStyle w:val="11"/>
            </w:pPr>
          </w:p>
        </w:tc>
        <w:tc>
          <w:tcPr>
            <w:tcW w:w="1474" w:type="dxa"/>
            <w:vAlign w:val="center"/>
          </w:tcPr>
          <w:p>
            <w:pPr>
              <w:pStyle w:val="11"/>
            </w:pPr>
            <w:r>
              <w:t>2000.00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2170.01</w:t>
            </w:r>
          </w:p>
        </w:tc>
        <w:tc>
          <w:tcPr>
            <w:tcW w:w="3402" w:type="dxa"/>
            <w:vAlign w:val="center"/>
          </w:tcPr>
          <w:p>
            <w:pPr>
              <w:pStyle w:val="14"/>
            </w:pPr>
            <w:r>
              <w:t>本年支出合计</w:t>
            </w:r>
          </w:p>
        </w:tc>
        <w:tc>
          <w:tcPr>
            <w:tcW w:w="1474" w:type="dxa"/>
            <w:vAlign w:val="center"/>
          </w:tcPr>
          <w:p>
            <w:pPr>
              <w:pStyle w:val="15"/>
            </w:pPr>
            <w:r>
              <w:t>2170.01</w:t>
            </w:r>
          </w:p>
        </w:tc>
        <w:tc>
          <w:tcPr>
            <w:tcW w:w="1474" w:type="dxa"/>
            <w:vAlign w:val="center"/>
          </w:tcPr>
          <w:p>
            <w:pPr>
              <w:pStyle w:val="15"/>
            </w:pPr>
            <w:r>
              <w:t>170.01</w:t>
            </w:r>
          </w:p>
        </w:tc>
        <w:tc>
          <w:tcPr>
            <w:tcW w:w="1474" w:type="dxa"/>
            <w:vAlign w:val="center"/>
          </w:tcPr>
          <w:p>
            <w:pPr>
              <w:pStyle w:val="15"/>
            </w:pPr>
            <w:r>
              <w:t>2000.00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2170.01</w:t>
            </w:r>
          </w:p>
        </w:tc>
        <w:tc>
          <w:tcPr>
            <w:tcW w:w="3402" w:type="dxa"/>
            <w:vAlign w:val="center"/>
          </w:tcPr>
          <w:p>
            <w:pPr>
              <w:pStyle w:val="14"/>
            </w:pPr>
            <w:r>
              <w:t>支出总计</w:t>
            </w:r>
          </w:p>
        </w:tc>
        <w:tc>
          <w:tcPr>
            <w:tcW w:w="1474" w:type="dxa"/>
            <w:vAlign w:val="center"/>
          </w:tcPr>
          <w:p>
            <w:pPr>
              <w:pStyle w:val="15"/>
            </w:pPr>
            <w:r>
              <w:t>2170.01</w:t>
            </w:r>
          </w:p>
        </w:tc>
        <w:tc>
          <w:tcPr>
            <w:tcW w:w="1474" w:type="dxa"/>
            <w:vAlign w:val="center"/>
          </w:tcPr>
          <w:p>
            <w:pPr>
              <w:pStyle w:val="15"/>
            </w:pPr>
            <w:r>
              <w:t>170.01</w:t>
            </w:r>
          </w:p>
        </w:tc>
        <w:tc>
          <w:tcPr>
            <w:tcW w:w="1474" w:type="dxa"/>
            <w:vAlign w:val="center"/>
          </w:tcPr>
          <w:p>
            <w:pPr>
              <w:pStyle w:val="15"/>
            </w:pPr>
            <w:r>
              <w:t>2000.00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170.01</w:t>
            </w:r>
          </w:p>
        </w:tc>
        <w:tc>
          <w:tcPr>
            <w:tcW w:w="2551" w:type="dxa"/>
            <w:vAlign w:val="center"/>
          </w:tcPr>
          <w:p>
            <w:pPr>
              <w:pStyle w:val="15"/>
            </w:pPr>
            <w:r>
              <w:t>130.01</w:t>
            </w:r>
          </w:p>
        </w:tc>
        <w:tc>
          <w:tcPr>
            <w:tcW w:w="2551"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170.01</w:t>
            </w:r>
          </w:p>
        </w:tc>
        <w:tc>
          <w:tcPr>
            <w:tcW w:w="2551" w:type="dxa"/>
            <w:vAlign w:val="center"/>
          </w:tcPr>
          <w:p>
            <w:pPr>
              <w:pStyle w:val="11"/>
            </w:pPr>
            <w:r>
              <w:t>130.01</w:t>
            </w: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170.01</w:t>
            </w:r>
          </w:p>
        </w:tc>
        <w:tc>
          <w:tcPr>
            <w:tcW w:w="2551" w:type="dxa"/>
            <w:vAlign w:val="center"/>
          </w:tcPr>
          <w:p>
            <w:pPr>
              <w:pStyle w:val="11"/>
            </w:pPr>
            <w:r>
              <w:t>130.01</w:t>
            </w: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2011308</w:t>
            </w:r>
          </w:p>
        </w:tc>
        <w:tc>
          <w:tcPr>
            <w:tcW w:w="4535" w:type="dxa"/>
            <w:vAlign w:val="center"/>
          </w:tcPr>
          <w:p>
            <w:pPr>
              <w:pStyle w:val="12"/>
            </w:pPr>
            <w:r>
              <w:t>招商引资</w:t>
            </w:r>
          </w:p>
        </w:tc>
        <w:tc>
          <w:tcPr>
            <w:tcW w:w="2551" w:type="dxa"/>
            <w:vAlign w:val="center"/>
          </w:tcPr>
          <w:p>
            <w:pPr>
              <w:pStyle w:val="11"/>
            </w:pPr>
            <w:r>
              <w:t>170.01</w:t>
            </w:r>
          </w:p>
        </w:tc>
        <w:tc>
          <w:tcPr>
            <w:tcW w:w="2551" w:type="dxa"/>
            <w:vAlign w:val="center"/>
          </w:tcPr>
          <w:p>
            <w:pPr>
              <w:pStyle w:val="11"/>
            </w:pPr>
            <w:r>
              <w:t>130.01</w:t>
            </w:r>
          </w:p>
        </w:tc>
        <w:tc>
          <w:tcPr>
            <w:tcW w:w="2551" w:type="dxa"/>
            <w:vAlign w:val="center"/>
          </w:tcPr>
          <w:p>
            <w:pPr>
              <w:pStyle w:val="11"/>
            </w:pPr>
            <w:r>
              <w:t>40.00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130.01</w:t>
            </w:r>
          </w:p>
        </w:tc>
        <w:tc>
          <w:tcPr>
            <w:tcW w:w="2551" w:type="dxa"/>
            <w:vAlign w:val="center"/>
          </w:tcPr>
          <w:p>
            <w:pPr>
              <w:pStyle w:val="15"/>
            </w:pPr>
            <w:r>
              <w:t>118.57</w:t>
            </w:r>
          </w:p>
        </w:tc>
        <w:tc>
          <w:tcPr>
            <w:tcW w:w="2551" w:type="dxa"/>
            <w:vAlign w:val="center"/>
          </w:tcPr>
          <w:p>
            <w:pPr>
              <w:pStyle w:val="15"/>
            </w:pPr>
            <w:r>
              <w:t>11.44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118.57</w:t>
            </w:r>
          </w:p>
        </w:tc>
        <w:tc>
          <w:tcPr>
            <w:tcW w:w="2551" w:type="dxa"/>
            <w:vAlign w:val="center"/>
          </w:tcPr>
          <w:p>
            <w:pPr>
              <w:pStyle w:val="11"/>
            </w:pPr>
            <w:r>
              <w:t>118.57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24.30</w:t>
            </w:r>
          </w:p>
        </w:tc>
        <w:tc>
          <w:tcPr>
            <w:tcW w:w="2551" w:type="dxa"/>
            <w:vAlign w:val="center"/>
          </w:tcPr>
          <w:p>
            <w:pPr>
              <w:pStyle w:val="11"/>
            </w:pPr>
            <w:r>
              <w:t>24.30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4.49</w:t>
            </w:r>
          </w:p>
        </w:tc>
        <w:tc>
          <w:tcPr>
            <w:tcW w:w="2551" w:type="dxa"/>
            <w:vAlign w:val="center"/>
          </w:tcPr>
          <w:p>
            <w:pPr>
              <w:pStyle w:val="11"/>
            </w:pPr>
            <w:r>
              <w:t>4.49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20.04</w:t>
            </w:r>
          </w:p>
        </w:tc>
        <w:tc>
          <w:tcPr>
            <w:tcW w:w="2551" w:type="dxa"/>
            <w:vAlign w:val="center"/>
          </w:tcPr>
          <w:p>
            <w:pPr>
              <w:pStyle w:val="11"/>
            </w:pPr>
            <w:r>
              <w:t>20.04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45.16</w:t>
            </w:r>
          </w:p>
        </w:tc>
        <w:tc>
          <w:tcPr>
            <w:tcW w:w="2551" w:type="dxa"/>
            <w:vAlign w:val="center"/>
          </w:tcPr>
          <w:p>
            <w:pPr>
              <w:pStyle w:val="11"/>
            </w:pPr>
            <w:r>
              <w:t>45.16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9.01</w:t>
            </w:r>
          </w:p>
        </w:tc>
        <w:tc>
          <w:tcPr>
            <w:tcW w:w="2551" w:type="dxa"/>
            <w:vAlign w:val="center"/>
          </w:tcPr>
          <w:p>
            <w:pPr>
              <w:pStyle w:val="11"/>
            </w:pPr>
            <w:r>
              <w:t>9.01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7.06</w:t>
            </w:r>
          </w:p>
        </w:tc>
        <w:tc>
          <w:tcPr>
            <w:tcW w:w="2551" w:type="dxa"/>
            <w:vAlign w:val="center"/>
          </w:tcPr>
          <w:p>
            <w:pPr>
              <w:pStyle w:val="11"/>
            </w:pPr>
            <w:r>
              <w:t>7.06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0.54</w:t>
            </w:r>
          </w:p>
        </w:tc>
        <w:tc>
          <w:tcPr>
            <w:tcW w:w="2551" w:type="dxa"/>
            <w:vAlign w:val="center"/>
          </w:tcPr>
          <w:p>
            <w:pPr>
              <w:pStyle w:val="11"/>
            </w:pPr>
            <w:r>
              <w:t>0.54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7.96</w:t>
            </w:r>
          </w:p>
        </w:tc>
        <w:tc>
          <w:tcPr>
            <w:tcW w:w="2551" w:type="dxa"/>
            <w:vAlign w:val="center"/>
          </w:tcPr>
          <w:p>
            <w:pPr>
              <w:pStyle w:val="11"/>
            </w:pPr>
            <w:r>
              <w:t>7.96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11.04</w:t>
            </w:r>
          </w:p>
        </w:tc>
        <w:tc>
          <w:tcPr>
            <w:tcW w:w="2551" w:type="dxa"/>
            <w:vAlign w:val="center"/>
          </w:tcPr>
          <w:p>
            <w:pPr>
              <w:pStyle w:val="11"/>
            </w:pPr>
          </w:p>
        </w:tc>
        <w:tc>
          <w:tcPr>
            <w:tcW w:w="2551" w:type="dxa"/>
            <w:vAlign w:val="center"/>
          </w:tcPr>
          <w:p>
            <w:pPr>
              <w:pStyle w:val="11"/>
            </w:pPr>
            <w:r>
              <w:t>11.04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1.09</w:t>
            </w:r>
          </w:p>
        </w:tc>
        <w:tc>
          <w:tcPr>
            <w:tcW w:w="2551" w:type="dxa"/>
            <w:vAlign w:val="center"/>
          </w:tcPr>
          <w:p>
            <w:pPr>
              <w:pStyle w:val="11"/>
            </w:pPr>
          </w:p>
        </w:tc>
        <w:tc>
          <w:tcPr>
            <w:tcW w:w="2551" w:type="dxa"/>
            <w:vAlign w:val="center"/>
          </w:tcPr>
          <w:p>
            <w:pPr>
              <w:pStyle w:val="11"/>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0.14</w:t>
            </w:r>
          </w:p>
        </w:tc>
        <w:tc>
          <w:tcPr>
            <w:tcW w:w="2551" w:type="dxa"/>
            <w:vAlign w:val="center"/>
          </w:tcPr>
          <w:p>
            <w:pPr>
              <w:pStyle w:val="11"/>
            </w:pPr>
          </w:p>
        </w:tc>
        <w:tc>
          <w:tcPr>
            <w:tcW w:w="2551" w:type="dxa"/>
            <w:vAlign w:val="center"/>
          </w:tcPr>
          <w:p>
            <w:pPr>
              <w:pStyle w:val="11"/>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1.46</w:t>
            </w:r>
          </w:p>
        </w:tc>
        <w:tc>
          <w:tcPr>
            <w:tcW w:w="2551" w:type="dxa"/>
            <w:vAlign w:val="center"/>
          </w:tcPr>
          <w:p>
            <w:pPr>
              <w:pStyle w:val="11"/>
            </w:pPr>
          </w:p>
        </w:tc>
        <w:tc>
          <w:tcPr>
            <w:tcW w:w="2551" w:type="dxa"/>
            <w:vAlign w:val="center"/>
          </w:tcPr>
          <w:p>
            <w:pPr>
              <w:pStyle w:val="11"/>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0.95</w:t>
            </w:r>
          </w:p>
        </w:tc>
        <w:tc>
          <w:tcPr>
            <w:tcW w:w="2551" w:type="dxa"/>
            <w:vAlign w:val="center"/>
          </w:tcPr>
          <w:p>
            <w:pPr>
              <w:pStyle w:val="11"/>
            </w:pPr>
          </w:p>
        </w:tc>
        <w:tc>
          <w:tcPr>
            <w:tcW w:w="2551" w:type="dxa"/>
            <w:vAlign w:val="center"/>
          </w:tcPr>
          <w:p>
            <w:pPr>
              <w:pStyle w:val="11"/>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2000.00</w:t>
            </w:r>
          </w:p>
        </w:tc>
        <w:tc>
          <w:tcPr>
            <w:tcW w:w="2551" w:type="dxa"/>
            <w:vAlign w:val="center"/>
          </w:tcPr>
          <w:p>
            <w:pPr>
              <w:pStyle w:val="15"/>
            </w:pPr>
          </w:p>
        </w:tc>
        <w:tc>
          <w:tcPr>
            <w:tcW w:w="2551" w:type="dxa"/>
            <w:vAlign w:val="center"/>
          </w:tcPr>
          <w:p>
            <w:pPr>
              <w:pStyle w:val="15"/>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2000.00</w:t>
            </w:r>
          </w:p>
        </w:tc>
        <w:tc>
          <w:tcPr>
            <w:tcW w:w="2551" w:type="dxa"/>
            <w:vAlign w:val="center"/>
          </w:tcPr>
          <w:p>
            <w:pPr>
              <w:pStyle w:val="11"/>
            </w:pPr>
          </w:p>
        </w:tc>
        <w:tc>
          <w:tcPr>
            <w:tcW w:w="2551" w:type="dxa"/>
            <w:vAlign w:val="center"/>
          </w:tcPr>
          <w:p>
            <w:pPr>
              <w:pStyle w:val="11"/>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2000.00</w:t>
            </w:r>
          </w:p>
        </w:tc>
        <w:tc>
          <w:tcPr>
            <w:tcW w:w="2551" w:type="dxa"/>
            <w:vAlign w:val="center"/>
          </w:tcPr>
          <w:p>
            <w:pPr>
              <w:pStyle w:val="11"/>
            </w:pPr>
          </w:p>
        </w:tc>
        <w:tc>
          <w:tcPr>
            <w:tcW w:w="2551" w:type="dxa"/>
            <w:vAlign w:val="center"/>
          </w:tcPr>
          <w:p>
            <w:pPr>
              <w:pStyle w:val="11"/>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2120803</w:t>
            </w:r>
          </w:p>
        </w:tc>
        <w:tc>
          <w:tcPr>
            <w:tcW w:w="4535" w:type="dxa"/>
            <w:vAlign w:val="center"/>
          </w:tcPr>
          <w:p>
            <w:pPr>
              <w:pStyle w:val="12"/>
            </w:pPr>
            <w:r>
              <w:t>城市建设支出</w:t>
            </w:r>
          </w:p>
        </w:tc>
        <w:tc>
          <w:tcPr>
            <w:tcW w:w="2551" w:type="dxa"/>
            <w:vAlign w:val="center"/>
          </w:tcPr>
          <w:p>
            <w:pPr>
              <w:pStyle w:val="11"/>
            </w:pPr>
            <w:r>
              <w:t>2000.00</w:t>
            </w:r>
          </w:p>
        </w:tc>
        <w:tc>
          <w:tcPr>
            <w:tcW w:w="2551" w:type="dxa"/>
            <w:vAlign w:val="center"/>
          </w:tcPr>
          <w:p>
            <w:pPr>
              <w:pStyle w:val="11"/>
            </w:pPr>
          </w:p>
        </w:tc>
        <w:tc>
          <w:tcPr>
            <w:tcW w:w="2551" w:type="dxa"/>
            <w:vAlign w:val="center"/>
          </w:tcPr>
          <w:p>
            <w:pPr>
              <w:pStyle w:val="11"/>
            </w:pPr>
            <w:r>
              <w:t>2000.00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0.14</w:t>
            </w:r>
          </w:p>
        </w:tc>
        <w:tc>
          <w:tcPr>
            <w:tcW w:w="2381" w:type="dxa"/>
            <w:vAlign w:val="center"/>
          </w:tcPr>
          <w:p>
            <w:pPr>
              <w:pStyle w:val="15"/>
            </w:pPr>
            <w:r>
              <w:t>0.14</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0.14</w:t>
            </w:r>
          </w:p>
        </w:tc>
        <w:tc>
          <w:tcPr>
            <w:tcW w:w="2381" w:type="dxa"/>
            <w:vAlign w:val="center"/>
          </w:tcPr>
          <w:p>
            <w:pPr>
              <w:pStyle w:val="11"/>
            </w:pPr>
            <w:r>
              <w:t>0.14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6"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0.14</w:t>
            </w:r>
          </w:p>
        </w:tc>
        <w:tc>
          <w:tcPr>
            <w:tcW w:w="2381" w:type="dxa"/>
            <w:vAlign w:val="center"/>
          </w:tcPr>
          <w:p>
            <w:pPr>
              <w:pStyle w:val="11"/>
            </w:pPr>
            <w:r>
              <w:t>0.14</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秦皇岛北戴河新区营商环境和企业服务局本级2024年单位预算信息公开情况说明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按照《中华人民共和国预算法》、《地方预决算公开操作规程》和《关于进一步推进预算公开工作的实施意见》规定，现将秦皇岛北戴河新区营商环境和企业服务局本级2024年单位预算公开如下：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营商环境和企业服务局主要工作职能：贯彻执行和督促推动国家、省、市优化营商环境建设的法律法规，规章和相关政策的落实。开展营商环境建设研究，组织拟定营商环境建设工作规划、政策措施及年度计划。承担优化营商环境领导小组办公室职责，组织推进相关政策、措施落实，推进新区营商环境市场化、法制化、国际化一流体系建设。对各部门营商环境建设工作开展评价考核。组织开展损害营商环境突出问题专项调查。针对重点产业项目在投资协议签订后，会同项目分包单位采取领办、代办方式，为项目提供全程式、保姆式、管家式服务；协调解决项目建设中的问题和困难，贯彻执行重点项目建设政策法规，研究提出重点项目服务制度，协调机制等。</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秦皇岛北戴河新区营商环境和企业服务局本级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2170.01万元，其中：一般公共预算收入170.01万元，基金预算收入2000.00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营商环境和企业服务局本级年度单位预算中支出预算的总体情况。2024年支出预算2170.01万元，其中基本支出130.01万元，包括人员经费118.57万元和日常公用经费11.44万元；项目支出2040.00万元，主要为产业新城开发建设运营资金2000万元；营商环境和企业服务运营经费40万元。</w:t>
      </w:r>
    </w:p>
    <w:p>
      <w:pPr>
        <w:pStyle w:val="18"/>
      </w:pPr>
      <w:r>
        <w:t>3、比上年增减情况</w:t>
      </w:r>
    </w:p>
    <w:p>
      <w:pPr>
        <w:pStyle w:val="18"/>
      </w:pPr>
      <w:r>
        <w:t>2024年预算收支安排2170.01万元，较2023年预算增加2170.01万元，其中：基本支出增加130.01万元，主要为人员经费118.57万元；日常公用经费11.44万元项目支出增加2040.00万元，主要为</w:t>
      </w:r>
      <w:r>
        <w:rPr>
          <w:rFonts w:hint="eastAsia"/>
          <w:lang w:val="en-US" w:eastAsia="zh-CN"/>
        </w:rPr>
        <w:t>2024年新成立单位，</w:t>
      </w:r>
      <w:r>
        <w:t>产业新城开发建设运营资金2000万元；营商环境和企业服务运营经费40万元。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2024年，我单位机关运行经费共计安排11.44万元，主要用于日常维修、办公用房水电费、办公用房取暖费、办公用房物业管理费等日常运行支出。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0.14万元，其中因公出国（境）费0.00万元；公务用车购置及运维费0.00万元（其中：公务用车购置费为0.00万元，公务用车运维费0.00万元)；公务接待费0.14万元。与2023年相比增加0.14万元，增减变化的主要原因是</w:t>
      </w:r>
      <w:r>
        <w:rPr>
          <w:rFonts w:hint="eastAsia"/>
          <w:lang w:val="en-US" w:eastAsia="zh-CN"/>
        </w:rPr>
        <w:t>2024年新成立单位，</w:t>
      </w:r>
      <w:bookmarkStart w:id="1" w:name="_GoBack"/>
      <w:bookmarkEnd w:id="1"/>
      <w:r>
        <w:t>根据部门职责，日常工作需求。</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1、营商环境和企业服务运营经费绩效目标表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13031324P00880510341R</w:t>
            </w:r>
          </w:p>
        </w:tc>
        <w:tc>
          <w:tcPr>
            <w:tcW w:w="2835" w:type="dxa"/>
            <w:vAlign w:val="center"/>
          </w:tcPr>
          <w:p>
            <w:pPr>
              <w:pStyle w:val="10"/>
            </w:pPr>
            <w:r>
              <w:t>项目名称</w:t>
            </w:r>
          </w:p>
        </w:tc>
        <w:tc>
          <w:tcPr>
            <w:tcW w:w="6094" w:type="dxa"/>
            <w:gridSpan w:val="3"/>
            <w:vAlign w:val="center"/>
          </w:tcPr>
          <w:p>
            <w:pPr>
              <w:pStyle w:val="12"/>
            </w:pPr>
            <w:r>
              <w:t>营商环境和企业服务运营经费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主要用于2024年营商环境和企业服务运营经费。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1.根据方案落实营商环境和企业服务局落实执行，营商环境建设、招商引资、项目落地、政策落实、企业服务等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成本控制数</w:t>
            </w:r>
          </w:p>
        </w:tc>
        <w:tc>
          <w:tcPr>
            <w:tcW w:w="5386" w:type="dxa"/>
            <w:vAlign w:val="center"/>
          </w:tcPr>
          <w:p>
            <w:pPr>
              <w:pStyle w:val="12"/>
            </w:pPr>
            <w:r>
              <w:t>反映各项成本控制数</w:t>
            </w:r>
          </w:p>
        </w:tc>
        <w:tc>
          <w:tcPr>
            <w:tcW w:w="2268" w:type="dxa"/>
            <w:vAlign w:val="center"/>
          </w:tcPr>
          <w:p>
            <w:pPr>
              <w:pStyle w:val="12"/>
            </w:pPr>
            <w:r>
              <w:t>≤100%</w:t>
            </w:r>
          </w:p>
        </w:tc>
        <w:tc>
          <w:tcPr>
            <w:tcW w:w="1276" w:type="dxa"/>
            <w:vAlign w:val="center"/>
          </w:tcPr>
          <w:p>
            <w:pPr>
              <w:pStyle w:val="12"/>
            </w:pPr>
            <w:r>
              <w:t>秦北新办（2023）11号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完成工作及时率</w:t>
            </w:r>
          </w:p>
        </w:tc>
        <w:tc>
          <w:tcPr>
            <w:tcW w:w="5386" w:type="dxa"/>
            <w:vAlign w:val="center"/>
          </w:tcPr>
          <w:p>
            <w:pPr>
              <w:pStyle w:val="12"/>
            </w:pPr>
            <w:r>
              <w:t>反映各项工作完成及时率</w:t>
            </w:r>
          </w:p>
        </w:tc>
        <w:tc>
          <w:tcPr>
            <w:tcW w:w="2268" w:type="dxa"/>
            <w:vAlign w:val="center"/>
          </w:tcPr>
          <w:p>
            <w:pPr>
              <w:pStyle w:val="12"/>
            </w:pPr>
            <w:r>
              <w:t>≥90%</w:t>
            </w:r>
          </w:p>
        </w:tc>
        <w:tc>
          <w:tcPr>
            <w:tcW w:w="1276" w:type="dxa"/>
            <w:vAlign w:val="center"/>
          </w:tcPr>
          <w:p>
            <w:pPr>
              <w:pStyle w:val="12"/>
            </w:pPr>
            <w:r>
              <w:t>秦北新办（2023）11号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公文收发情况</w:t>
            </w:r>
          </w:p>
        </w:tc>
        <w:tc>
          <w:tcPr>
            <w:tcW w:w="5386" w:type="dxa"/>
            <w:vAlign w:val="center"/>
          </w:tcPr>
          <w:p>
            <w:pPr>
              <w:pStyle w:val="12"/>
            </w:pPr>
            <w:r>
              <w:t>反映部门接收公文比率</w:t>
            </w:r>
          </w:p>
        </w:tc>
        <w:tc>
          <w:tcPr>
            <w:tcW w:w="2268" w:type="dxa"/>
            <w:vAlign w:val="center"/>
          </w:tcPr>
          <w:p>
            <w:pPr>
              <w:pStyle w:val="12"/>
            </w:pPr>
            <w:r>
              <w:t>≥90%</w:t>
            </w:r>
          </w:p>
        </w:tc>
        <w:tc>
          <w:tcPr>
            <w:tcW w:w="1276" w:type="dxa"/>
            <w:vAlign w:val="center"/>
          </w:tcPr>
          <w:p>
            <w:pPr>
              <w:pStyle w:val="12"/>
            </w:pPr>
            <w:r>
              <w:t>秦北新办（2023）11号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部门正常运转比率</w:t>
            </w:r>
          </w:p>
        </w:tc>
        <w:tc>
          <w:tcPr>
            <w:tcW w:w="5386" w:type="dxa"/>
            <w:vAlign w:val="center"/>
          </w:tcPr>
          <w:p>
            <w:pPr>
              <w:pStyle w:val="12"/>
            </w:pPr>
            <w:r>
              <w:t>反映部门正常运转比率</w:t>
            </w:r>
          </w:p>
        </w:tc>
        <w:tc>
          <w:tcPr>
            <w:tcW w:w="2268" w:type="dxa"/>
            <w:vAlign w:val="center"/>
          </w:tcPr>
          <w:p>
            <w:pPr>
              <w:pStyle w:val="12"/>
            </w:pPr>
            <w:r>
              <w:t>≥90%</w:t>
            </w:r>
          </w:p>
        </w:tc>
        <w:tc>
          <w:tcPr>
            <w:tcW w:w="1276" w:type="dxa"/>
            <w:vAlign w:val="center"/>
          </w:tcPr>
          <w:p>
            <w:pPr>
              <w:pStyle w:val="12"/>
            </w:pPr>
            <w:r>
              <w:t>秦北新办（2023）11号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提升人居环境</w:t>
            </w:r>
          </w:p>
        </w:tc>
        <w:tc>
          <w:tcPr>
            <w:tcW w:w="5386" w:type="dxa"/>
            <w:vAlign w:val="center"/>
          </w:tcPr>
          <w:p>
            <w:pPr>
              <w:pStyle w:val="12"/>
            </w:pPr>
            <w:r>
              <w:t>基础设施配套得到完善，人居环境得到提升。</w:t>
            </w:r>
          </w:p>
        </w:tc>
        <w:tc>
          <w:tcPr>
            <w:tcW w:w="2268" w:type="dxa"/>
            <w:vAlign w:val="center"/>
          </w:tcPr>
          <w:p>
            <w:pPr>
              <w:pStyle w:val="12"/>
            </w:pPr>
            <w:r>
              <w:t>≥85%</w:t>
            </w:r>
          </w:p>
        </w:tc>
        <w:tc>
          <w:tcPr>
            <w:tcW w:w="1276" w:type="dxa"/>
            <w:vAlign w:val="center"/>
          </w:tcPr>
          <w:p>
            <w:pPr>
              <w:pStyle w:val="12"/>
            </w:pPr>
            <w:r>
              <w:t>秦北新办（2023）11号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提升工作效率，改善工作作风</w:t>
            </w:r>
          </w:p>
        </w:tc>
        <w:tc>
          <w:tcPr>
            <w:tcW w:w="5386" w:type="dxa"/>
            <w:vAlign w:val="center"/>
          </w:tcPr>
          <w:p>
            <w:pPr>
              <w:pStyle w:val="12"/>
            </w:pPr>
            <w:r>
              <w:t>加强基层组织建设，改善机关干部作风，发扬严禁、务实、高效的工作作风</w:t>
            </w:r>
          </w:p>
        </w:tc>
        <w:tc>
          <w:tcPr>
            <w:tcW w:w="2268" w:type="dxa"/>
            <w:vAlign w:val="center"/>
          </w:tcPr>
          <w:p>
            <w:pPr>
              <w:pStyle w:val="12"/>
            </w:pPr>
            <w:r>
              <w:t>≥85%</w:t>
            </w:r>
          </w:p>
        </w:tc>
        <w:tc>
          <w:tcPr>
            <w:tcW w:w="1276" w:type="dxa"/>
            <w:vAlign w:val="center"/>
          </w:tcPr>
          <w:p>
            <w:pPr>
              <w:pStyle w:val="12"/>
            </w:pPr>
            <w:r>
              <w:t>秦北新办（2023）11号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提升当地的经济水平</w:t>
            </w:r>
          </w:p>
        </w:tc>
        <w:tc>
          <w:tcPr>
            <w:tcW w:w="5386" w:type="dxa"/>
            <w:vAlign w:val="center"/>
          </w:tcPr>
          <w:p>
            <w:pPr>
              <w:pStyle w:val="12"/>
            </w:pPr>
            <w:r>
              <w:t>通过扩大招商引资，促进项目落地，带动当地经济社会发展</w:t>
            </w:r>
          </w:p>
        </w:tc>
        <w:tc>
          <w:tcPr>
            <w:tcW w:w="2268" w:type="dxa"/>
            <w:vAlign w:val="center"/>
          </w:tcPr>
          <w:p>
            <w:pPr>
              <w:pStyle w:val="12"/>
            </w:pPr>
            <w:r>
              <w:t>≥85%</w:t>
            </w:r>
          </w:p>
        </w:tc>
        <w:tc>
          <w:tcPr>
            <w:tcW w:w="1276" w:type="dxa"/>
            <w:vAlign w:val="center"/>
          </w:tcPr>
          <w:p>
            <w:pPr>
              <w:pStyle w:val="12"/>
            </w:pPr>
            <w:r>
              <w:t>秦北新办（2023）11号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综合满意度</w:t>
            </w:r>
          </w:p>
        </w:tc>
        <w:tc>
          <w:tcPr>
            <w:tcW w:w="5386" w:type="dxa"/>
            <w:vAlign w:val="center"/>
          </w:tcPr>
          <w:p>
            <w:pPr>
              <w:pStyle w:val="12"/>
            </w:pPr>
            <w:r>
              <w:t>被调查单位或群体对本部门工作的满意程度</w:t>
            </w:r>
          </w:p>
        </w:tc>
        <w:tc>
          <w:tcPr>
            <w:tcW w:w="2268" w:type="dxa"/>
            <w:vAlign w:val="center"/>
          </w:tcPr>
          <w:p>
            <w:pPr>
              <w:pStyle w:val="12"/>
            </w:pPr>
            <w:r>
              <w:t>≥90%</w:t>
            </w:r>
          </w:p>
        </w:tc>
        <w:tc>
          <w:tcPr>
            <w:tcW w:w="1276" w:type="dxa"/>
            <w:vAlign w:val="center"/>
          </w:tcPr>
          <w:p>
            <w:pPr>
              <w:pStyle w:val="12"/>
            </w:pPr>
            <w:r>
              <w:t>秦北新办（2023）11号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2、产业新城开发建设运营资金绩效目标表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13031324P008804101838</w:t>
            </w:r>
          </w:p>
        </w:tc>
        <w:tc>
          <w:tcPr>
            <w:tcW w:w="2835" w:type="dxa"/>
            <w:vAlign w:val="center"/>
          </w:tcPr>
          <w:p>
            <w:pPr>
              <w:pStyle w:val="10"/>
            </w:pPr>
            <w:r>
              <w:t>项目名称</w:t>
            </w:r>
          </w:p>
        </w:tc>
        <w:tc>
          <w:tcPr>
            <w:tcW w:w="6094" w:type="dxa"/>
            <w:gridSpan w:val="3"/>
            <w:vAlign w:val="center"/>
          </w:tcPr>
          <w:p>
            <w:pPr>
              <w:pStyle w:val="12"/>
            </w:pPr>
            <w:r>
              <w:t>产业新城开发建设运营资金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w:t>
            </w:r>
          </w:p>
        </w:tc>
        <w:tc>
          <w:tcPr>
            <w:tcW w:w="2835" w:type="dxa"/>
            <w:vAlign w:val="center"/>
          </w:tcPr>
          <w:p>
            <w:pPr>
              <w:pStyle w:val="10"/>
            </w:pPr>
            <w:r>
              <w:t>其中：财政    资金</w:t>
            </w:r>
          </w:p>
        </w:tc>
        <w:tc>
          <w:tcPr>
            <w:tcW w:w="2551" w:type="dxa"/>
            <w:vAlign w:val="center"/>
          </w:tcPr>
          <w:p>
            <w:pPr>
              <w:pStyle w:val="12"/>
            </w:pPr>
            <w:r>
              <w:t>2000.00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由社会资本方负责开展基础设施建设、运营、维护，公共设施建设，土地整理投资，产业发展服务及其他咨询服务；</w:t>
            </w:r>
          </w:p>
          <w:p>
            <w:pPr>
              <w:pStyle w:val="12"/>
            </w:pPr>
            <w:r>
              <w:t>推进合作区域内规划编制调整、收储征用土地补偿、建设工程项目实施；</w:t>
            </w:r>
          </w:p>
          <w:p>
            <w:pPr>
              <w:pStyle w:val="12"/>
            </w:pPr>
            <w:r>
              <w:t>完善中心片区路网建设，水电暖等配套设施建设，环境改造提升，提升产业新城城市和产业形象。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1.完善城市公共基础设施配套，保障城市良好运转</w:t>
            </w:r>
          </w:p>
          <w:p>
            <w:pPr>
              <w:pStyle w:val="12"/>
            </w:pPr>
            <w:r>
              <w:t>2.改善生态环境，完善城市功能，提高人民幸福生活指数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固定投资额</w:t>
            </w:r>
          </w:p>
        </w:tc>
        <w:tc>
          <w:tcPr>
            <w:tcW w:w="5386" w:type="dxa"/>
            <w:vAlign w:val="center"/>
          </w:tcPr>
          <w:p>
            <w:pPr>
              <w:pStyle w:val="12"/>
            </w:pPr>
            <w:r>
              <w:t>基础设施项目投资额</w:t>
            </w:r>
          </w:p>
        </w:tc>
        <w:tc>
          <w:tcPr>
            <w:tcW w:w="2268" w:type="dxa"/>
            <w:vAlign w:val="center"/>
          </w:tcPr>
          <w:p>
            <w:pPr>
              <w:pStyle w:val="12"/>
            </w:pPr>
            <w:r>
              <w:t>≥2000万元</w:t>
            </w:r>
          </w:p>
        </w:tc>
        <w:tc>
          <w:tcPr>
            <w:tcW w:w="1276" w:type="dxa"/>
            <w:vAlign w:val="center"/>
          </w:tcPr>
          <w:p>
            <w:pPr>
              <w:pStyle w:val="12"/>
            </w:pPr>
            <w:r>
              <w:t>实际投资额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道路、公园、管网、绿化等基础设施与公建设施项目</w:t>
            </w:r>
          </w:p>
        </w:tc>
        <w:tc>
          <w:tcPr>
            <w:tcW w:w="2268" w:type="dxa"/>
            <w:vAlign w:val="center"/>
          </w:tcPr>
          <w:p>
            <w:pPr>
              <w:pStyle w:val="12"/>
            </w:pPr>
            <w:r>
              <w:t>≥2个</w:t>
            </w:r>
          </w:p>
        </w:tc>
        <w:tc>
          <w:tcPr>
            <w:tcW w:w="1276" w:type="dxa"/>
            <w:vAlign w:val="center"/>
          </w:tcPr>
          <w:p>
            <w:pPr>
              <w:pStyle w:val="12"/>
            </w:pPr>
            <w:r>
              <w:t>实际数量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项目竣工验收</w:t>
            </w:r>
          </w:p>
        </w:tc>
        <w:tc>
          <w:tcPr>
            <w:tcW w:w="5386" w:type="dxa"/>
            <w:vAlign w:val="center"/>
          </w:tcPr>
          <w:p>
            <w:pPr>
              <w:pStyle w:val="12"/>
            </w:pPr>
            <w:r>
              <w:t>项目竣工验收合格</w:t>
            </w:r>
          </w:p>
        </w:tc>
        <w:tc>
          <w:tcPr>
            <w:tcW w:w="2268" w:type="dxa"/>
            <w:vAlign w:val="center"/>
          </w:tcPr>
          <w:p>
            <w:pPr>
              <w:pStyle w:val="12"/>
            </w:pPr>
            <w:r>
              <w:t>≥100百分比</w:t>
            </w:r>
          </w:p>
        </w:tc>
        <w:tc>
          <w:tcPr>
            <w:tcW w:w="1276" w:type="dxa"/>
            <w:vAlign w:val="center"/>
          </w:tcPr>
          <w:p>
            <w:pPr>
              <w:pStyle w:val="12"/>
            </w:pPr>
            <w:r>
              <w:t>实际比例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项目完工时限</w:t>
            </w:r>
          </w:p>
        </w:tc>
        <w:tc>
          <w:tcPr>
            <w:tcW w:w="5386" w:type="dxa"/>
            <w:vAlign w:val="center"/>
          </w:tcPr>
          <w:p>
            <w:pPr>
              <w:pStyle w:val="12"/>
            </w:pPr>
            <w:r>
              <w:t>项目按时完工</w:t>
            </w:r>
          </w:p>
        </w:tc>
        <w:tc>
          <w:tcPr>
            <w:tcW w:w="2268" w:type="dxa"/>
            <w:vAlign w:val="center"/>
          </w:tcPr>
          <w:p>
            <w:pPr>
              <w:pStyle w:val="12"/>
            </w:pPr>
            <w:r>
              <w:t>≥100百分比</w:t>
            </w:r>
          </w:p>
        </w:tc>
        <w:tc>
          <w:tcPr>
            <w:tcW w:w="1276" w:type="dxa"/>
            <w:vAlign w:val="center"/>
          </w:tcPr>
          <w:p>
            <w:pPr>
              <w:pStyle w:val="12"/>
            </w:pPr>
            <w:r>
              <w:t>实际比例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域内新增税收</w:t>
            </w:r>
          </w:p>
        </w:tc>
        <w:tc>
          <w:tcPr>
            <w:tcW w:w="5386" w:type="dxa"/>
            <w:vAlign w:val="center"/>
          </w:tcPr>
          <w:p>
            <w:pPr>
              <w:pStyle w:val="12"/>
            </w:pPr>
            <w:r>
              <w:t>企业缴纳的税款</w:t>
            </w:r>
          </w:p>
        </w:tc>
        <w:tc>
          <w:tcPr>
            <w:tcW w:w="2268" w:type="dxa"/>
            <w:vAlign w:val="center"/>
          </w:tcPr>
          <w:p>
            <w:pPr>
              <w:pStyle w:val="12"/>
            </w:pPr>
            <w:r>
              <w:t>≥200万元</w:t>
            </w:r>
          </w:p>
        </w:tc>
        <w:tc>
          <w:tcPr>
            <w:tcW w:w="1276" w:type="dxa"/>
            <w:vAlign w:val="center"/>
          </w:tcPr>
          <w:p>
            <w:pPr>
              <w:pStyle w:val="12"/>
            </w:pPr>
            <w:r>
              <w:t>税收入库数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城市环境</w:t>
            </w:r>
          </w:p>
        </w:tc>
        <w:tc>
          <w:tcPr>
            <w:tcW w:w="5386" w:type="dxa"/>
            <w:vAlign w:val="center"/>
          </w:tcPr>
          <w:p>
            <w:pPr>
              <w:pStyle w:val="12"/>
            </w:pPr>
            <w:r>
              <w:t>公园、绿化等环境提升数量</w:t>
            </w:r>
          </w:p>
        </w:tc>
        <w:tc>
          <w:tcPr>
            <w:tcW w:w="2268" w:type="dxa"/>
            <w:vAlign w:val="center"/>
          </w:tcPr>
          <w:p>
            <w:pPr>
              <w:pStyle w:val="12"/>
            </w:pPr>
            <w:r>
              <w:t>≥1500平米</w:t>
            </w:r>
          </w:p>
        </w:tc>
        <w:tc>
          <w:tcPr>
            <w:tcW w:w="1276" w:type="dxa"/>
            <w:vAlign w:val="center"/>
          </w:tcPr>
          <w:p>
            <w:pPr>
              <w:pStyle w:val="12"/>
            </w:pPr>
            <w:r>
              <w:t>实际数量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人民生活满意度</w:t>
            </w:r>
          </w:p>
        </w:tc>
        <w:tc>
          <w:tcPr>
            <w:tcW w:w="2268" w:type="dxa"/>
            <w:vAlign w:val="center"/>
          </w:tcPr>
          <w:p>
            <w:pPr>
              <w:pStyle w:val="12"/>
            </w:pPr>
            <w:r>
              <w:t>≥90百分比</w:t>
            </w:r>
          </w:p>
        </w:tc>
        <w:tc>
          <w:tcPr>
            <w:tcW w:w="1276" w:type="dxa"/>
            <w:vAlign w:val="center"/>
          </w:tcPr>
          <w:p>
            <w:pPr>
              <w:pStyle w:val="12"/>
            </w:pPr>
            <w:r>
              <w:t>走访调查、电话咨询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入区企业满意度</w:t>
            </w:r>
          </w:p>
        </w:tc>
        <w:tc>
          <w:tcPr>
            <w:tcW w:w="2268" w:type="dxa"/>
            <w:vAlign w:val="center"/>
          </w:tcPr>
          <w:p>
            <w:pPr>
              <w:pStyle w:val="12"/>
            </w:pPr>
            <w:r>
              <w:t>≥90百分比</w:t>
            </w:r>
          </w:p>
        </w:tc>
        <w:tc>
          <w:tcPr>
            <w:tcW w:w="1276" w:type="dxa"/>
            <w:vAlign w:val="center"/>
          </w:tcPr>
          <w:p>
            <w:pPr>
              <w:pStyle w:val="12"/>
            </w:pPr>
            <w:r>
              <w:t>走访调查、电话咨询</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6.89</w:t>
            </w:r>
          </w:p>
        </w:tc>
        <w:tc>
          <w:tcPr>
            <w:tcW w:w="964" w:type="dxa"/>
            <w:vAlign w:val="center"/>
          </w:tcPr>
          <w:p>
            <w:pPr>
              <w:pStyle w:val="15"/>
            </w:pPr>
            <w:r>
              <w:t>6.89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秦皇岛北戴河新区营商环境和企业服务局本级小计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6.89</w:t>
            </w:r>
          </w:p>
        </w:tc>
        <w:tc>
          <w:tcPr>
            <w:tcW w:w="964" w:type="dxa"/>
            <w:vAlign w:val="center"/>
          </w:tcPr>
          <w:p>
            <w:pPr>
              <w:pStyle w:val="15"/>
            </w:pPr>
            <w:r>
              <w:t>6.89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6.04</w:t>
            </w:r>
          </w:p>
        </w:tc>
        <w:tc>
          <w:tcPr>
            <w:tcW w:w="1134" w:type="dxa"/>
            <w:vAlign w:val="center"/>
          </w:tcPr>
          <w:p>
            <w:pPr>
              <w:pStyle w:val="12"/>
            </w:pPr>
            <w:r>
              <w:t>培训服务</w:t>
            </w:r>
          </w:p>
        </w:tc>
        <w:tc>
          <w:tcPr>
            <w:tcW w:w="1134" w:type="dxa"/>
            <w:vAlign w:val="center"/>
          </w:tcPr>
          <w:p>
            <w:pPr>
              <w:pStyle w:val="12"/>
            </w:pPr>
            <w:r>
              <w:t>C02060000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1.09</w:t>
            </w:r>
          </w:p>
        </w:tc>
        <w:tc>
          <w:tcPr>
            <w:tcW w:w="964" w:type="dxa"/>
            <w:vAlign w:val="center"/>
          </w:tcPr>
          <w:p>
            <w:pPr>
              <w:pStyle w:val="11"/>
            </w:pPr>
            <w:r>
              <w:t>1.09</w:t>
            </w:r>
          </w:p>
        </w:tc>
        <w:tc>
          <w:tcPr>
            <w:tcW w:w="964" w:type="dxa"/>
            <w:vAlign w:val="center"/>
          </w:tcPr>
          <w:p>
            <w:pPr>
              <w:pStyle w:val="11"/>
            </w:pPr>
            <w:r>
              <w:t>1.09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6.04</w:t>
            </w:r>
          </w:p>
        </w:tc>
        <w:tc>
          <w:tcPr>
            <w:tcW w:w="1134" w:type="dxa"/>
            <w:vAlign w:val="center"/>
          </w:tcPr>
          <w:p>
            <w:pPr>
              <w:pStyle w:val="12"/>
            </w:pPr>
            <w:r>
              <w:t>一般会议服务</w:t>
            </w:r>
          </w:p>
        </w:tc>
        <w:tc>
          <w:tcPr>
            <w:tcW w:w="1134" w:type="dxa"/>
            <w:vAlign w:val="center"/>
          </w:tcPr>
          <w:p>
            <w:pPr>
              <w:pStyle w:val="12"/>
            </w:pPr>
            <w:r>
              <w:t>C22010200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2.40</w:t>
            </w:r>
          </w:p>
        </w:tc>
        <w:tc>
          <w:tcPr>
            <w:tcW w:w="964" w:type="dxa"/>
            <w:vAlign w:val="center"/>
          </w:tcPr>
          <w:p>
            <w:pPr>
              <w:pStyle w:val="11"/>
            </w:pPr>
            <w:r>
              <w:t>2.40</w:t>
            </w:r>
          </w:p>
        </w:tc>
        <w:tc>
          <w:tcPr>
            <w:tcW w:w="964" w:type="dxa"/>
            <w:vAlign w:val="center"/>
          </w:tcPr>
          <w:p>
            <w:pPr>
              <w:pStyle w:val="11"/>
            </w:pPr>
            <w:r>
              <w:t>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5.40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5.40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秦皇岛北戴河新区营商环境和企业服务局本级上年末固定资产金额为0.00万元（详见下表）。本年度拟购置固定资产总额为0.00万元，已按要求列入政府采购预算，详见政府采购预算表。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F7A1F"/>
    <w:rsid w:val="39F449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2024-02-29T14:00:15Z</dcterms:created>
  <dcterms:modified xsi:type="dcterms:W3CDTF">2024-02-29T06:00:15Z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2024-02-29T14:00:15Z</dcterms:created>
  <dcterms:modified xsi:type="dcterms:W3CDTF">2024-02-29T06:00:15Z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2024-02-29T14:00:15Z</dcterms:created>
  <dcterms:modified xsi:type="dcterms:W3CDTF">2024-02-29T06:00:15Z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2024-02-29T14:00:10Z</dcterms:created>
  <dcterms:modified xsi:type="dcterms:W3CDTF">2024-02-29T06:00:10Z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2024-02-29T14:00:14Z</dcterms:created>
  <dcterms:modified xsi:type="dcterms:W3CDTF">2024-02-29T06:00:14Z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c6ed6882-b14e-4a8c-a43b-2c00450a4640}">
  <ds:schemaRefs/>
</ds:datastoreItem>
</file>

<file path=customXml/itemProps11.xml><?xml version="1.0" encoding="utf-8"?>
<ds:datastoreItem xmlns:ds="http://schemas.openxmlformats.org/officeDocument/2006/customXml" ds:itemID="{c9cb2cd5-66e2-4328-a863-f573eac12290}">
  <ds:schemaRefs/>
</ds:datastoreItem>
</file>

<file path=customXml/itemProps2.xml><?xml version="1.0" encoding="utf-8"?>
<ds:datastoreItem xmlns:ds="http://schemas.openxmlformats.org/officeDocument/2006/customXml" ds:itemID="{e6fd714e-ecff-4984-a77f-17402acc0532}">
  <ds:schemaRefs/>
</ds:datastoreItem>
</file>

<file path=customXml/itemProps3.xml><?xml version="1.0" encoding="utf-8"?>
<ds:datastoreItem xmlns:ds="http://schemas.openxmlformats.org/officeDocument/2006/customXml" ds:itemID="{950e8bcf-eb66-47d3-9c6d-4b974be0cf98}">
  <ds:schemaRefs/>
</ds:datastoreItem>
</file>

<file path=customXml/itemProps4.xml><?xml version="1.0" encoding="utf-8"?>
<ds:datastoreItem xmlns:ds="http://schemas.openxmlformats.org/officeDocument/2006/customXml" ds:itemID="{df09ef4a-7ac5-42d6-8960-be2236bf0f6a}">
  <ds:schemaRefs/>
</ds:datastoreItem>
</file>

<file path=customXml/itemProps5.xml><?xml version="1.0" encoding="utf-8"?>
<ds:datastoreItem xmlns:ds="http://schemas.openxmlformats.org/officeDocument/2006/customXml" ds:itemID="{590b1007-d3ba-4b41-aca1-604e4be4d35a}">
  <ds:schemaRefs/>
</ds:datastoreItem>
</file>

<file path=customXml/itemProps6.xml><?xml version="1.0" encoding="utf-8"?>
<ds:datastoreItem xmlns:ds="http://schemas.openxmlformats.org/officeDocument/2006/customXml" ds:itemID="{992df3b1-2299-4e4b-802d-86f8b0b2249c}">
  <ds:schemaRefs/>
</ds:datastoreItem>
</file>

<file path=customXml/itemProps7.xml><?xml version="1.0" encoding="utf-8"?>
<ds:datastoreItem xmlns:ds="http://schemas.openxmlformats.org/officeDocument/2006/customXml" ds:itemID="{f90a2c68-ad5e-4c8a-b2e6-a30ab81c4a13}">
  <ds:schemaRefs/>
</ds:datastoreItem>
</file>

<file path=customXml/itemProps8.xml><?xml version="1.0" encoding="utf-8"?>
<ds:datastoreItem xmlns:ds="http://schemas.openxmlformats.org/officeDocument/2006/customXml" ds:itemID="{4d7df958-6478-44c4-86f0-bf14bb970d1a}">
  <ds:schemaRefs/>
</ds:datastoreItem>
</file>

<file path=customXml/itemProps9.xml><?xml version="1.0" encoding="utf-8"?>
<ds:datastoreItem xmlns:ds="http://schemas.openxmlformats.org/officeDocument/2006/customXml" ds:itemID="{a4cb7e0f-3a39-461d-aeeb-bc77e6706ae5}">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Office_11.8.2.9067_F1E327BC-269C-435d-A152-05C5408002CA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2024-02-29T14:00:00Z</dcterms:created>
  <dc:creator>Administrator</dc:creator>
  <cp:lastModifiedBy>XQZW</cp:lastModifiedBy>
  <dcterms:modified xsi:type="dcterms:W3CDTF">2024-02-29T08:20:10Z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060122C98A1045CC83F9046785F96406</vt:lpwstr>
  </property>
</Properties>
</file>