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6216.37</w:t>
            </w:r>
          </w:p>
        </w:tc>
        <w:tc>
          <w:tcPr>
            <w:tcW w:w="4535" w:type="dxa"/>
            <w:vAlign w:val="center"/>
          </w:tcPr>
          <w:p>
            <w:pPr>
              <w:pStyle w:val="13"/>
            </w:pPr>
            <w:r>
              <w:t>一、一般公共服务支出</w:t>
            </w:r>
          </w:p>
        </w:tc>
        <w:tc>
          <w:tcPr>
            <w:tcW w:w="2126" w:type="dxa"/>
            <w:vAlign w:val="center"/>
          </w:tcPr>
          <w:p>
            <w:pPr>
              <w:pStyle w:val="12"/>
            </w:pPr>
            <w:r>
              <w:t>5259.34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6216.37</w:t>
            </w:r>
          </w:p>
        </w:tc>
        <w:tc>
          <w:tcPr>
            <w:tcW w:w="4535" w:type="dxa"/>
            <w:vAlign w:val="center"/>
          </w:tcPr>
          <w:p>
            <w:pPr>
              <w:pStyle w:val="15"/>
            </w:pPr>
            <w:r>
              <w:t>本年支出合计</w:t>
            </w:r>
          </w:p>
        </w:tc>
        <w:tc>
          <w:tcPr>
            <w:tcW w:w="2126" w:type="dxa"/>
            <w:vAlign w:val="center"/>
          </w:tcPr>
          <w:p>
            <w:pPr>
              <w:pStyle w:val="16"/>
            </w:pPr>
            <w:r>
              <w:t>6216.37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6216.37</w:t>
            </w:r>
          </w:p>
        </w:tc>
        <w:tc>
          <w:tcPr>
            <w:tcW w:w="4535" w:type="dxa"/>
            <w:vAlign w:val="center"/>
          </w:tcPr>
          <w:p>
            <w:pPr>
              <w:pStyle w:val="15"/>
            </w:pPr>
            <w:r>
              <w:t>支出总计</w:t>
            </w:r>
          </w:p>
        </w:tc>
        <w:tc>
          <w:tcPr>
            <w:tcW w:w="2126" w:type="dxa"/>
            <w:vAlign w:val="center"/>
          </w:tcPr>
          <w:p>
            <w:pPr>
              <w:pStyle w:val="16"/>
            </w:pPr>
            <w:r>
              <w:t>6216.37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6216.37</w:t>
            </w:r>
          </w:p>
        </w:tc>
        <w:tc>
          <w:tcPr>
            <w:tcW w:w="1134" w:type="dxa"/>
            <w:vAlign w:val="center"/>
          </w:tcPr>
          <w:p>
            <w:pPr>
              <w:pStyle w:val="16"/>
            </w:pPr>
            <w:r>
              <w:t>6216.37</w:t>
            </w:r>
          </w:p>
        </w:tc>
        <w:tc>
          <w:tcPr>
            <w:tcW w:w="1134" w:type="dxa"/>
            <w:vAlign w:val="center"/>
          </w:tcPr>
          <w:p>
            <w:pPr>
              <w:pStyle w:val="16"/>
            </w:pPr>
            <w:r>
              <w:t>6216.37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5259.34</w:t>
            </w:r>
          </w:p>
        </w:tc>
        <w:tc>
          <w:tcPr>
            <w:tcW w:w="1134" w:type="dxa"/>
            <w:vAlign w:val="center"/>
          </w:tcPr>
          <w:p>
            <w:pPr>
              <w:pStyle w:val="12"/>
            </w:pPr>
            <w:r>
              <w:t>5259.34</w:t>
            </w:r>
          </w:p>
        </w:tc>
        <w:tc>
          <w:tcPr>
            <w:tcW w:w="1134" w:type="dxa"/>
            <w:vAlign w:val="center"/>
          </w:tcPr>
          <w:p>
            <w:pPr>
              <w:pStyle w:val="12"/>
            </w:pPr>
            <w:r>
              <w:t>5259.34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4975.72</w:t>
            </w:r>
          </w:p>
        </w:tc>
        <w:tc>
          <w:tcPr>
            <w:tcW w:w="1134" w:type="dxa"/>
            <w:vAlign w:val="center"/>
          </w:tcPr>
          <w:p>
            <w:pPr>
              <w:pStyle w:val="12"/>
            </w:pPr>
            <w:r>
              <w:t>4975.72</w:t>
            </w:r>
          </w:p>
        </w:tc>
        <w:tc>
          <w:tcPr>
            <w:tcW w:w="1134" w:type="dxa"/>
            <w:vAlign w:val="center"/>
          </w:tcPr>
          <w:p>
            <w:pPr>
              <w:pStyle w:val="12"/>
            </w:pPr>
            <w:r>
              <w:t>4975.72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2959.72</w:t>
            </w:r>
          </w:p>
        </w:tc>
        <w:tc>
          <w:tcPr>
            <w:tcW w:w="1134" w:type="dxa"/>
            <w:vAlign w:val="center"/>
          </w:tcPr>
          <w:p>
            <w:pPr>
              <w:pStyle w:val="12"/>
            </w:pPr>
            <w:r>
              <w:t>2959.72</w:t>
            </w:r>
          </w:p>
        </w:tc>
        <w:tc>
          <w:tcPr>
            <w:tcW w:w="1134" w:type="dxa"/>
            <w:vAlign w:val="center"/>
          </w:tcPr>
          <w:p>
            <w:pPr>
              <w:pStyle w:val="12"/>
            </w:pPr>
            <w:r>
              <w:t>2959.72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1866.00</w:t>
            </w:r>
          </w:p>
        </w:tc>
        <w:tc>
          <w:tcPr>
            <w:tcW w:w="1134" w:type="dxa"/>
            <w:vAlign w:val="center"/>
          </w:tcPr>
          <w:p>
            <w:pPr>
              <w:pStyle w:val="12"/>
            </w:pPr>
            <w:r>
              <w:t>1866.00</w:t>
            </w:r>
          </w:p>
        </w:tc>
        <w:tc>
          <w:tcPr>
            <w:tcW w:w="1134" w:type="dxa"/>
            <w:vAlign w:val="center"/>
          </w:tcPr>
          <w:p>
            <w:pPr>
              <w:pStyle w:val="12"/>
            </w:pPr>
            <w:r>
              <w:t>1866.00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2010305</w:t>
            </w:r>
          </w:p>
        </w:tc>
        <w:tc>
          <w:tcPr>
            <w:tcW w:w="1559" w:type="dxa"/>
            <w:vAlign w:val="center"/>
          </w:tcPr>
          <w:p>
            <w:pPr>
              <w:pStyle w:val="13"/>
            </w:pPr>
            <w:r>
              <w:t>专项业务及机关事务管理</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2012604</w:t>
            </w:r>
          </w:p>
        </w:tc>
        <w:tc>
          <w:tcPr>
            <w:tcW w:w="1559" w:type="dxa"/>
            <w:vAlign w:val="center"/>
          </w:tcPr>
          <w:p>
            <w:pPr>
              <w:pStyle w:val="13"/>
            </w:pPr>
            <w:r>
              <w:t>档案馆</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2040219</w:t>
            </w:r>
          </w:p>
        </w:tc>
        <w:tc>
          <w:tcPr>
            <w:tcW w:w="1559" w:type="dxa"/>
            <w:vAlign w:val="center"/>
          </w:tcPr>
          <w:p>
            <w:pPr>
              <w:pStyle w:val="13"/>
            </w:pPr>
            <w:r>
              <w:t>信息化建设</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32.16</w:t>
            </w:r>
          </w:p>
        </w:tc>
        <w:tc>
          <w:tcPr>
            <w:tcW w:w="1134" w:type="dxa"/>
            <w:vAlign w:val="center"/>
          </w:tcPr>
          <w:p>
            <w:pPr>
              <w:pStyle w:val="12"/>
            </w:pPr>
            <w:r>
              <w:t>32.16</w:t>
            </w:r>
          </w:p>
        </w:tc>
        <w:tc>
          <w:tcPr>
            <w:tcW w:w="1134" w:type="dxa"/>
            <w:vAlign w:val="center"/>
          </w:tcPr>
          <w:p>
            <w:pPr>
              <w:pStyle w:val="12"/>
            </w:pPr>
            <w:r>
              <w:t>32.16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159.95</w:t>
            </w:r>
          </w:p>
        </w:tc>
        <w:tc>
          <w:tcPr>
            <w:tcW w:w="1134" w:type="dxa"/>
            <w:vAlign w:val="center"/>
          </w:tcPr>
          <w:p>
            <w:pPr>
              <w:pStyle w:val="12"/>
            </w:pPr>
            <w:r>
              <w:t>159.95</w:t>
            </w:r>
          </w:p>
        </w:tc>
        <w:tc>
          <w:tcPr>
            <w:tcW w:w="1134" w:type="dxa"/>
            <w:vAlign w:val="center"/>
          </w:tcPr>
          <w:p>
            <w:pPr>
              <w:pStyle w:val="12"/>
            </w:pPr>
            <w:r>
              <w:t>159.95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13.67</w:t>
            </w:r>
          </w:p>
        </w:tc>
        <w:tc>
          <w:tcPr>
            <w:tcW w:w="1134" w:type="dxa"/>
            <w:vAlign w:val="center"/>
          </w:tcPr>
          <w:p>
            <w:pPr>
              <w:pStyle w:val="12"/>
            </w:pPr>
            <w:r>
              <w:t>13.67</w:t>
            </w:r>
          </w:p>
        </w:tc>
        <w:tc>
          <w:tcPr>
            <w:tcW w:w="1134" w:type="dxa"/>
            <w:vAlign w:val="center"/>
          </w:tcPr>
          <w:p>
            <w:pPr>
              <w:pStyle w:val="12"/>
            </w:pPr>
            <w:r>
              <w:t>13.67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6216.37</w:t>
            </w:r>
          </w:p>
        </w:tc>
        <w:tc>
          <w:tcPr>
            <w:tcW w:w="1361" w:type="dxa"/>
            <w:vAlign w:val="center"/>
          </w:tcPr>
          <w:p>
            <w:pPr>
              <w:pStyle w:val="16"/>
            </w:pPr>
            <w:r>
              <w:t>3030.67</w:t>
            </w:r>
          </w:p>
        </w:tc>
        <w:tc>
          <w:tcPr>
            <w:tcW w:w="1361" w:type="dxa"/>
            <w:vAlign w:val="center"/>
          </w:tcPr>
          <w:p>
            <w:pPr>
              <w:pStyle w:val="16"/>
            </w:pPr>
            <w:r>
              <w:t>3185.70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5259.34</w:t>
            </w:r>
          </w:p>
        </w:tc>
        <w:tc>
          <w:tcPr>
            <w:tcW w:w="1361" w:type="dxa"/>
            <w:vAlign w:val="center"/>
          </w:tcPr>
          <w:p>
            <w:pPr>
              <w:pStyle w:val="12"/>
            </w:pPr>
            <w:r>
              <w:t>2557.34</w:t>
            </w:r>
          </w:p>
        </w:tc>
        <w:tc>
          <w:tcPr>
            <w:tcW w:w="1361" w:type="dxa"/>
            <w:vAlign w:val="center"/>
          </w:tcPr>
          <w:p>
            <w:pPr>
              <w:pStyle w:val="12"/>
            </w:pPr>
            <w:r>
              <w:t>2702.00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4975.72</w:t>
            </w:r>
          </w:p>
        </w:tc>
        <w:tc>
          <w:tcPr>
            <w:tcW w:w="1361" w:type="dxa"/>
            <w:vAlign w:val="center"/>
          </w:tcPr>
          <w:p>
            <w:pPr>
              <w:pStyle w:val="12"/>
            </w:pPr>
            <w:r>
              <w:t>2411.72</w:t>
            </w:r>
          </w:p>
        </w:tc>
        <w:tc>
          <w:tcPr>
            <w:tcW w:w="1361" w:type="dxa"/>
            <w:vAlign w:val="center"/>
          </w:tcPr>
          <w:p>
            <w:pPr>
              <w:pStyle w:val="12"/>
            </w:pPr>
            <w:r>
              <w:t>2564.00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2959.72</w:t>
            </w:r>
          </w:p>
        </w:tc>
        <w:tc>
          <w:tcPr>
            <w:tcW w:w="1361" w:type="dxa"/>
            <w:vAlign w:val="center"/>
          </w:tcPr>
          <w:p>
            <w:pPr>
              <w:pStyle w:val="12"/>
            </w:pPr>
            <w:r>
              <w:t>2411.72</w:t>
            </w:r>
          </w:p>
        </w:tc>
        <w:tc>
          <w:tcPr>
            <w:tcW w:w="1361" w:type="dxa"/>
            <w:vAlign w:val="center"/>
          </w:tcPr>
          <w:p>
            <w:pPr>
              <w:pStyle w:val="12"/>
            </w:pPr>
            <w:r>
              <w:t>548.00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1866.00</w:t>
            </w:r>
          </w:p>
        </w:tc>
        <w:tc>
          <w:tcPr>
            <w:tcW w:w="1361" w:type="dxa"/>
            <w:vAlign w:val="center"/>
          </w:tcPr>
          <w:p>
            <w:pPr>
              <w:pStyle w:val="12"/>
            </w:pPr>
          </w:p>
        </w:tc>
        <w:tc>
          <w:tcPr>
            <w:tcW w:w="1361" w:type="dxa"/>
            <w:vAlign w:val="center"/>
          </w:tcPr>
          <w:p>
            <w:pPr>
              <w:pStyle w:val="12"/>
            </w:pPr>
            <w:r>
              <w:t>1866.00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2010305</w:t>
            </w:r>
          </w:p>
        </w:tc>
        <w:tc>
          <w:tcPr>
            <w:tcW w:w="4535" w:type="dxa"/>
            <w:vAlign w:val="center"/>
          </w:tcPr>
          <w:p>
            <w:pPr>
              <w:pStyle w:val="13"/>
            </w:pPr>
            <w:r>
              <w:t>专项业务及机关事务管理</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195.62</w:t>
            </w:r>
          </w:p>
        </w:tc>
        <w:tc>
          <w:tcPr>
            <w:tcW w:w="1361" w:type="dxa"/>
            <w:vAlign w:val="center"/>
          </w:tcPr>
          <w:p>
            <w:pPr>
              <w:pStyle w:val="12"/>
            </w:pPr>
            <w:r>
              <w:t>145.62</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195.62</w:t>
            </w:r>
          </w:p>
        </w:tc>
        <w:tc>
          <w:tcPr>
            <w:tcW w:w="1361" w:type="dxa"/>
            <w:vAlign w:val="center"/>
          </w:tcPr>
          <w:p>
            <w:pPr>
              <w:pStyle w:val="12"/>
            </w:pPr>
            <w:r>
              <w:t>145.62</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2012604</w:t>
            </w:r>
          </w:p>
        </w:tc>
        <w:tc>
          <w:tcPr>
            <w:tcW w:w="4535" w:type="dxa"/>
            <w:vAlign w:val="center"/>
          </w:tcPr>
          <w:p>
            <w:pPr>
              <w:pStyle w:val="13"/>
            </w:pPr>
            <w:r>
              <w:t>档案馆</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2040219</w:t>
            </w:r>
          </w:p>
        </w:tc>
        <w:tc>
          <w:tcPr>
            <w:tcW w:w="4535" w:type="dxa"/>
            <w:vAlign w:val="center"/>
          </w:tcPr>
          <w:p>
            <w:pPr>
              <w:pStyle w:val="13"/>
            </w:pPr>
            <w:r>
              <w:t>信息化建设</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205.78</w:t>
            </w:r>
          </w:p>
        </w:tc>
        <w:tc>
          <w:tcPr>
            <w:tcW w:w="1361" w:type="dxa"/>
            <w:vAlign w:val="center"/>
          </w:tcPr>
          <w:p>
            <w:pPr>
              <w:pStyle w:val="12"/>
            </w:pPr>
            <w:r>
              <w:t>205.78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205.78</w:t>
            </w:r>
          </w:p>
        </w:tc>
        <w:tc>
          <w:tcPr>
            <w:tcW w:w="1361" w:type="dxa"/>
            <w:vAlign w:val="center"/>
          </w:tcPr>
          <w:p>
            <w:pPr>
              <w:pStyle w:val="12"/>
            </w:pPr>
            <w:r>
              <w:t>205.78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32.16</w:t>
            </w:r>
          </w:p>
        </w:tc>
        <w:tc>
          <w:tcPr>
            <w:tcW w:w="1361" w:type="dxa"/>
            <w:vAlign w:val="center"/>
          </w:tcPr>
          <w:p>
            <w:pPr>
              <w:pStyle w:val="12"/>
            </w:pPr>
            <w:r>
              <w:t>32.16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159.95</w:t>
            </w:r>
          </w:p>
        </w:tc>
        <w:tc>
          <w:tcPr>
            <w:tcW w:w="1361" w:type="dxa"/>
            <w:vAlign w:val="center"/>
          </w:tcPr>
          <w:p>
            <w:pPr>
              <w:pStyle w:val="12"/>
            </w:pPr>
            <w:r>
              <w:t>159.95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13.67</w:t>
            </w:r>
          </w:p>
        </w:tc>
        <w:tc>
          <w:tcPr>
            <w:tcW w:w="1361" w:type="dxa"/>
            <w:vAlign w:val="center"/>
          </w:tcPr>
          <w:p>
            <w:pPr>
              <w:pStyle w:val="12"/>
            </w:pPr>
            <w:r>
              <w:t>13.67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6216.37</w:t>
            </w:r>
          </w:p>
        </w:tc>
        <w:tc>
          <w:tcPr>
            <w:tcW w:w="3402" w:type="dxa"/>
            <w:vAlign w:val="center"/>
          </w:tcPr>
          <w:p>
            <w:pPr>
              <w:pStyle w:val="13"/>
            </w:pPr>
            <w:r>
              <w:t>一、一般公共服务支出</w:t>
            </w:r>
          </w:p>
        </w:tc>
        <w:tc>
          <w:tcPr>
            <w:tcW w:w="1474" w:type="dxa"/>
            <w:vAlign w:val="center"/>
          </w:tcPr>
          <w:p>
            <w:pPr>
              <w:pStyle w:val="12"/>
            </w:pPr>
            <w:r>
              <w:t>5259.34</w:t>
            </w:r>
          </w:p>
        </w:tc>
        <w:tc>
          <w:tcPr>
            <w:tcW w:w="1474" w:type="dxa"/>
            <w:vAlign w:val="center"/>
          </w:tcPr>
          <w:p>
            <w:pPr>
              <w:pStyle w:val="12"/>
            </w:pPr>
            <w:r>
              <w:t>5259.34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13.70</w:t>
            </w:r>
          </w:p>
        </w:tc>
        <w:tc>
          <w:tcPr>
            <w:tcW w:w="1474" w:type="dxa"/>
            <w:vAlign w:val="center"/>
          </w:tcPr>
          <w:p>
            <w:pPr>
              <w:pStyle w:val="12"/>
            </w:pPr>
            <w:r>
              <w:t>13.70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470.00</w:t>
            </w:r>
          </w:p>
        </w:tc>
        <w:tc>
          <w:tcPr>
            <w:tcW w:w="1474" w:type="dxa"/>
            <w:vAlign w:val="center"/>
          </w:tcPr>
          <w:p>
            <w:pPr>
              <w:pStyle w:val="12"/>
            </w:pPr>
            <w:r>
              <w:t>470.00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205.78</w:t>
            </w:r>
          </w:p>
        </w:tc>
        <w:tc>
          <w:tcPr>
            <w:tcW w:w="1474" w:type="dxa"/>
            <w:vAlign w:val="center"/>
          </w:tcPr>
          <w:p>
            <w:pPr>
              <w:pStyle w:val="12"/>
            </w:pPr>
            <w:r>
              <w:t>205.78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136.43</w:t>
            </w:r>
          </w:p>
        </w:tc>
        <w:tc>
          <w:tcPr>
            <w:tcW w:w="1474" w:type="dxa"/>
            <w:vAlign w:val="center"/>
          </w:tcPr>
          <w:p>
            <w:pPr>
              <w:pStyle w:val="12"/>
            </w:pPr>
            <w:r>
              <w:t>136.43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131.12</w:t>
            </w:r>
          </w:p>
        </w:tc>
        <w:tc>
          <w:tcPr>
            <w:tcW w:w="1474" w:type="dxa"/>
            <w:vAlign w:val="center"/>
          </w:tcPr>
          <w:p>
            <w:pPr>
              <w:pStyle w:val="12"/>
            </w:pPr>
            <w:r>
              <w:t>131.12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6216.37</w:t>
            </w:r>
          </w:p>
        </w:tc>
        <w:tc>
          <w:tcPr>
            <w:tcW w:w="3402" w:type="dxa"/>
            <w:vAlign w:val="center"/>
          </w:tcPr>
          <w:p>
            <w:pPr>
              <w:pStyle w:val="15"/>
            </w:pPr>
            <w:r>
              <w:t>本年支出合计</w:t>
            </w:r>
          </w:p>
        </w:tc>
        <w:tc>
          <w:tcPr>
            <w:tcW w:w="1474" w:type="dxa"/>
            <w:vAlign w:val="center"/>
          </w:tcPr>
          <w:p>
            <w:pPr>
              <w:pStyle w:val="16"/>
            </w:pPr>
            <w:r>
              <w:t>6216.37</w:t>
            </w:r>
          </w:p>
        </w:tc>
        <w:tc>
          <w:tcPr>
            <w:tcW w:w="1474" w:type="dxa"/>
            <w:vAlign w:val="center"/>
          </w:tcPr>
          <w:p>
            <w:pPr>
              <w:pStyle w:val="16"/>
            </w:pPr>
            <w:r>
              <w:t>6216.37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6216.37</w:t>
            </w:r>
          </w:p>
        </w:tc>
        <w:tc>
          <w:tcPr>
            <w:tcW w:w="3402" w:type="dxa"/>
            <w:vAlign w:val="center"/>
          </w:tcPr>
          <w:p>
            <w:pPr>
              <w:pStyle w:val="15"/>
            </w:pPr>
            <w:r>
              <w:t>支出总计</w:t>
            </w:r>
          </w:p>
        </w:tc>
        <w:tc>
          <w:tcPr>
            <w:tcW w:w="1474" w:type="dxa"/>
            <w:vAlign w:val="center"/>
          </w:tcPr>
          <w:p>
            <w:pPr>
              <w:pStyle w:val="16"/>
            </w:pPr>
            <w:r>
              <w:t>6216.37</w:t>
            </w:r>
          </w:p>
        </w:tc>
        <w:tc>
          <w:tcPr>
            <w:tcW w:w="1474" w:type="dxa"/>
            <w:vAlign w:val="center"/>
          </w:tcPr>
          <w:p>
            <w:pPr>
              <w:pStyle w:val="16"/>
            </w:pPr>
            <w:r>
              <w:t>6216.37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6216.37</w:t>
            </w:r>
          </w:p>
        </w:tc>
        <w:tc>
          <w:tcPr>
            <w:tcW w:w="2551" w:type="dxa"/>
            <w:vAlign w:val="center"/>
          </w:tcPr>
          <w:p>
            <w:pPr>
              <w:pStyle w:val="16"/>
            </w:pPr>
            <w:r>
              <w:t>3030.67</w:t>
            </w:r>
          </w:p>
        </w:tc>
        <w:tc>
          <w:tcPr>
            <w:tcW w:w="2551" w:type="dxa"/>
            <w:vAlign w:val="center"/>
          </w:tcPr>
          <w:p>
            <w:pPr>
              <w:pStyle w:val="16"/>
            </w:pPr>
            <w:r>
              <w:t>3185.70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5259.34</w:t>
            </w:r>
          </w:p>
        </w:tc>
        <w:tc>
          <w:tcPr>
            <w:tcW w:w="2551" w:type="dxa"/>
            <w:vAlign w:val="center"/>
          </w:tcPr>
          <w:p>
            <w:pPr>
              <w:pStyle w:val="12"/>
            </w:pPr>
            <w:r>
              <w:t>2557.34</w:t>
            </w:r>
          </w:p>
        </w:tc>
        <w:tc>
          <w:tcPr>
            <w:tcW w:w="2551" w:type="dxa"/>
            <w:vAlign w:val="center"/>
          </w:tcPr>
          <w:p>
            <w:pPr>
              <w:pStyle w:val="12"/>
            </w:pPr>
            <w:r>
              <w:t>2702.00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4975.72</w:t>
            </w:r>
          </w:p>
        </w:tc>
        <w:tc>
          <w:tcPr>
            <w:tcW w:w="2551" w:type="dxa"/>
            <w:vAlign w:val="center"/>
          </w:tcPr>
          <w:p>
            <w:pPr>
              <w:pStyle w:val="12"/>
            </w:pPr>
            <w:r>
              <w:t>2411.72</w:t>
            </w:r>
          </w:p>
        </w:tc>
        <w:tc>
          <w:tcPr>
            <w:tcW w:w="2551" w:type="dxa"/>
            <w:vAlign w:val="center"/>
          </w:tcPr>
          <w:p>
            <w:pPr>
              <w:pStyle w:val="12"/>
            </w:pPr>
            <w:r>
              <w:t>2564.00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2959.72</w:t>
            </w:r>
          </w:p>
        </w:tc>
        <w:tc>
          <w:tcPr>
            <w:tcW w:w="2551" w:type="dxa"/>
            <w:vAlign w:val="center"/>
          </w:tcPr>
          <w:p>
            <w:pPr>
              <w:pStyle w:val="12"/>
            </w:pPr>
            <w:r>
              <w:t>2411.72</w:t>
            </w:r>
          </w:p>
        </w:tc>
        <w:tc>
          <w:tcPr>
            <w:tcW w:w="2551" w:type="dxa"/>
            <w:vAlign w:val="center"/>
          </w:tcPr>
          <w:p>
            <w:pPr>
              <w:pStyle w:val="12"/>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1866.00</w:t>
            </w:r>
          </w:p>
        </w:tc>
        <w:tc>
          <w:tcPr>
            <w:tcW w:w="2551" w:type="dxa"/>
            <w:vAlign w:val="center"/>
          </w:tcPr>
          <w:p>
            <w:pPr>
              <w:pStyle w:val="12"/>
            </w:pPr>
          </w:p>
        </w:tc>
        <w:tc>
          <w:tcPr>
            <w:tcW w:w="2551" w:type="dxa"/>
            <w:vAlign w:val="center"/>
          </w:tcPr>
          <w:p>
            <w:pPr>
              <w:pStyle w:val="12"/>
            </w:pPr>
            <w:r>
              <w:t>1866.00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2010305</w:t>
            </w:r>
          </w:p>
        </w:tc>
        <w:tc>
          <w:tcPr>
            <w:tcW w:w="4535" w:type="dxa"/>
            <w:vAlign w:val="center"/>
          </w:tcPr>
          <w:p>
            <w:pPr>
              <w:pStyle w:val="13"/>
            </w:pPr>
            <w:r>
              <w:t>专项业务及机关事务管理</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58.00</w:t>
            </w:r>
          </w:p>
        </w:tc>
        <w:tc>
          <w:tcPr>
            <w:tcW w:w="2551" w:type="dxa"/>
            <w:vAlign w:val="center"/>
          </w:tcPr>
          <w:p>
            <w:pPr>
              <w:pStyle w:val="12"/>
            </w:pPr>
          </w:p>
        </w:tc>
        <w:tc>
          <w:tcPr>
            <w:tcW w:w="2551"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195.62</w:t>
            </w:r>
          </w:p>
        </w:tc>
        <w:tc>
          <w:tcPr>
            <w:tcW w:w="2551" w:type="dxa"/>
            <w:vAlign w:val="center"/>
          </w:tcPr>
          <w:p>
            <w:pPr>
              <w:pStyle w:val="12"/>
            </w:pPr>
            <w:r>
              <w:t>145.62</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195.62</w:t>
            </w:r>
          </w:p>
        </w:tc>
        <w:tc>
          <w:tcPr>
            <w:tcW w:w="2551" w:type="dxa"/>
            <w:vAlign w:val="center"/>
          </w:tcPr>
          <w:p>
            <w:pPr>
              <w:pStyle w:val="12"/>
            </w:pPr>
            <w:r>
              <w:t>145.62</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2012604</w:t>
            </w:r>
          </w:p>
        </w:tc>
        <w:tc>
          <w:tcPr>
            <w:tcW w:w="4535" w:type="dxa"/>
            <w:vAlign w:val="center"/>
          </w:tcPr>
          <w:p>
            <w:pPr>
              <w:pStyle w:val="13"/>
            </w:pPr>
            <w:r>
              <w:t>档案馆</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2040219</w:t>
            </w:r>
          </w:p>
        </w:tc>
        <w:tc>
          <w:tcPr>
            <w:tcW w:w="4535" w:type="dxa"/>
            <w:vAlign w:val="center"/>
          </w:tcPr>
          <w:p>
            <w:pPr>
              <w:pStyle w:val="13"/>
            </w:pPr>
            <w:r>
              <w:t>信息化建设</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205.78</w:t>
            </w:r>
          </w:p>
        </w:tc>
        <w:tc>
          <w:tcPr>
            <w:tcW w:w="2551" w:type="dxa"/>
            <w:vAlign w:val="center"/>
          </w:tcPr>
          <w:p>
            <w:pPr>
              <w:pStyle w:val="12"/>
            </w:pPr>
            <w:r>
              <w:t>205.78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205.78</w:t>
            </w:r>
          </w:p>
        </w:tc>
        <w:tc>
          <w:tcPr>
            <w:tcW w:w="2551" w:type="dxa"/>
            <w:vAlign w:val="center"/>
          </w:tcPr>
          <w:p>
            <w:pPr>
              <w:pStyle w:val="12"/>
            </w:pPr>
            <w:r>
              <w:t>205.78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32.16</w:t>
            </w:r>
          </w:p>
        </w:tc>
        <w:tc>
          <w:tcPr>
            <w:tcW w:w="2551" w:type="dxa"/>
            <w:vAlign w:val="center"/>
          </w:tcPr>
          <w:p>
            <w:pPr>
              <w:pStyle w:val="12"/>
            </w:pPr>
            <w:r>
              <w:t>32.16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159.95</w:t>
            </w:r>
          </w:p>
        </w:tc>
        <w:tc>
          <w:tcPr>
            <w:tcW w:w="2551" w:type="dxa"/>
            <w:vAlign w:val="center"/>
          </w:tcPr>
          <w:p>
            <w:pPr>
              <w:pStyle w:val="12"/>
            </w:pPr>
            <w:r>
              <w:t>159.95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13.67</w:t>
            </w:r>
          </w:p>
        </w:tc>
        <w:tc>
          <w:tcPr>
            <w:tcW w:w="2551" w:type="dxa"/>
            <w:vAlign w:val="center"/>
          </w:tcPr>
          <w:p>
            <w:pPr>
              <w:pStyle w:val="12"/>
            </w:pPr>
            <w:r>
              <w:t>13.67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3030.67</w:t>
            </w:r>
          </w:p>
        </w:tc>
        <w:tc>
          <w:tcPr>
            <w:tcW w:w="2551" w:type="dxa"/>
            <w:vAlign w:val="center"/>
          </w:tcPr>
          <w:p>
            <w:pPr>
              <w:pStyle w:val="16"/>
            </w:pPr>
            <w:r>
              <w:t>1645.33</w:t>
            </w:r>
          </w:p>
        </w:tc>
        <w:tc>
          <w:tcPr>
            <w:tcW w:w="2551" w:type="dxa"/>
            <w:vAlign w:val="center"/>
          </w:tcPr>
          <w:p>
            <w:pPr>
              <w:pStyle w:val="16"/>
            </w:pPr>
            <w:r>
              <w:t>1385.33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1615.36</w:t>
            </w:r>
          </w:p>
        </w:tc>
        <w:tc>
          <w:tcPr>
            <w:tcW w:w="2551" w:type="dxa"/>
            <w:vAlign w:val="center"/>
          </w:tcPr>
          <w:p>
            <w:pPr>
              <w:pStyle w:val="12"/>
            </w:pPr>
            <w:r>
              <w:t>1615.36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328.17</w:t>
            </w:r>
          </w:p>
        </w:tc>
        <w:tc>
          <w:tcPr>
            <w:tcW w:w="2551" w:type="dxa"/>
            <w:vAlign w:val="center"/>
          </w:tcPr>
          <w:p>
            <w:pPr>
              <w:pStyle w:val="12"/>
            </w:pPr>
            <w:r>
              <w:t>328.17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141.15</w:t>
            </w:r>
          </w:p>
        </w:tc>
        <w:tc>
          <w:tcPr>
            <w:tcW w:w="2551" w:type="dxa"/>
            <w:vAlign w:val="center"/>
          </w:tcPr>
          <w:p>
            <w:pPr>
              <w:pStyle w:val="12"/>
            </w:pPr>
            <w:r>
              <w:t>141.15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242.92</w:t>
            </w:r>
          </w:p>
        </w:tc>
        <w:tc>
          <w:tcPr>
            <w:tcW w:w="2551" w:type="dxa"/>
            <w:vAlign w:val="center"/>
          </w:tcPr>
          <w:p>
            <w:pPr>
              <w:pStyle w:val="12"/>
            </w:pPr>
            <w:r>
              <w:t>242.92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453.20</w:t>
            </w:r>
          </w:p>
        </w:tc>
        <w:tc>
          <w:tcPr>
            <w:tcW w:w="2551" w:type="dxa"/>
            <w:vAlign w:val="center"/>
          </w:tcPr>
          <w:p>
            <w:pPr>
              <w:pStyle w:val="12"/>
            </w:pPr>
            <w:r>
              <w:t>453.20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159.95</w:t>
            </w:r>
          </w:p>
        </w:tc>
        <w:tc>
          <w:tcPr>
            <w:tcW w:w="2551" w:type="dxa"/>
            <w:vAlign w:val="center"/>
          </w:tcPr>
          <w:p>
            <w:pPr>
              <w:pStyle w:val="12"/>
            </w:pPr>
            <w:r>
              <w:t>159.95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13.67</w:t>
            </w:r>
          </w:p>
        </w:tc>
        <w:tc>
          <w:tcPr>
            <w:tcW w:w="2551" w:type="dxa"/>
            <w:vAlign w:val="center"/>
          </w:tcPr>
          <w:p>
            <w:pPr>
              <w:pStyle w:val="12"/>
            </w:pPr>
            <w:r>
              <w:t>13.67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8.76</w:t>
            </w:r>
          </w:p>
        </w:tc>
        <w:tc>
          <w:tcPr>
            <w:tcW w:w="2551" w:type="dxa"/>
            <w:vAlign w:val="center"/>
          </w:tcPr>
          <w:p>
            <w:pPr>
              <w:pStyle w:val="12"/>
            </w:pPr>
            <w:r>
              <w:t>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1381.57</w:t>
            </w:r>
          </w:p>
        </w:tc>
        <w:tc>
          <w:tcPr>
            <w:tcW w:w="2551" w:type="dxa"/>
            <w:vAlign w:val="center"/>
          </w:tcPr>
          <w:p>
            <w:pPr>
              <w:pStyle w:val="12"/>
            </w:pPr>
          </w:p>
        </w:tc>
        <w:tc>
          <w:tcPr>
            <w:tcW w:w="2551" w:type="dxa"/>
            <w:vAlign w:val="center"/>
          </w:tcPr>
          <w:p>
            <w:pPr>
              <w:pStyle w:val="12"/>
            </w:pPr>
            <w:r>
              <w:t>1381.57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28.20</w:t>
            </w:r>
          </w:p>
        </w:tc>
        <w:tc>
          <w:tcPr>
            <w:tcW w:w="2551" w:type="dxa"/>
            <w:vAlign w:val="center"/>
          </w:tcPr>
          <w:p>
            <w:pPr>
              <w:pStyle w:val="12"/>
            </w:pPr>
          </w:p>
        </w:tc>
        <w:tc>
          <w:tcPr>
            <w:tcW w:w="2551" w:type="dxa"/>
            <w:vAlign w:val="center"/>
          </w:tcPr>
          <w:p>
            <w:pPr>
              <w:pStyle w:val="12"/>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380.00</w:t>
            </w:r>
          </w:p>
        </w:tc>
        <w:tc>
          <w:tcPr>
            <w:tcW w:w="2551" w:type="dxa"/>
            <w:vAlign w:val="center"/>
          </w:tcPr>
          <w:p>
            <w:pPr>
              <w:pStyle w:val="12"/>
            </w:pPr>
          </w:p>
        </w:tc>
        <w:tc>
          <w:tcPr>
            <w:tcW w:w="2551"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13.50</w:t>
            </w:r>
          </w:p>
        </w:tc>
        <w:tc>
          <w:tcPr>
            <w:tcW w:w="2551" w:type="dxa"/>
            <w:vAlign w:val="center"/>
          </w:tcPr>
          <w:p>
            <w:pPr>
              <w:pStyle w:val="12"/>
            </w:pPr>
          </w:p>
        </w:tc>
        <w:tc>
          <w:tcPr>
            <w:tcW w:w="2551" w:type="dxa"/>
            <w:vAlign w:val="center"/>
          </w:tcPr>
          <w:p>
            <w:pPr>
              <w:pStyle w:val="12"/>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740.00</w:t>
            </w:r>
          </w:p>
        </w:tc>
        <w:tc>
          <w:tcPr>
            <w:tcW w:w="2551" w:type="dxa"/>
            <w:vAlign w:val="center"/>
          </w:tcPr>
          <w:p>
            <w:pPr>
              <w:pStyle w:val="12"/>
            </w:pPr>
          </w:p>
        </w:tc>
        <w:tc>
          <w:tcPr>
            <w:tcW w:w="2551" w:type="dxa"/>
            <w:vAlign w:val="center"/>
          </w:tcPr>
          <w:p>
            <w:pPr>
              <w:pStyle w:val="12"/>
            </w:pPr>
            <w:r>
              <w:t>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15.04</w:t>
            </w:r>
          </w:p>
        </w:tc>
        <w:tc>
          <w:tcPr>
            <w:tcW w:w="2551" w:type="dxa"/>
            <w:vAlign w:val="center"/>
          </w:tcPr>
          <w:p>
            <w:pPr>
              <w:pStyle w:val="12"/>
            </w:pPr>
          </w:p>
        </w:tc>
        <w:tc>
          <w:tcPr>
            <w:tcW w:w="2551" w:type="dxa"/>
            <w:vAlign w:val="center"/>
          </w:tcPr>
          <w:p>
            <w:pPr>
              <w:pStyle w:val="12"/>
            </w:pPr>
            <w:r>
              <w:t>15.04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10.72</w:t>
            </w:r>
          </w:p>
        </w:tc>
        <w:tc>
          <w:tcPr>
            <w:tcW w:w="2551" w:type="dxa"/>
            <w:vAlign w:val="center"/>
          </w:tcPr>
          <w:p>
            <w:pPr>
              <w:pStyle w:val="12"/>
            </w:pPr>
          </w:p>
        </w:tc>
        <w:tc>
          <w:tcPr>
            <w:tcW w:w="2551" w:type="dxa"/>
            <w:vAlign w:val="center"/>
          </w:tcPr>
          <w:p>
            <w:pPr>
              <w:pStyle w:val="12"/>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1.33</w:t>
            </w:r>
          </w:p>
        </w:tc>
        <w:tc>
          <w:tcPr>
            <w:tcW w:w="2551" w:type="dxa"/>
            <w:vAlign w:val="center"/>
          </w:tcPr>
          <w:p>
            <w:pPr>
              <w:pStyle w:val="12"/>
            </w:pPr>
          </w:p>
        </w:tc>
        <w:tc>
          <w:tcPr>
            <w:tcW w:w="2551"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14.30</w:t>
            </w:r>
          </w:p>
        </w:tc>
        <w:tc>
          <w:tcPr>
            <w:tcW w:w="2551" w:type="dxa"/>
            <w:vAlign w:val="center"/>
          </w:tcPr>
          <w:p>
            <w:pPr>
              <w:pStyle w:val="12"/>
            </w:pPr>
          </w:p>
        </w:tc>
        <w:tc>
          <w:tcPr>
            <w:tcW w:w="2551" w:type="dxa"/>
            <w:vAlign w:val="center"/>
          </w:tcPr>
          <w:p>
            <w:pPr>
              <w:pStyle w:val="12"/>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9.43</w:t>
            </w:r>
          </w:p>
        </w:tc>
        <w:tc>
          <w:tcPr>
            <w:tcW w:w="2551" w:type="dxa"/>
            <w:vAlign w:val="center"/>
          </w:tcPr>
          <w:p>
            <w:pPr>
              <w:pStyle w:val="12"/>
            </w:pPr>
          </w:p>
        </w:tc>
        <w:tc>
          <w:tcPr>
            <w:tcW w:w="2551" w:type="dxa"/>
            <w:vAlign w:val="center"/>
          </w:tcPr>
          <w:p>
            <w:pPr>
              <w:pStyle w:val="12"/>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19.57</w:t>
            </w:r>
          </w:p>
        </w:tc>
        <w:tc>
          <w:tcPr>
            <w:tcW w:w="2551" w:type="dxa"/>
            <w:vAlign w:val="center"/>
          </w:tcPr>
          <w:p>
            <w:pPr>
              <w:pStyle w:val="12"/>
            </w:pPr>
          </w:p>
        </w:tc>
        <w:tc>
          <w:tcPr>
            <w:tcW w:w="2551" w:type="dxa"/>
            <w:vAlign w:val="center"/>
          </w:tcPr>
          <w:p>
            <w:pPr>
              <w:pStyle w:val="12"/>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2.32</w:t>
            </w:r>
          </w:p>
        </w:tc>
        <w:tc>
          <w:tcPr>
            <w:tcW w:w="2551" w:type="dxa"/>
            <w:vAlign w:val="center"/>
          </w:tcPr>
          <w:p>
            <w:pPr>
              <w:pStyle w:val="12"/>
            </w:pPr>
          </w:p>
        </w:tc>
        <w:tc>
          <w:tcPr>
            <w:tcW w:w="2551" w:type="dxa"/>
            <w:vAlign w:val="center"/>
          </w:tcPr>
          <w:p>
            <w:pPr>
              <w:pStyle w:val="12"/>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29.97</w:t>
            </w:r>
          </w:p>
        </w:tc>
        <w:tc>
          <w:tcPr>
            <w:tcW w:w="2551" w:type="dxa"/>
            <w:vAlign w:val="center"/>
          </w:tcPr>
          <w:p>
            <w:pPr>
              <w:pStyle w:val="12"/>
            </w:pPr>
            <w:r>
              <w:t>29.97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29.84</w:t>
            </w:r>
          </w:p>
        </w:tc>
        <w:tc>
          <w:tcPr>
            <w:tcW w:w="2551" w:type="dxa"/>
            <w:vAlign w:val="center"/>
          </w:tcPr>
          <w:p>
            <w:pPr>
              <w:pStyle w:val="12"/>
            </w:pPr>
            <w:r>
              <w:t>29.84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140.13</w:t>
            </w:r>
          </w:p>
        </w:tc>
        <w:tc>
          <w:tcPr>
            <w:tcW w:w="2381" w:type="dxa"/>
            <w:vAlign w:val="center"/>
          </w:tcPr>
          <w:p>
            <w:pPr>
              <w:pStyle w:val="16"/>
            </w:pPr>
            <w:r>
              <w:t>140.13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140.13</w:t>
            </w:r>
          </w:p>
        </w:tc>
        <w:tc>
          <w:tcPr>
            <w:tcW w:w="2381" w:type="dxa"/>
            <w:vAlign w:val="center"/>
          </w:tcPr>
          <w:p>
            <w:pPr>
              <w:pStyle w:val="12"/>
            </w:pPr>
            <w:r>
              <w:t>140.13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50.00</w:t>
            </w:r>
          </w:p>
        </w:tc>
        <w:tc>
          <w:tcPr>
            <w:tcW w:w="2381" w:type="dxa"/>
            <w:vAlign w:val="center"/>
          </w:tcPr>
          <w:p>
            <w:pPr>
              <w:pStyle w:val="12"/>
            </w:pPr>
            <w:r>
              <w:t>50.00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50.00</w:t>
            </w:r>
          </w:p>
        </w:tc>
        <w:tc>
          <w:tcPr>
            <w:tcW w:w="2381" w:type="dxa"/>
            <w:vAlign w:val="center"/>
          </w:tcPr>
          <w:p>
            <w:pPr>
              <w:pStyle w:val="12"/>
            </w:pPr>
            <w:r>
              <w:t>50.00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13.80</w:t>
            </w:r>
          </w:p>
        </w:tc>
        <w:tc>
          <w:tcPr>
            <w:tcW w:w="2381" w:type="dxa"/>
            <w:vAlign w:val="center"/>
          </w:tcPr>
          <w:p>
            <w:pPr>
              <w:pStyle w:val="12"/>
            </w:pPr>
            <w:r>
              <w:t>13.80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13.80</w:t>
            </w:r>
          </w:p>
        </w:tc>
        <w:tc>
          <w:tcPr>
            <w:tcW w:w="2381" w:type="dxa"/>
            <w:vAlign w:val="center"/>
          </w:tcPr>
          <w:p>
            <w:pPr>
              <w:pStyle w:val="12"/>
            </w:pPr>
            <w:r>
              <w:t>13.80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76.33</w:t>
            </w:r>
          </w:p>
        </w:tc>
        <w:tc>
          <w:tcPr>
            <w:tcW w:w="2381" w:type="dxa"/>
            <w:vAlign w:val="center"/>
          </w:tcPr>
          <w:p>
            <w:pPr>
              <w:pStyle w:val="12"/>
            </w:pPr>
            <w:r>
              <w:t>76.33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秦皇岛北戴河新区综合办公室2024年部门预算信息公开情况说明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秦皇岛北戴河新区综合办公室2024年部门预算信息公开情况说明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按照《中华人民共和国预算法》、《地方预决算公开操作规程》和《关于进一步推进预算公开工作的实施意见》规定，现将秦皇岛北戴河新区综合办公室2024年部门预算公开如下：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根据《秦皇岛北戴河新区综合办公室职能配置、内设机构和人员编制规定》，秦皇岛北戴河新区综合办公室的主要职责是：</w:t>
      </w:r>
    </w:p>
    <w:p>
      <w:pPr>
        <w:pStyle w:val="18"/>
      </w:pPr>
      <w:r>
        <w:t>（一）负责党工委、管委会机关日常工作的综合协调、督导检查、情况反馈工作。</w:t>
      </w:r>
    </w:p>
    <w:p>
      <w:pPr>
        <w:pStyle w:val="18"/>
      </w:pPr>
      <w:r>
        <w:t>（二）负责综合文字、领导讲话、文件收发、会务及活动组织、文印管理、政务信息、地方志、档案管理等工作。</w:t>
      </w:r>
    </w:p>
    <w:p>
      <w:pPr>
        <w:pStyle w:val="18"/>
      </w:pPr>
      <w:r>
        <w:t>（三）负责对工委、管委工作部署落实情况的督导检查工作。</w:t>
      </w:r>
    </w:p>
    <w:p>
      <w:pPr>
        <w:pStyle w:val="18"/>
      </w:pPr>
      <w:r>
        <w:t>（四）负责纠正“四风”和作风纪律专项整治工作。</w:t>
      </w:r>
    </w:p>
    <w:p>
      <w:pPr>
        <w:pStyle w:val="18"/>
      </w:pPr>
      <w:r>
        <w:t>（五）负责统筹协调政务、商务接待工作。</w:t>
      </w:r>
    </w:p>
    <w:p>
      <w:pPr>
        <w:pStyle w:val="18"/>
      </w:pPr>
      <w:r>
        <w:t>（六）负责新区值班工作的统筹协调。</w:t>
      </w:r>
    </w:p>
    <w:p>
      <w:pPr>
        <w:pStyle w:val="18"/>
      </w:pPr>
      <w:r>
        <w:t>（七）负责工管委机关财务工作。</w:t>
      </w:r>
    </w:p>
    <w:p>
      <w:pPr>
        <w:pStyle w:val="18"/>
      </w:pPr>
      <w:r>
        <w:t>（八）负责承担新区机关办公设施的维修及食堂管理、水、暖、电、讯等后勤保障服务工作，负责新区机关、事业单位车辆管理、安全保卫等工作。</w:t>
      </w:r>
    </w:p>
    <w:p>
      <w:pPr>
        <w:pStyle w:val="18"/>
      </w:pPr>
      <w:r>
        <w:t>（九）负责暑期工作的综合协调、组织指导、督促检查和省部级以上领导的暑期接待服务工作。</w:t>
      </w:r>
    </w:p>
    <w:p>
      <w:pPr>
        <w:pStyle w:val="18"/>
      </w:pPr>
      <w:r>
        <w:t>（十）负责统筹协调新区深化改革、“放管服”改革工作。（十一）负责新区党工委主体责任落实工作。</w:t>
      </w:r>
    </w:p>
    <w:p>
      <w:pPr>
        <w:pStyle w:val="18"/>
      </w:pPr>
      <w:r>
        <w:t>（十二）负责机要保密、政务公开工作。</w:t>
      </w:r>
    </w:p>
    <w:p>
      <w:pPr>
        <w:pStyle w:val="18"/>
      </w:pPr>
      <w:r>
        <w:t>（十三）负责市长热线的接转、回复工作。</w:t>
      </w:r>
    </w:p>
    <w:p>
      <w:pPr>
        <w:pStyle w:val="18"/>
      </w:pPr>
      <w:r>
        <w:t>（十四）负责承办新区党工委、管委会交办的其他事项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秦皇岛北戴河新区综合办公室本级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秦皇岛北戴河新区廉政办</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秦皇岛北戴河新区高新技术产业开发建设办公室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按照预算管理有关规定，目前部门预算的编制实行综合预算管理，即全部收入和支出都反映在预算中。秦皇岛北戴河新区综合办公室机关及所属事业单位的收支包含在部门预算中。</w:t>
      </w:r>
    </w:p>
    <w:p>
      <w:pPr>
        <w:pStyle w:val="19"/>
      </w:pPr>
      <w:r>
        <w:t>1、收入说明</w:t>
      </w:r>
    </w:p>
    <w:p>
      <w:pPr>
        <w:pStyle w:val="19"/>
      </w:pPr>
      <w:r>
        <w:t>反映本部门当年全部收入。2024年预算收入6216.37万元，其中：一般公共预算收入6216.37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综合办公室年度部门预算中支出预算的总体情况。2024年支出预算6216.37万元，其中基本支出3030.67万元，包括人员经费1645.33万元和日常公用经费1385.33万元；项目支出3185.70万元，主要为特定目标类项目（一般公共预算）2226.70万元，其他运转类项目（一般公共预算）959.00万元。共计17个项目资金：公共设施维修维护及旅游旺季后勤、办公用房租赁费、网络通讯运行维护费、综合管理运行经费、大型活动经费、公共文化活动中心（规划展馆）运行经费、机关运行保障经费、外联活动经费、物业管理服务费、综合指挥中心建设资金、纪检监察工作经费等。</w:t>
      </w:r>
    </w:p>
    <w:p>
      <w:pPr>
        <w:pStyle w:val="19"/>
      </w:pPr>
      <w:r>
        <w:t>3、比上年增减情况</w:t>
      </w:r>
    </w:p>
    <w:p>
      <w:pPr>
        <w:pStyle w:val="19"/>
      </w:pPr>
      <w:r>
        <w:t>2024年预算收支安排6216.37万元，较2023年预算</w:t>
      </w:r>
      <w:r>
        <w:rPr>
          <w:rFonts w:hint="eastAsia"/>
          <w:lang w:eastAsia="zh-CN"/>
        </w:rPr>
        <w:t>减少1795.11</w:t>
      </w:r>
      <w:r>
        <w:t>万元，其中：基本支出增加94.87万元，主要为机构调整，预算同步调整。项目支出增加241.80万元，主要为新增物业管理服务，预算同步增加。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2024年，我部门机关运行经费共计安排1385.33万元，主要用于日常维修、办公用房水电费、办公用房取暖费、办公用房物业管理费等日常运行支出。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140.13万元，其中因公出国（境）费50.00万元；公务用车购置及运维费13.80万元（其中：公务用车购置费为0.00万元，公务用车运维费13.80万元)；公务接待费76.33万元。与2023年相比减少24.</w:t>
      </w:r>
      <w:r>
        <w:rPr>
          <w:rFonts w:hint="eastAsia"/>
          <w:lang w:val="en-US" w:eastAsia="zh-CN"/>
        </w:rPr>
        <w:t>63</w:t>
      </w:r>
      <w:r>
        <w:t>万元，增减变化的主要原因是严格控制</w:t>
      </w:r>
      <w:r>
        <w:rPr>
          <w:rFonts w:hint="eastAsia"/>
          <w:lang w:eastAsia="zh-CN"/>
        </w:rPr>
        <w:t>预算</w:t>
      </w:r>
      <w:r>
        <w:t>支出，进一步压减一般性支出。</w:t>
      </w: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五、部门整体绩效目标</w:t>
      </w:r>
      <w:bookmarkEnd w:id="13"/>
      <w:bookmarkStart w:id="20" w:name="_GoBack"/>
      <w:bookmarkEnd w:id="20"/>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（一）总体绩效目标</w:t>
      </w:r>
    </w:p>
    <w:p>
      <w:pPr>
        <w:pStyle w:val="22"/>
        <w:rPr>
          <w:color w:val="auto"/>
        </w:rPr>
      </w:pPr>
      <w:r>
        <w:rPr>
          <w:color w:val="auto"/>
        </w:rPr>
        <w:t>深入学习贯彻党的二十大精神，学以致用加强办公室各项工作和实践。紧紧围绕全区发展大局，深入推进“不忘初心、牢记使命”主题教育及党史学习教育常态化化、制度化，践行忠诚、干净、担当要求，充分发挥工管委的“坚强前哨”和“巩固后院”作用，在以文辅政、服务保障、综合协调、督导落实、机关建设等方面工作取得显著成效，践行“五个坚持”，全面做好“三服务”工作，争当新区讲担当、高效率、求创新的第一窗口。做好经济运行、环境保护、民生保障、安全稳定等各项工作，勇于创新、攻坚克难，为办公室全面建设再上新台阶贡献新的力量。</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（二）分项绩效目标</w:t>
      </w:r>
    </w:p>
    <w:p>
      <w:pPr>
        <w:pStyle w:val="23"/>
        <w:rPr>
          <w:color w:val="auto"/>
          <w:highlight w:val="none"/>
        </w:rPr>
      </w:pPr>
      <w:r>
        <w:rPr>
          <w:rFonts w:hint="eastAsia"/>
          <w:color w:val="auto"/>
          <w:highlight w:val="none"/>
          <w:lang w:val="en-US" w:eastAsia="zh-CN"/>
        </w:rPr>
        <w:t>1.</w:t>
      </w:r>
      <w:r>
        <w:rPr>
          <w:color w:val="auto"/>
          <w:highlight w:val="none"/>
        </w:rPr>
        <w:t>发挥参谋助手作用，服务工管委中心工作</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通过起草各类文件和领导讲话、汇报、致辞等文稿，起草会议纪要，高效完成各项工作任务。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认真贯彻中央、省市公文处理有关规定，严把起草、审核关，规范收发、传阅等办理程序，确保收发文件资料高效准确。</w:t>
      </w:r>
    </w:p>
    <w:p>
      <w:pPr>
        <w:pStyle w:val="23"/>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color w:val="auto"/>
          <w:highlight w:val="none"/>
        </w:rPr>
        <w:t>通过对新区信息工作人员开展业务培训，提高新区信息工作效率。</w:t>
      </w:r>
    </w:p>
    <w:p>
      <w:pPr>
        <w:pStyle w:val="23"/>
        <w:rPr>
          <w:color w:val="auto"/>
          <w:highlight w:val="none"/>
        </w:rPr>
      </w:pPr>
      <w:r>
        <w:rPr>
          <w:color w:val="auto"/>
          <w:highlight w:val="none"/>
        </w:rPr>
        <w:t>绩效指标：起草会议文稿                               ≥50篇</w:t>
      </w:r>
    </w:p>
    <w:p>
      <w:pPr>
        <w:pStyle w:val="23"/>
        <w:rPr>
          <w:color w:val="auto"/>
          <w:highlight w:val="none"/>
        </w:rPr>
      </w:pPr>
      <w:r>
        <w:rPr>
          <w:color w:val="auto"/>
          <w:highlight w:val="none"/>
        </w:rPr>
        <w:t>起草会议纪要                              ≥100篇</w:t>
      </w:r>
    </w:p>
    <w:p>
      <w:pPr>
        <w:pStyle w:val="23"/>
        <w:rPr>
          <w:color w:val="auto"/>
          <w:highlight w:val="none"/>
        </w:rPr>
      </w:pPr>
      <w:r>
        <w:rPr>
          <w:color w:val="auto"/>
          <w:highlight w:val="none"/>
        </w:rPr>
        <w:t>信息报送                                   ≥50次</w:t>
      </w:r>
    </w:p>
    <w:p>
      <w:pPr>
        <w:pStyle w:val="23"/>
        <w:rPr>
          <w:color w:val="auto"/>
          <w:highlight w:val="none"/>
        </w:rPr>
      </w:pPr>
      <w:r>
        <w:rPr>
          <w:color w:val="auto"/>
          <w:highlight w:val="none"/>
        </w:rPr>
        <w:t>公文收发完成率100%</w:t>
      </w:r>
    </w:p>
    <w:p>
      <w:pPr>
        <w:pStyle w:val="23"/>
        <w:rPr>
          <w:color w:val="auto"/>
          <w:highlight w:val="none"/>
        </w:rPr>
      </w:pPr>
      <w:r>
        <w:rPr>
          <w:rFonts w:hint="eastAsia"/>
          <w:color w:val="auto"/>
          <w:highlight w:val="none"/>
          <w:lang w:val="en-US" w:eastAsia="zh-CN"/>
        </w:rPr>
        <w:t>2.</w:t>
      </w:r>
      <w:r>
        <w:rPr>
          <w:color w:val="auto"/>
          <w:highlight w:val="none"/>
        </w:rPr>
        <w:t>推行标准化管理，提升服务保障水平</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根据“认真、负责、细致、周到”的要求，完善《公务接待制度》，严格执行定点用餐和就餐审批制度，圆满完成各项接待任务。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通过举办档案业务专题培训会，切实提高档案管理人员工作技能，档案管理再上台阶，充分发挥档5050100案服务社会的功能。</w:t>
      </w:r>
    </w:p>
    <w:p>
      <w:pPr>
        <w:pStyle w:val="23"/>
        <w:rPr>
          <w:color w:val="auto"/>
          <w:highlight w:val="none"/>
        </w:rPr>
      </w:pPr>
      <w:r>
        <w:rPr>
          <w:color w:val="auto"/>
          <w:highlight w:val="none"/>
        </w:rPr>
        <w:t>绩效指标：组织大型会议统筹接待次数                ≥5次</w:t>
      </w:r>
    </w:p>
    <w:p>
      <w:pPr>
        <w:pStyle w:val="23"/>
        <w:rPr>
          <w:color w:val="auto"/>
          <w:highlight w:val="none"/>
        </w:rPr>
      </w:pPr>
      <w:r>
        <w:rPr>
          <w:color w:val="auto"/>
          <w:highlight w:val="none"/>
        </w:rPr>
        <w:t>接待档案查阅利用人数                    ≥300人次</w:t>
      </w:r>
    </w:p>
    <w:p>
      <w:pPr>
        <w:pStyle w:val="23"/>
        <w:rPr>
          <w:color w:val="auto"/>
          <w:highlight w:val="none"/>
        </w:rPr>
      </w:pPr>
      <w:r>
        <w:rPr>
          <w:rFonts w:hint="eastAsia"/>
          <w:color w:val="auto"/>
          <w:highlight w:val="none"/>
          <w:lang w:val="en-US" w:eastAsia="zh-CN"/>
        </w:rPr>
        <w:t>3.</w:t>
      </w:r>
      <w:r>
        <w:rPr>
          <w:color w:val="auto"/>
          <w:highlight w:val="none"/>
        </w:rPr>
        <w:t>提升综合协调能力，保障重点工作高效推进</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充分发挥暑办的枢纽作用，按照“深实严细久”工作标准，完成旅游旺季各项服务保障任务。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坚持以报处紧急重大突发事件为重点，以快速反应、科学研判、灵敏高效为原则，扎实做好应急值守工作。</w:t>
      </w:r>
    </w:p>
    <w:p>
      <w:pPr>
        <w:pStyle w:val="23"/>
        <w:rPr>
          <w:color w:val="auto"/>
          <w:highlight w:val="none"/>
        </w:rPr>
      </w:pPr>
      <w:r>
        <w:rPr>
          <w:color w:val="auto"/>
          <w:highlight w:val="none"/>
        </w:rPr>
        <w:t>绩效指标：完成旅游旺季各项任务完成率100%</w:t>
      </w:r>
    </w:p>
    <w:p>
      <w:pPr>
        <w:pStyle w:val="23"/>
        <w:rPr>
          <w:color w:val="auto"/>
          <w:highlight w:val="none"/>
        </w:rPr>
      </w:pPr>
      <w:r>
        <w:rPr>
          <w:color w:val="auto"/>
          <w:highlight w:val="none"/>
        </w:rPr>
        <w:t>安全无事故率100%</w:t>
      </w:r>
    </w:p>
    <w:p>
      <w:pPr>
        <w:pStyle w:val="23"/>
        <w:rPr>
          <w:color w:val="auto"/>
          <w:highlight w:val="none"/>
        </w:rPr>
      </w:pPr>
      <w:r>
        <w:rPr>
          <w:rFonts w:hint="eastAsia"/>
          <w:color w:val="auto"/>
          <w:highlight w:val="none"/>
          <w:lang w:val="en-US" w:eastAsia="zh-CN"/>
        </w:rPr>
        <w:t>4.</w:t>
      </w:r>
      <w:r>
        <w:rPr>
          <w:color w:val="auto"/>
          <w:highlight w:val="none"/>
        </w:rPr>
        <w:t>强化督导检查，确保工管委决策落实到位</w:t>
      </w:r>
    </w:p>
    <w:p>
      <w:pPr>
        <w:pStyle w:val="23"/>
        <w:rPr>
          <w:color w:val="auto"/>
          <w:highlight w:val="none"/>
        </w:rPr>
      </w:pPr>
      <w:r>
        <w:rPr>
          <w:color w:val="auto"/>
          <w:highlight w:val="none"/>
        </w:rPr>
        <w:t>绩效目标：通过完善督查相关制度，实现工管委决策部署全覆盖。</w:t>
      </w:r>
    </w:p>
    <w:p>
      <w:pPr>
        <w:pStyle w:val="23"/>
        <w:rPr>
          <w:color w:val="auto"/>
          <w:highlight w:val="none"/>
        </w:rPr>
      </w:pPr>
      <w:r>
        <w:rPr>
          <w:color w:val="auto"/>
          <w:highlight w:val="none"/>
        </w:rPr>
        <w:t>绩效指标：向各单位发放督办卡份数                   ≥100次·</w:t>
      </w:r>
    </w:p>
    <w:p>
      <w:pPr>
        <w:pStyle w:val="23"/>
        <w:rPr>
          <w:color w:val="auto"/>
          <w:highlight w:val="none"/>
        </w:rPr>
      </w:pPr>
      <w:r>
        <w:rPr>
          <w:color w:val="auto"/>
          <w:highlight w:val="none"/>
        </w:rPr>
        <w:t>重点工作任务及重大决策部署督办查覆盖面   100%</w:t>
      </w:r>
    </w:p>
    <w:p>
      <w:pPr>
        <w:pStyle w:val="23"/>
        <w:rPr>
          <w:color w:val="auto"/>
          <w:highlight w:val="none"/>
        </w:rPr>
      </w:pPr>
      <w:r>
        <w:rPr>
          <w:color w:val="auto"/>
          <w:highlight w:val="none"/>
        </w:rPr>
        <w:t>政务督查工作规范性                       100%</w:t>
      </w:r>
    </w:p>
    <w:p>
      <w:pPr>
        <w:pStyle w:val="23"/>
        <w:rPr>
          <w:color w:val="auto"/>
          <w:highlight w:val="none"/>
        </w:rPr>
      </w:pPr>
      <w:r>
        <w:rPr>
          <w:rFonts w:hint="eastAsia"/>
          <w:color w:val="auto"/>
          <w:highlight w:val="none"/>
          <w:lang w:val="en-US" w:eastAsia="zh-CN"/>
        </w:rPr>
        <w:t>5.</w:t>
      </w:r>
      <w:r>
        <w:rPr>
          <w:color w:val="auto"/>
          <w:highlight w:val="none"/>
        </w:rPr>
        <w:t>完成工管委机关财务工作</w:t>
      </w:r>
    </w:p>
    <w:p>
      <w:pPr>
        <w:pStyle w:val="23"/>
        <w:rPr>
          <w:color w:val="auto"/>
          <w:highlight w:val="none"/>
        </w:rPr>
      </w:pPr>
      <w:r>
        <w:rPr>
          <w:color w:val="auto"/>
          <w:highlight w:val="none"/>
        </w:rPr>
        <w:t>绩效目标：按照财务制度规定完成负责单位和机关运行服务中心、固定资产的账务核算工作，保证账务处理真实准确正确。</w:t>
      </w:r>
    </w:p>
    <w:p>
      <w:pPr>
        <w:pStyle w:val="23"/>
        <w:rPr>
          <w:color w:val="auto"/>
          <w:highlight w:val="none"/>
        </w:rPr>
      </w:pPr>
      <w:r>
        <w:rPr>
          <w:color w:val="auto"/>
          <w:highlight w:val="none"/>
        </w:rPr>
        <w:t>绩效指标：完成</w:t>
      </w:r>
      <w:r>
        <w:rPr>
          <w:rFonts w:hint="eastAsia"/>
          <w:color w:val="auto"/>
          <w:highlight w:val="none"/>
          <w:lang w:val="en-US" w:eastAsia="zh-CN"/>
        </w:rPr>
        <w:t>2</w:t>
      </w:r>
      <w:r>
        <w:rPr>
          <w:color w:val="auto"/>
          <w:highlight w:val="none"/>
        </w:rPr>
        <w:t>家单位代理记账业务</w:t>
      </w:r>
    </w:p>
    <w:p>
      <w:pPr>
        <w:pStyle w:val="23"/>
        <w:rPr>
          <w:color w:val="auto"/>
          <w:highlight w:val="none"/>
        </w:rPr>
      </w:pPr>
      <w:r>
        <w:rPr>
          <w:color w:val="auto"/>
          <w:highlight w:val="none"/>
        </w:rPr>
        <w:t>完成8个食堂的会计核算业务</w:t>
      </w:r>
    </w:p>
    <w:p>
      <w:pPr>
        <w:pStyle w:val="23"/>
        <w:rPr>
          <w:color w:val="auto"/>
          <w:highlight w:val="none"/>
        </w:rPr>
      </w:pPr>
      <w:r>
        <w:rPr>
          <w:rFonts w:hint="eastAsia"/>
          <w:color w:val="auto"/>
          <w:highlight w:val="none"/>
          <w:lang w:val="en-US" w:eastAsia="zh-CN"/>
        </w:rPr>
        <w:t>6.</w:t>
      </w:r>
      <w:r>
        <w:rPr>
          <w:color w:val="auto"/>
          <w:highlight w:val="none"/>
        </w:rPr>
        <w:t>完成创业基地装修等后勤保障工作</w:t>
      </w:r>
    </w:p>
    <w:p>
      <w:pPr>
        <w:pStyle w:val="23"/>
        <w:rPr>
          <w:color w:val="auto"/>
          <w:highlight w:val="none"/>
        </w:rPr>
      </w:pPr>
      <w:r>
        <w:rPr>
          <w:color w:val="auto"/>
          <w:highlight w:val="none"/>
        </w:rPr>
        <w:t>绩效目标：根据各局要求完成后勤保障工作，保障各机关运行正常。</w:t>
      </w:r>
    </w:p>
    <w:p>
      <w:pPr>
        <w:pStyle w:val="23"/>
        <w:rPr>
          <w:color w:val="auto"/>
          <w:highlight w:val="none"/>
        </w:rPr>
      </w:pPr>
      <w:r>
        <w:rPr>
          <w:color w:val="auto"/>
          <w:highlight w:val="none"/>
        </w:rPr>
        <w:t>绩效指标：政府网站维护次数                           1次/月</w:t>
      </w:r>
    </w:p>
    <w:p>
      <w:pPr>
        <w:pStyle w:val="23"/>
        <w:rPr>
          <w:color w:val="auto"/>
          <w:highlight w:val="none"/>
        </w:rPr>
      </w:pPr>
      <w:r>
        <w:rPr>
          <w:color w:val="auto"/>
          <w:highlight w:val="none"/>
        </w:rPr>
        <w:t>政府网站运行维护合格率                      100%</w:t>
      </w:r>
    </w:p>
    <w:p>
      <w:pPr>
        <w:pStyle w:val="23"/>
        <w:rPr>
          <w:color w:val="auto"/>
          <w:highlight w:val="none"/>
        </w:rPr>
      </w:pPr>
      <w:r>
        <w:rPr>
          <w:color w:val="auto"/>
          <w:highlight w:val="none"/>
        </w:rPr>
        <w:t>公务用车数量                                ≥9台</w:t>
      </w:r>
    </w:p>
    <w:p>
      <w:pPr>
        <w:pStyle w:val="23"/>
        <w:rPr>
          <w:color w:val="auto"/>
          <w:highlight w:val="none"/>
        </w:rPr>
      </w:pPr>
      <w:r>
        <w:rPr>
          <w:color w:val="auto"/>
          <w:highlight w:val="none"/>
        </w:rPr>
        <w:t>每次收到有效派车申请及时出车率              100%。</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（三）工作保障措施</w:t>
      </w:r>
    </w:p>
    <w:p>
      <w:pPr>
        <w:pStyle w:val="24"/>
        <w:rPr>
          <w:color w:val="auto"/>
          <w:highlight w:val="none"/>
        </w:rPr>
      </w:pPr>
      <w:r>
        <w:rPr>
          <w:rFonts w:hint="eastAsia"/>
          <w:color w:val="auto"/>
          <w:highlight w:val="none"/>
          <w:lang w:val="en-US" w:eastAsia="zh-CN"/>
        </w:rPr>
        <w:t>1.</w:t>
      </w:r>
      <w:r>
        <w:rPr>
          <w:color w:val="auto"/>
          <w:highlight w:val="none"/>
        </w:rPr>
        <w:t>加强组织领导，明确工作责任</w:t>
      </w:r>
    </w:p>
    <w:p>
      <w:pPr>
        <w:pStyle w:val="24"/>
        <w:rPr>
          <w:color w:val="auto"/>
          <w:highlight w:val="none"/>
        </w:rPr>
      </w:pPr>
      <w:r>
        <w:rPr>
          <w:color w:val="auto"/>
          <w:highlight w:val="none"/>
        </w:rPr>
        <w:t>高度重视预算绩效各项工作，切实加强领导，增强责任意识，召开专题会议精心谋划，周密部署，明确责任分工，重点工作成立工作专班，扎实推动，确保落实。</w:t>
      </w:r>
    </w:p>
    <w:p>
      <w:pPr>
        <w:pStyle w:val="24"/>
        <w:rPr>
          <w:color w:val="auto"/>
          <w:highlight w:val="none"/>
        </w:rPr>
      </w:pPr>
      <w:r>
        <w:rPr>
          <w:rFonts w:hint="eastAsia"/>
          <w:color w:val="auto"/>
          <w:highlight w:val="none"/>
          <w:lang w:val="en-US" w:eastAsia="zh-CN"/>
        </w:rPr>
        <w:t>2.</w:t>
      </w:r>
      <w:r>
        <w:rPr>
          <w:color w:val="auto"/>
          <w:highlight w:val="none"/>
        </w:rPr>
        <w:t>完善制度建设</w:t>
      </w:r>
    </w:p>
    <w:p>
      <w:pPr>
        <w:pStyle w:val="24"/>
        <w:rPr>
          <w:color w:val="auto"/>
          <w:highlight w:val="none"/>
        </w:rPr>
      </w:pPr>
      <w:r>
        <w:rPr>
          <w:color w:val="auto"/>
          <w:highlight w:val="none"/>
        </w:rPr>
        <w:t>建立健全管理制度，制定《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rPr>
          <w:color w:val="auto"/>
          <w:highlight w:val="none"/>
        </w:rPr>
      </w:pPr>
      <w:r>
        <w:rPr>
          <w:rFonts w:hint="eastAsia"/>
          <w:color w:val="auto"/>
          <w:highlight w:val="none"/>
          <w:lang w:val="en-US" w:eastAsia="zh-CN"/>
        </w:rPr>
        <w:t>3.</w:t>
      </w:r>
      <w:r>
        <w:rPr>
          <w:color w:val="auto"/>
          <w:highlight w:val="none"/>
        </w:rPr>
        <w:t>加强支出管理</w:t>
      </w:r>
    </w:p>
    <w:p>
      <w:pPr>
        <w:pStyle w:val="24"/>
        <w:rPr>
          <w:color w:val="auto"/>
          <w:highlight w:val="none"/>
        </w:rPr>
      </w:pPr>
      <w:r>
        <w:rPr>
          <w:color w:val="auto"/>
          <w:highlight w:val="none"/>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rPr>
          <w:color w:val="auto"/>
          <w:highlight w:val="none"/>
        </w:rPr>
      </w:pPr>
      <w:r>
        <w:rPr>
          <w:rFonts w:hint="eastAsia"/>
          <w:color w:val="auto"/>
          <w:highlight w:val="none"/>
          <w:lang w:val="en-US" w:eastAsia="zh-CN"/>
        </w:rPr>
        <w:t>4.</w:t>
      </w:r>
      <w:r>
        <w:rPr>
          <w:color w:val="auto"/>
          <w:highlight w:val="none"/>
        </w:rPr>
        <w:t>加强绩效运行监控</w:t>
      </w:r>
    </w:p>
    <w:p>
      <w:pPr>
        <w:pStyle w:val="24"/>
        <w:rPr>
          <w:color w:val="auto"/>
          <w:highlight w:val="none"/>
        </w:rPr>
      </w:pPr>
      <w:r>
        <w:rPr>
          <w:color w:val="auto"/>
          <w:highlight w:val="none"/>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rPr>
          <w:color w:val="auto"/>
          <w:highlight w:val="none"/>
        </w:rPr>
      </w:pPr>
      <w:r>
        <w:rPr>
          <w:rFonts w:hint="eastAsia"/>
          <w:color w:val="auto"/>
          <w:highlight w:val="none"/>
          <w:lang w:val="en-US" w:eastAsia="zh-CN"/>
        </w:rPr>
        <w:t>5.</w:t>
      </w:r>
      <w:r>
        <w:rPr>
          <w:color w:val="auto"/>
          <w:highlight w:val="none"/>
        </w:rPr>
        <w:t>做好绩效自评</w:t>
      </w:r>
    </w:p>
    <w:p>
      <w:pPr>
        <w:pStyle w:val="24"/>
        <w:rPr>
          <w:color w:val="auto"/>
          <w:highlight w:val="none"/>
        </w:rPr>
      </w:pPr>
      <w:r>
        <w:rPr>
          <w:color w:val="auto"/>
          <w:highlight w:val="none"/>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rPr>
          <w:color w:val="auto"/>
          <w:highlight w:val="none"/>
        </w:rPr>
      </w:pPr>
      <w:r>
        <w:rPr>
          <w:rFonts w:hint="eastAsia"/>
          <w:color w:val="auto"/>
          <w:highlight w:val="none"/>
          <w:lang w:val="en-US" w:eastAsia="zh-CN"/>
        </w:rPr>
        <w:t>6.</w:t>
      </w:r>
      <w:r>
        <w:rPr>
          <w:color w:val="auto"/>
          <w:highlight w:val="none"/>
        </w:rPr>
        <w:t>规范财务资产管理</w:t>
      </w:r>
    </w:p>
    <w:p>
      <w:pPr>
        <w:pStyle w:val="24"/>
        <w:rPr>
          <w:color w:val="auto"/>
          <w:highlight w:val="none"/>
        </w:rPr>
      </w:pPr>
      <w:r>
        <w:rPr>
          <w:color w:val="auto"/>
          <w:highlight w:val="none"/>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rPr>
          <w:color w:val="auto"/>
          <w:highlight w:val="none"/>
        </w:rPr>
      </w:pPr>
      <w:r>
        <w:rPr>
          <w:rFonts w:hint="eastAsia"/>
          <w:color w:val="auto"/>
          <w:highlight w:val="none"/>
          <w:lang w:val="en-US" w:eastAsia="zh-CN"/>
        </w:rPr>
        <w:t>7.</w:t>
      </w:r>
      <w:r>
        <w:rPr>
          <w:color w:val="auto"/>
          <w:highlight w:val="none"/>
        </w:rPr>
        <w:t>加强内部监督</w:t>
      </w:r>
    </w:p>
    <w:p>
      <w:pPr>
        <w:pStyle w:val="24"/>
        <w:rPr>
          <w:color w:val="auto"/>
          <w:highlight w:val="none"/>
        </w:rPr>
      </w:pPr>
      <w:r>
        <w:rPr>
          <w:color w:val="auto"/>
          <w:highlight w:val="none"/>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rPr>
          <w:color w:val="auto"/>
          <w:highlight w:val="none"/>
        </w:rPr>
      </w:pPr>
      <w:r>
        <w:rPr>
          <w:rFonts w:hint="eastAsia"/>
          <w:color w:val="auto"/>
          <w:highlight w:val="none"/>
          <w:lang w:val="en-US" w:eastAsia="zh-CN"/>
        </w:rPr>
        <w:t>8.</w:t>
      </w:r>
      <w:r>
        <w:rPr>
          <w:color w:val="auto"/>
          <w:highlight w:val="none"/>
        </w:rPr>
        <w:t>加强宣传培训调研等</w:t>
      </w:r>
    </w:p>
    <w:p>
      <w:pPr>
        <w:pStyle w:val="24"/>
        <w:rPr>
          <w:color w:val="auto"/>
          <w:highlight w:val="none"/>
        </w:rPr>
      </w:pPr>
      <w:r>
        <w:rPr>
          <w:color w:val="auto"/>
          <w:highlight w:val="none"/>
        </w:rPr>
        <w:t>强化信息宣传，营造良好氛围。进一步加大信息宣传工作力度，扩大宣传范围，创新宣传方式，让各项制度简单明了、人人掌握，确保业务工作顺利进行。</w:t>
      </w:r>
    </w:p>
    <w:p>
      <w:pPr>
        <w:pStyle w:val="24"/>
        <w:rPr>
          <w:color w:val="auto"/>
          <w:highlight w:val="none"/>
        </w:rPr>
      </w:pPr>
      <w:r>
        <w:rPr>
          <w:rFonts w:hint="eastAsia"/>
          <w:color w:val="auto"/>
          <w:highlight w:val="none"/>
          <w:lang w:val="en-US" w:eastAsia="zh-CN"/>
        </w:rPr>
        <w:t>9.</w:t>
      </w:r>
      <w:r>
        <w:rPr>
          <w:color w:val="auto"/>
          <w:highlight w:val="none"/>
        </w:rPr>
        <w:t>发挥参谋助手作用，服务工管委中心工作</w:t>
      </w:r>
    </w:p>
    <w:p>
      <w:pPr>
        <w:pStyle w:val="24"/>
        <w:rPr>
          <w:color w:val="auto"/>
          <w:highlight w:val="none"/>
        </w:rPr>
        <w:sectPr>
          <w:pgSz w:w="16840" w:h="11900" w:orient="landscape"/>
          <w:pgMar w:top="1361" w:right="1020" w:bottom="1361" w:left="1020" w:header="720" w:footer="720" w:gutter="0"/>
          <w:cols w:space="720" w:num="1"/>
        </w:sectPr>
      </w:pPr>
      <w:r>
        <w:rPr>
          <w:color w:val="auto"/>
          <w:highlight w:val="none"/>
        </w:rPr>
        <w:t>综合文字工作是统领全区办公室系统的主线，是传达工管委部署、助推新区发展的重要组成部分。按照“准确、规范、高效、保密”的原则，认真贯彻中央、省市公文处理有关规定，严把起草、审核关，规范收发、传阅等办理程序，确保收发文件资料高效准确。以“滴水不漏、规范有序”为工作目标，收文严把时效、保密关，高质量、高效率做好上下级文件办理工作。落实文件登记、文件处理意见、以及文件传阅分类登记无周转时间差。以“完善安全制度体系、加强国家安全能力建设”为总基调，根据上级指出的我市各单位保密工作开展不平衡的现状，着力找差距、寻短板，努力提升工作水平，严防泄密事件发生，保证国家秘密万无一失。</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tabs>
          <w:tab w:val="right" w:pos="13840"/>
        </w:tabs>
        <w:spacing w:before="10" w:after="10" w:line="360" w:lineRule="auto"/>
        <w:ind w:firstLine="960" w:firstLineChars="300"/>
        <w:jc w:val="left"/>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1、办公用房租赁费绩效目标表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13031324P00880510284T</w:t>
            </w:r>
          </w:p>
        </w:tc>
        <w:tc>
          <w:tcPr>
            <w:tcW w:w="2835" w:type="dxa"/>
            <w:vAlign w:val="center"/>
          </w:tcPr>
          <w:p>
            <w:pPr>
              <w:pStyle w:val="11"/>
            </w:pPr>
            <w:r>
              <w:t>项目名称</w:t>
            </w:r>
          </w:p>
        </w:tc>
        <w:tc>
          <w:tcPr>
            <w:tcW w:w="6094" w:type="dxa"/>
            <w:gridSpan w:val="3"/>
            <w:vAlign w:val="center"/>
          </w:tcPr>
          <w:p>
            <w:pPr>
              <w:pStyle w:val="13"/>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451.00</w:t>
            </w:r>
          </w:p>
        </w:tc>
        <w:tc>
          <w:tcPr>
            <w:tcW w:w="2835" w:type="dxa"/>
            <w:vAlign w:val="center"/>
          </w:tcPr>
          <w:p>
            <w:pPr>
              <w:pStyle w:val="11"/>
            </w:pPr>
            <w:r>
              <w:t>其中：财政    资金</w:t>
            </w:r>
          </w:p>
        </w:tc>
        <w:tc>
          <w:tcPr>
            <w:tcW w:w="2551" w:type="dxa"/>
            <w:vAlign w:val="center"/>
          </w:tcPr>
          <w:p>
            <w:pPr>
              <w:pStyle w:val="13"/>
            </w:pPr>
            <w:r>
              <w:t>451.00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办公用房能持续满足机关用房要求，为工作人员提供安全的工作场所，提供舒适办公条件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1.办公用房能持续满足机关用房要求，为工作人员提供安全的工作场所，提供舒适办公条件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办公用房面积</w:t>
            </w:r>
          </w:p>
        </w:tc>
        <w:tc>
          <w:tcPr>
            <w:tcW w:w="5386" w:type="dxa"/>
            <w:vAlign w:val="center"/>
          </w:tcPr>
          <w:p>
            <w:pPr>
              <w:pStyle w:val="13"/>
            </w:pPr>
            <w:r>
              <w:t>办公用房面积能持续满足机关用房要求</w:t>
            </w:r>
          </w:p>
        </w:tc>
        <w:tc>
          <w:tcPr>
            <w:tcW w:w="2268" w:type="dxa"/>
            <w:vAlign w:val="center"/>
          </w:tcPr>
          <w:p>
            <w:pPr>
              <w:pStyle w:val="13"/>
            </w:pPr>
            <w:r>
              <w:t>≥10000平方米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租赁房屋的合理分配率</w:t>
            </w:r>
          </w:p>
        </w:tc>
        <w:tc>
          <w:tcPr>
            <w:tcW w:w="5386" w:type="dxa"/>
            <w:vAlign w:val="center"/>
          </w:tcPr>
          <w:p>
            <w:pPr>
              <w:pStyle w:val="13"/>
            </w:pPr>
            <w:r>
              <w:t>租赁房屋的合理分配率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2024年12月底前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办公用房租赁成本</w:t>
            </w:r>
          </w:p>
        </w:tc>
        <w:tc>
          <w:tcPr>
            <w:tcW w:w="5386" w:type="dxa"/>
            <w:vAlign w:val="center"/>
          </w:tcPr>
          <w:p>
            <w:pPr>
              <w:pStyle w:val="13"/>
            </w:pPr>
            <w:r>
              <w:t>严格控制办公用房租赁成本</w:t>
            </w:r>
          </w:p>
        </w:tc>
        <w:tc>
          <w:tcPr>
            <w:tcW w:w="2268" w:type="dxa"/>
            <w:vAlign w:val="center"/>
          </w:tcPr>
          <w:p>
            <w:pPr>
              <w:pStyle w:val="13"/>
            </w:pPr>
            <w:r>
              <w:t>≤451万元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租赁房屋的合理分配率</w:t>
            </w:r>
          </w:p>
        </w:tc>
        <w:tc>
          <w:tcPr>
            <w:tcW w:w="5386" w:type="dxa"/>
            <w:vAlign w:val="center"/>
          </w:tcPr>
          <w:p>
            <w:pPr>
              <w:pStyle w:val="13"/>
            </w:pPr>
            <w:r>
              <w:t>合理分配办公用房</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为工作人员提供安全的工作场所</w:t>
            </w:r>
          </w:p>
        </w:tc>
        <w:tc>
          <w:tcPr>
            <w:tcW w:w="5386" w:type="dxa"/>
            <w:vAlign w:val="center"/>
          </w:tcPr>
          <w:p>
            <w:pPr>
              <w:pStyle w:val="13"/>
            </w:pPr>
            <w:r>
              <w:t>为工作人员提供安全的工作场所</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分配合理，提供舒适办公条件</w:t>
            </w:r>
          </w:p>
        </w:tc>
        <w:tc>
          <w:tcPr>
            <w:tcW w:w="5386" w:type="dxa"/>
            <w:vAlign w:val="center"/>
          </w:tcPr>
          <w:p>
            <w:pPr>
              <w:pStyle w:val="13"/>
            </w:pPr>
            <w:r>
              <w:t>分配合理，提供舒适办公条件</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节约维修成本</w:t>
            </w:r>
          </w:p>
        </w:tc>
        <w:tc>
          <w:tcPr>
            <w:tcW w:w="5386" w:type="dxa"/>
            <w:vAlign w:val="center"/>
          </w:tcPr>
          <w:p>
            <w:pPr>
              <w:pStyle w:val="13"/>
            </w:pPr>
            <w:r>
              <w:t>打造节约型机关</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职工满意率</w:t>
            </w:r>
          </w:p>
        </w:tc>
        <w:tc>
          <w:tcPr>
            <w:tcW w:w="5386" w:type="dxa"/>
            <w:vAlign w:val="center"/>
          </w:tcPr>
          <w:p>
            <w:pPr>
              <w:pStyle w:val="13"/>
            </w:pPr>
            <w:r>
              <w:t>职工满意率</w:t>
            </w:r>
          </w:p>
        </w:tc>
        <w:tc>
          <w:tcPr>
            <w:tcW w:w="2268" w:type="dxa"/>
            <w:vAlign w:val="center"/>
          </w:tcPr>
          <w:p>
            <w:pPr>
              <w:pStyle w:val="13"/>
            </w:pPr>
            <w:r>
              <w:t>≥90%</w:t>
            </w:r>
          </w:p>
        </w:tc>
        <w:tc>
          <w:tcPr>
            <w:tcW w:w="1276" w:type="dxa"/>
            <w:vAlign w:val="center"/>
          </w:tcPr>
          <w:p>
            <w:pPr>
              <w:pStyle w:val="13"/>
            </w:pPr>
            <w:r>
              <w:t>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2、档案馆管理及年鉴编纂经费绩效目标表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13031324P00880510289W</w:t>
            </w:r>
          </w:p>
        </w:tc>
        <w:tc>
          <w:tcPr>
            <w:tcW w:w="2835" w:type="dxa"/>
            <w:vAlign w:val="center"/>
          </w:tcPr>
          <w:p>
            <w:pPr>
              <w:pStyle w:val="11"/>
            </w:pPr>
            <w:r>
              <w:t>项目名称</w:t>
            </w:r>
          </w:p>
        </w:tc>
        <w:tc>
          <w:tcPr>
            <w:tcW w:w="6094" w:type="dxa"/>
            <w:gridSpan w:val="3"/>
            <w:vAlign w:val="center"/>
          </w:tcPr>
          <w:p>
            <w:pPr>
              <w:pStyle w:val="13"/>
            </w:pPr>
            <w:r>
              <w:t>档案馆管理及年鉴编纂经费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加强对地方志的收藏与管理，拓展为社会服务途径，为社会提供地方志文献相关资料等服务。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1.加强对地方志的收藏与管理，拓展为社会服务途径，为社会提供地方志文献相关资料等服务。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接待档案查阅利用人数</w:t>
            </w:r>
          </w:p>
        </w:tc>
        <w:tc>
          <w:tcPr>
            <w:tcW w:w="5386" w:type="dxa"/>
            <w:vAlign w:val="center"/>
          </w:tcPr>
          <w:p>
            <w:pPr>
              <w:pStyle w:val="13"/>
            </w:pPr>
            <w:r>
              <w:t>接待档案查阅利用人数</w:t>
            </w:r>
          </w:p>
        </w:tc>
        <w:tc>
          <w:tcPr>
            <w:tcW w:w="2268" w:type="dxa"/>
            <w:vAlign w:val="center"/>
          </w:tcPr>
          <w:p>
            <w:pPr>
              <w:pStyle w:val="13"/>
            </w:pPr>
            <w:r>
              <w:t>≥300人次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统计年鉴数据或文字差错率</w:t>
            </w:r>
          </w:p>
        </w:tc>
        <w:tc>
          <w:tcPr>
            <w:tcW w:w="5386" w:type="dxa"/>
            <w:vAlign w:val="center"/>
          </w:tcPr>
          <w:p>
            <w:pPr>
              <w:pStyle w:val="13"/>
            </w:pPr>
            <w:r>
              <w:t>统计公报/统计年鉴数据或文字差错率</w:t>
            </w:r>
          </w:p>
        </w:tc>
        <w:tc>
          <w:tcPr>
            <w:tcW w:w="2268" w:type="dxa"/>
            <w:vAlign w:val="center"/>
          </w:tcPr>
          <w:p>
            <w:pPr>
              <w:pStyle w:val="13"/>
            </w:pPr>
            <w:r>
              <w:t>≤0.1%</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委托第三方所需用的编制成本</w:t>
            </w:r>
          </w:p>
        </w:tc>
        <w:tc>
          <w:tcPr>
            <w:tcW w:w="5386" w:type="dxa"/>
            <w:vAlign w:val="center"/>
          </w:tcPr>
          <w:p>
            <w:pPr>
              <w:pStyle w:val="13"/>
            </w:pPr>
            <w:r>
              <w:t>委托第三方所需用的编制成本</w:t>
            </w:r>
          </w:p>
        </w:tc>
        <w:tc>
          <w:tcPr>
            <w:tcW w:w="2268" w:type="dxa"/>
            <w:vAlign w:val="center"/>
          </w:tcPr>
          <w:p>
            <w:pPr>
              <w:pStyle w:val="13"/>
            </w:pPr>
            <w:r>
              <w:t>≤30万元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委托第三方所需用的编制成本</w:t>
            </w:r>
          </w:p>
        </w:tc>
        <w:tc>
          <w:tcPr>
            <w:tcW w:w="5386" w:type="dxa"/>
            <w:vAlign w:val="center"/>
          </w:tcPr>
          <w:p>
            <w:pPr>
              <w:pStyle w:val="13"/>
            </w:pPr>
            <w:r>
              <w:t>委托第三方所需用的编制成本</w:t>
            </w:r>
          </w:p>
        </w:tc>
        <w:tc>
          <w:tcPr>
            <w:tcW w:w="2268" w:type="dxa"/>
            <w:vAlign w:val="center"/>
          </w:tcPr>
          <w:p>
            <w:pPr>
              <w:pStyle w:val="13"/>
            </w:pPr>
            <w:r>
              <w:t>≤30万元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出版物使用人满意度</w:t>
            </w:r>
          </w:p>
        </w:tc>
        <w:tc>
          <w:tcPr>
            <w:tcW w:w="5386" w:type="dxa"/>
            <w:vAlign w:val="center"/>
          </w:tcPr>
          <w:p>
            <w:pPr>
              <w:pStyle w:val="13"/>
            </w:pPr>
            <w:r>
              <w:t>出版物使用人满意度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3、审计业务工作经费绩效目标表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13031324P008805102862</w:t>
            </w:r>
          </w:p>
        </w:tc>
        <w:tc>
          <w:tcPr>
            <w:tcW w:w="2835" w:type="dxa"/>
            <w:vAlign w:val="center"/>
          </w:tcPr>
          <w:p>
            <w:pPr>
              <w:pStyle w:val="11"/>
            </w:pPr>
            <w:r>
              <w:t>项目名称</w:t>
            </w:r>
          </w:p>
        </w:tc>
        <w:tc>
          <w:tcPr>
            <w:tcW w:w="6094" w:type="dxa"/>
            <w:gridSpan w:val="3"/>
            <w:vAlign w:val="center"/>
          </w:tcPr>
          <w:p>
            <w:pPr>
              <w:pStyle w:val="13"/>
            </w:pPr>
            <w:r>
              <w:t>审计业务工作经费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审计财政、财务收支真实、合法和效益，维护国家财政经济秩序、促进廉政建设、保障国民经济的健康发展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1.审计财政、财务收支真实、合法和效益，维护国家财政经济秩序、促进廉政建设、保障国民经济的健康发展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完成审计项目数量</w:t>
            </w:r>
          </w:p>
        </w:tc>
        <w:tc>
          <w:tcPr>
            <w:tcW w:w="5386" w:type="dxa"/>
            <w:vAlign w:val="center"/>
          </w:tcPr>
          <w:p>
            <w:pPr>
              <w:pStyle w:val="13"/>
            </w:pPr>
            <w:r>
              <w:t>完成对各单位预算执行审计项目数量</w:t>
            </w:r>
          </w:p>
        </w:tc>
        <w:tc>
          <w:tcPr>
            <w:tcW w:w="2268" w:type="dxa"/>
            <w:vAlign w:val="center"/>
          </w:tcPr>
          <w:p>
            <w:pPr>
              <w:pStyle w:val="13"/>
            </w:pPr>
            <w:r>
              <w:t>≥2项</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对各单位预算执行审计中，提出的问题整改比率</w:t>
            </w:r>
          </w:p>
        </w:tc>
        <w:tc>
          <w:tcPr>
            <w:tcW w:w="2268" w:type="dxa"/>
            <w:vAlign w:val="center"/>
          </w:tcPr>
          <w:p>
            <w:pPr>
              <w:pStyle w:val="13"/>
            </w:pPr>
            <w:r>
              <w:t>≥80%</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对各单位预算执行审计根据工作计划按时间节点完成</w:t>
            </w:r>
          </w:p>
        </w:tc>
        <w:tc>
          <w:tcPr>
            <w:tcW w:w="2268" w:type="dxa"/>
            <w:vAlign w:val="center"/>
          </w:tcPr>
          <w:p>
            <w:pPr>
              <w:pStyle w:val="13"/>
            </w:pPr>
            <w:r>
              <w:t>及时完成</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≤8万元</w:t>
            </w:r>
          </w:p>
        </w:tc>
        <w:tc>
          <w:tcPr>
            <w:tcW w:w="1276"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维护财经纪律，提高资金使用效益</w:t>
            </w:r>
          </w:p>
        </w:tc>
        <w:tc>
          <w:tcPr>
            <w:tcW w:w="2268" w:type="dxa"/>
            <w:vAlign w:val="center"/>
          </w:tcPr>
          <w:p>
            <w:pPr>
              <w:pStyle w:val="13"/>
            </w:pPr>
            <w:r>
              <w:t>效果显著</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推动廉政之风</w:t>
            </w:r>
          </w:p>
        </w:tc>
        <w:tc>
          <w:tcPr>
            <w:tcW w:w="5386" w:type="dxa"/>
            <w:vAlign w:val="center"/>
          </w:tcPr>
          <w:p>
            <w:pPr>
              <w:pStyle w:val="13"/>
            </w:pPr>
            <w:r>
              <w:t>持续推动党风廉政建设，保证积极运转</w:t>
            </w:r>
          </w:p>
        </w:tc>
        <w:tc>
          <w:tcPr>
            <w:tcW w:w="2268" w:type="dxa"/>
            <w:vAlign w:val="center"/>
          </w:tcPr>
          <w:p>
            <w:pPr>
              <w:pStyle w:val="13"/>
            </w:pPr>
            <w:r>
              <w:t>效果显著</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接受审计单位所提供服务的满意程度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4、网络通讯运行维护费绩效目标表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13031324P00880510287M</w:t>
            </w:r>
          </w:p>
        </w:tc>
        <w:tc>
          <w:tcPr>
            <w:tcW w:w="2835" w:type="dxa"/>
            <w:vAlign w:val="center"/>
          </w:tcPr>
          <w:p>
            <w:pPr>
              <w:pStyle w:val="11"/>
            </w:pPr>
            <w:r>
              <w:t>项目名称</w:t>
            </w:r>
          </w:p>
        </w:tc>
        <w:tc>
          <w:tcPr>
            <w:tcW w:w="6094" w:type="dxa"/>
            <w:gridSpan w:val="3"/>
            <w:vAlign w:val="center"/>
          </w:tcPr>
          <w:p>
            <w:pPr>
              <w:pStyle w:val="13"/>
            </w:pPr>
            <w:r>
              <w:t>网络通讯运行维护费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w:t>
            </w:r>
          </w:p>
        </w:tc>
        <w:tc>
          <w:tcPr>
            <w:tcW w:w="2835" w:type="dxa"/>
            <w:vAlign w:val="center"/>
          </w:tcPr>
          <w:p>
            <w:pPr>
              <w:pStyle w:val="11"/>
            </w:pPr>
            <w:r>
              <w:t>其中：财政    资金</w:t>
            </w:r>
          </w:p>
        </w:tc>
        <w:tc>
          <w:tcPr>
            <w:tcW w:w="2551" w:type="dxa"/>
            <w:vAlign w:val="center"/>
          </w:tcPr>
          <w:p>
            <w:pPr>
              <w:pStyle w:val="13"/>
            </w:pPr>
            <w:r>
              <w:t>320.00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确保网络通讯畅通，及时安全上接下联各级各部门，进一步推进电子政务网络建设，完善信息化工作相关规章制度，加强新区办公网络安全建设。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1.确保网络通讯畅通，及时安全上接下联各级各部门，进一步推进电子政务网络建设，完善信息化工作相关规章制度，加强新区办公网络安全建设。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保障重点视频会议专线数量</w:t>
            </w:r>
          </w:p>
        </w:tc>
        <w:tc>
          <w:tcPr>
            <w:tcW w:w="5386" w:type="dxa"/>
            <w:vAlign w:val="center"/>
          </w:tcPr>
          <w:p>
            <w:pPr>
              <w:pStyle w:val="13"/>
            </w:pPr>
            <w:r>
              <w:t>保障重点视频会议专线数量</w:t>
            </w:r>
          </w:p>
        </w:tc>
        <w:tc>
          <w:tcPr>
            <w:tcW w:w="2268" w:type="dxa"/>
            <w:vAlign w:val="center"/>
          </w:tcPr>
          <w:p>
            <w:pPr>
              <w:pStyle w:val="13"/>
            </w:pPr>
            <w:r>
              <w:t>≥4条</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通信资源合理配置率</w:t>
            </w:r>
          </w:p>
        </w:tc>
        <w:tc>
          <w:tcPr>
            <w:tcW w:w="5386" w:type="dxa"/>
            <w:vAlign w:val="center"/>
          </w:tcPr>
          <w:p>
            <w:pPr>
              <w:pStyle w:val="13"/>
            </w:pPr>
            <w:r>
              <w:t>通信资源合理配置率</w:t>
            </w:r>
          </w:p>
        </w:tc>
        <w:tc>
          <w:tcPr>
            <w:tcW w:w="2268" w:type="dxa"/>
            <w:vAlign w:val="center"/>
          </w:tcPr>
          <w:p>
            <w:pPr>
              <w:pStyle w:val="13"/>
            </w:pPr>
            <w:r>
              <w:t>≥80%</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支出金额小于预算额度</w:t>
            </w:r>
          </w:p>
        </w:tc>
        <w:tc>
          <w:tcPr>
            <w:tcW w:w="2268" w:type="dxa"/>
            <w:vAlign w:val="center"/>
          </w:tcPr>
          <w:p>
            <w:pPr>
              <w:pStyle w:val="13"/>
            </w:pPr>
            <w:r>
              <w:t>≤320万元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通过网络信息化手段提高政府工作效率</w:t>
            </w:r>
          </w:p>
        </w:tc>
        <w:tc>
          <w:tcPr>
            <w:tcW w:w="5386" w:type="dxa"/>
            <w:vAlign w:val="center"/>
          </w:tcPr>
          <w:p>
            <w:pPr>
              <w:pStyle w:val="13"/>
            </w:pPr>
            <w:r>
              <w:t>通过网络信息化手段提高政府工作效率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保障政府网络通信安全运行</w:t>
            </w:r>
          </w:p>
        </w:tc>
        <w:tc>
          <w:tcPr>
            <w:tcW w:w="5386" w:type="dxa"/>
            <w:vAlign w:val="center"/>
          </w:tcPr>
          <w:p>
            <w:pPr>
              <w:pStyle w:val="13"/>
            </w:pPr>
            <w:r>
              <w:t>保障政府网络通信安全运行</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推进无纸化办公进度</w:t>
            </w:r>
          </w:p>
        </w:tc>
        <w:tc>
          <w:tcPr>
            <w:tcW w:w="5386" w:type="dxa"/>
            <w:vAlign w:val="center"/>
          </w:tcPr>
          <w:p>
            <w:pPr>
              <w:pStyle w:val="13"/>
            </w:pPr>
            <w:r>
              <w:t>通过网络信息化手段促进绿色办公实施</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合理化上接下联各级各部门</w:t>
            </w:r>
          </w:p>
        </w:tc>
        <w:tc>
          <w:tcPr>
            <w:tcW w:w="5386" w:type="dxa"/>
            <w:vAlign w:val="center"/>
          </w:tcPr>
          <w:p>
            <w:pPr>
              <w:pStyle w:val="13"/>
            </w:pPr>
            <w:r>
              <w:t>通过多网合一，进一步优化网络使用，扩大办公网络覆盖</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5、综合管理运行经费绩效目标表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13031324P008805102837</w:t>
            </w:r>
          </w:p>
        </w:tc>
        <w:tc>
          <w:tcPr>
            <w:tcW w:w="2835" w:type="dxa"/>
            <w:vAlign w:val="center"/>
          </w:tcPr>
          <w:p>
            <w:pPr>
              <w:pStyle w:val="11"/>
            </w:pPr>
            <w:r>
              <w:t>项目名称</w:t>
            </w:r>
          </w:p>
        </w:tc>
        <w:tc>
          <w:tcPr>
            <w:tcW w:w="6094" w:type="dxa"/>
            <w:gridSpan w:val="3"/>
            <w:vAlign w:val="center"/>
          </w:tcPr>
          <w:p>
            <w:pPr>
              <w:pStyle w:val="13"/>
            </w:pPr>
            <w:r>
              <w:t>综合管理运行经费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规范管理，合理使用，保障房屋安全，确保各种设施、设备运转正常；加强规范管理，为职工办工提供更好的办公环境。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1.规范管理，合理使用，保障房屋安全，确保各种设施、设备运转正常；加强规范管理，为职工办工提供更好的办公环境。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专项整治次数</w:t>
            </w:r>
          </w:p>
        </w:tc>
        <w:tc>
          <w:tcPr>
            <w:tcW w:w="5386" w:type="dxa"/>
            <w:vAlign w:val="center"/>
          </w:tcPr>
          <w:p>
            <w:pPr>
              <w:pStyle w:val="13"/>
            </w:pPr>
            <w:r>
              <w:t>开展新区范围内纠正“四风”和作风纪律专项整治明查暗访</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督导检查工作完成率</w:t>
            </w:r>
          </w:p>
        </w:tc>
        <w:tc>
          <w:tcPr>
            <w:tcW w:w="5386" w:type="dxa"/>
            <w:vAlign w:val="center"/>
          </w:tcPr>
          <w:p>
            <w:pPr>
              <w:pStyle w:val="13"/>
            </w:pPr>
            <w:r>
              <w:t>对上级和工管委领导交办、批示、会议议定事项进行督导检查</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工作完成时限性</w:t>
            </w:r>
          </w:p>
        </w:tc>
        <w:tc>
          <w:tcPr>
            <w:tcW w:w="5386" w:type="dxa"/>
            <w:vAlign w:val="center"/>
          </w:tcPr>
          <w:p>
            <w:pPr>
              <w:pStyle w:val="13"/>
            </w:pPr>
            <w:r>
              <w:t>各项工作在规定时间内完成</w:t>
            </w:r>
          </w:p>
        </w:tc>
        <w:tc>
          <w:tcPr>
            <w:tcW w:w="2268" w:type="dxa"/>
            <w:vAlign w:val="center"/>
          </w:tcPr>
          <w:p>
            <w:pPr>
              <w:pStyle w:val="13"/>
            </w:pPr>
            <w:r>
              <w:t>2023年12月底前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完成综合事务各项工作成本</w:t>
            </w:r>
          </w:p>
        </w:tc>
        <w:tc>
          <w:tcPr>
            <w:tcW w:w="5386" w:type="dxa"/>
            <w:vAlign w:val="center"/>
          </w:tcPr>
          <w:p>
            <w:pPr>
              <w:pStyle w:val="13"/>
            </w:pPr>
            <w:r>
              <w:t>完成综合事务各项工作成本</w:t>
            </w:r>
          </w:p>
        </w:tc>
        <w:tc>
          <w:tcPr>
            <w:tcW w:w="2268" w:type="dxa"/>
            <w:vAlign w:val="center"/>
          </w:tcPr>
          <w:p>
            <w:pPr>
              <w:pStyle w:val="13"/>
            </w:pPr>
            <w:r>
              <w:t>≤100万元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档案电子化</w:t>
            </w:r>
          </w:p>
        </w:tc>
        <w:tc>
          <w:tcPr>
            <w:tcW w:w="5386" w:type="dxa"/>
            <w:vAlign w:val="center"/>
          </w:tcPr>
          <w:p>
            <w:pPr>
              <w:pStyle w:val="13"/>
            </w:pPr>
            <w:r>
              <w:t>档案电子化</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职工对办公环境满意度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6、anke替代资金绩效目标表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13031324P00880110781P</w:t>
            </w:r>
          </w:p>
        </w:tc>
        <w:tc>
          <w:tcPr>
            <w:tcW w:w="2835" w:type="dxa"/>
            <w:vAlign w:val="center"/>
          </w:tcPr>
          <w:p>
            <w:pPr>
              <w:pStyle w:val="11"/>
            </w:pPr>
            <w:r>
              <w:t>项目名称</w:t>
            </w:r>
          </w:p>
        </w:tc>
        <w:tc>
          <w:tcPr>
            <w:tcW w:w="6094" w:type="dxa"/>
            <w:gridSpan w:val="3"/>
            <w:vAlign w:val="center"/>
          </w:tcPr>
          <w:p>
            <w:pPr>
              <w:pStyle w:val="13"/>
            </w:pPr>
            <w:r>
              <w:t>anke替代资金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分五年进行办公设备anke替代计划，2024年计划完成13台电脑和13台打印机设备替代。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1.分五年进行办公设备anke替代计划，2024年计划完成13台电脑和13台打印机设备替代。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完成13台电脑和13台打印机设备更换</w:t>
            </w:r>
          </w:p>
        </w:tc>
        <w:tc>
          <w:tcPr>
            <w:tcW w:w="2268" w:type="dxa"/>
            <w:vAlign w:val="center"/>
          </w:tcPr>
          <w:p>
            <w:pPr>
              <w:pStyle w:val="13"/>
            </w:pPr>
            <w:r>
              <w:t>≥13套</w:t>
            </w:r>
          </w:p>
        </w:tc>
        <w:tc>
          <w:tcPr>
            <w:tcW w:w="1276" w:type="dxa"/>
            <w:vAlign w:val="center"/>
          </w:tcPr>
          <w:p>
            <w:pPr>
              <w:pStyle w:val="13"/>
            </w:pPr>
            <w:r>
              <w:t>电脑和打印机采购替代数量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设备购置合格率</w:t>
            </w:r>
          </w:p>
        </w:tc>
        <w:tc>
          <w:tcPr>
            <w:tcW w:w="5386" w:type="dxa"/>
            <w:vAlign w:val="center"/>
          </w:tcPr>
          <w:p>
            <w:pPr>
              <w:pStyle w:val="13"/>
            </w:pPr>
            <w:r>
              <w:t>设备购置合格率</w:t>
            </w:r>
          </w:p>
        </w:tc>
        <w:tc>
          <w:tcPr>
            <w:tcW w:w="2268" w:type="dxa"/>
            <w:vAlign w:val="center"/>
          </w:tcPr>
          <w:p>
            <w:pPr>
              <w:pStyle w:val="13"/>
            </w:pPr>
            <w:r>
              <w:t>≥0.95%</w:t>
            </w:r>
          </w:p>
        </w:tc>
        <w:tc>
          <w:tcPr>
            <w:tcW w:w="1276" w:type="dxa"/>
            <w:vAlign w:val="center"/>
          </w:tcPr>
          <w:p>
            <w:pPr>
              <w:pStyle w:val="13"/>
            </w:pPr>
            <w:r>
              <w:t>设备购置合格情况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截至2024年底执行率</w:t>
            </w:r>
          </w:p>
        </w:tc>
        <w:tc>
          <w:tcPr>
            <w:tcW w:w="5386" w:type="dxa"/>
            <w:vAlign w:val="center"/>
          </w:tcPr>
          <w:p>
            <w:pPr>
              <w:pStyle w:val="13"/>
            </w:pPr>
            <w:r>
              <w:t>截至2024年底替代执行率</w:t>
            </w:r>
          </w:p>
        </w:tc>
        <w:tc>
          <w:tcPr>
            <w:tcW w:w="2268" w:type="dxa"/>
            <w:vAlign w:val="center"/>
          </w:tcPr>
          <w:p>
            <w:pPr>
              <w:pStyle w:val="13"/>
            </w:pPr>
            <w:r>
              <w:t>＝1%</w:t>
            </w:r>
          </w:p>
        </w:tc>
        <w:tc>
          <w:tcPr>
            <w:tcW w:w="1276" w:type="dxa"/>
            <w:vAlign w:val="center"/>
          </w:tcPr>
          <w:p>
            <w:pPr>
              <w:pStyle w:val="13"/>
            </w:pPr>
            <w:r>
              <w:t>2024年年底前完成13台电脑和1台打印机设备更换。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综合考虑，控制成本</w:t>
            </w:r>
          </w:p>
        </w:tc>
        <w:tc>
          <w:tcPr>
            <w:tcW w:w="5386" w:type="dxa"/>
            <w:vAlign w:val="center"/>
          </w:tcPr>
          <w:p>
            <w:pPr>
              <w:pStyle w:val="13"/>
            </w:pPr>
            <w:r>
              <w:t>综合考虑，成本控制在预算内</w:t>
            </w:r>
          </w:p>
        </w:tc>
        <w:tc>
          <w:tcPr>
            <w:tcW w:w="2268" w:type="dxa"/>
            <w:vAlign w:val="center"/>
          </w:tcPr>
          <w:p>
            <w:pPr>
              <w:pStyle w:val="13"/>
            </w:pPr>
            <w:r>
              <w:t>≤20万元</w:t>
            </w:r>
          </w:p>
        </w:tc>
        <w:tc>
          <w:tcPr>
            <w:tcW w:w="1276" w:type="dxa"/>
            <w:vAlign w:val="center"/>
          </w:tcPr>
          <w:p>
            <w:pPr>
              <w:pStyle w:val="13"/>
            </w:pPr>
            <w:r>
              <w:t>成本控制在预算内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设备环保标准</w:t>
            </w:r>
          </w:p>
        </w:tc>
        <w:tc>
          <w:tcPr>
            <w:tcW w:w="5386" w:type="dxa"/>
            <w:vAlign w:val="center"/>
          </w:tcPr>
          <w:p>
            <w:pPr>
              <w:pStyle w:val="13"/>
            </w:pPr>
            <w:r>
              <w:t>购置的设备符合国家环保标准</w:t>
            </w:r>
          </w:p>
        </w:tc>
        <w:tc>
          <w:tcPr>
            <w:tcW w:w="2268" w:type="dxa"/>
            <w:vAlign w:val="center"/>
          </w:tcPr>
          <w:p>
            <w:pPr>
              <w:pStyle w:val="13"/>
            </w:pPr>
            <w:r>
              <w:t>行业标准</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保障能力提升情况</w:t>
            </w:r>
          </w:p>
        </w:tc>
        <w:tc>
          <w:tcPr>
            <w:tcW w:w="5386" w:type="dxa"/>
            <w:vAlign w:val="center"/>
          </w:tcPr>
          <w:p>
            <w:pPr>
              <w:pStyle w:val="13"/>
            </w:pPr>
            <w:r>
              <w:t>购置设备对保障业务工作正常开展，促进公共服务效率的提升程度</w:t>
            </w:r>
          </w:p>
        </w:tc>
        <w:tc>
          <w:tcPr>
            <w:tcW w:w="2268" w:type="dxa"/>
            <w:vAlign w:val="center"/>
          </w:tcPr>
          <w:p>
            <w:pPr>
              <w:pStyle w:val="13"/>
            </w:pPr>
            <w:r>
              <w:t>提升程度明显</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提高工作效率,保障办公环境</w:t>
            </w:r>
          </w:p>
        </w:tc>
        <w:tc>
          <w:tcPr>
            <w:tcW w:w="5386" w:type="dxa"/>
            <w:vAlign w:val="center"/>
          </w:tcPr>
          <w:p>
            <w:pPr>
              <w:pStyle w:val="13"/>
            </w:pPr>
            <w:r>
              <w:t>提高工作效率,保障办公环境</w:t>
            </w:r>
          </w:p>
        </w:tc>
        <w:tc>
          <w:tcPr>
            <w:tcW w:w="2268" w:type="dxa"/>
            <w:vAlign w:val="center"/>
          </w:tcPr>
          <w:p>
            <w:pPr>
              <w:pStyle w:val="13"/>
            </w:pPr>
            <w:r>
              <w:t>＝100%</w:t>
            </w:r>
          </w:p>
        </w:tc>
        <w:tc>
          <w:tcPr>
            <w:tcW w:w="1276" w:type="dxa"/>
            <w:vAlign w:val="center"/>
          </w:tcPr>
          <w:p>
            <w:pPr>
              <w:pStyle w:val="13"/>
            </w:pPr>
            <w:r>
              <w:t>提高工作效率,保障办公环境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使用设备人员满意程度（%）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7、出国经费绩效目标表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13031324P008801105963</w:t>
            </w:r>
          </w:p>
        </w:tc>
        <w:tc>
          <w:tcPr>
            <w:tcW w:w="2835" w:type="dxa"/>
            <w:vAlign w:val="center"/>
          </w:tcPr>
          <w:p>
            <w:pPr>
              <w:pStyle w:val="11"/>
            </w:pPr>
            <w:r>
              <w:t>项目名称</w:t>
            </w:r>
          </w:p>
        </w:tc>
        <w:tc>
          <w:tcPr>
            <w:tcW w:w="6094" w:type="dxa"/>
            <w:gridSpan w:val="3"/>
            <w:vAlign w:val="center"/>
          </w:tcPr>
          <w:p>
            <w:pPr>
              <w:pStyle w:val="13"/>
            </w:pPr>
            <w:r>
              <w:t>出国经费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按规定完成审批事项；通过对外交往，进一步提高我市国际知名度，为全市经济社会发展服务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1.按规定完成审批事项；通过对外交往，进一步提高我市国际知名度，为全市经济社会发展服务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出国学术交流批次</w:t>
            </w:r>
          </w:p>
        </w:tc>
        <w:tc>
          <w:tcPr>
            <w:tcW w:w="5386" w:type="dxa"/>
            <w:vAlign w:val="center"/>
          </w:tcPr>
          <w:p>
            <w:pPr>
              <w:pStyle w:val="13"/>
            </w:pPr>
            <w:r>
              <w:t>出国学术交流批次</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交流活动预定目标实现率</w:t>
            </w:r>
          </w:p>
        </w:tc>
        <w:tc>
          <w:tcPr>
            <w:tcW w:w="5386" w:type="dxa"/>
            <w:vAlign w:val="center"/>
          </w:tcPr>
          <w:p>
            <w:pPr>
              <w:pStyle w:val="13"/>
            </w:pPr>
            <w:r>
              <w:t>交流活动预定目标实现率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完成出访及组织相关交流活动的时间</w:t>
            </w:r>
          </w:p>
        </w:tc>
        <w:tc>
          <w:tcPr>
            <w:tcW w:w="5386" w:type="dxa"/>
            <w:vAlign w:val="center"/>
          </w:tcPr>
          <w:p>
            <w:pPr>
              <w:pStyle w:val="13"/>
            </w:pPr>
            <w:r>
              <w:t>完成接待来访、出访及组织相关交流活动的时间</w:t>
            </w:r>
          </w:p>
        </w:tc>
        <w:tc>
          <w:tcPr>
            <w:tcW w:w="2268" w:type="dxa"/>
            <w:vAlign w:val="center"/>
          </w:tcPr>
          <w:p>
            <w:pPr>
              <w:pStyle w:val="13"/>
            </w:pPr>
            <w:r>
              <w:t>2024年12月第前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出国经费限额标准</w:t>
            </w:r>
          </w:p>
        </w:tc>
        <w:tc>
          <w:tcPr>
            <w:tcW w:w="5386" w:type="dxa"/>
            <w:vAlign w:val="center"/>
          </w:tcPr>
          <w:p>
            <w:pPr>
              <w:pStyle w:val="13"/>
            </w:pPr>
            <w:r>
              <w:t>出国经费限额标准</w:t>
            </w:r>
          </w:p>
        </w:tc>
        <w:tc>
          <w:tcPr>
            <w:tcW w:w="2268" w:type="dxa"/>
            <w:vAlign w:val="center"/>
          </w:tcPr>
          <w:p>
            <w:pPr>
              <w:pStyle w:val="13"/>
            </w:pPr>
            <w:r>
              <w:t>≤50万元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促进合作交流</w:t>
            </w:r>
          </w:p>
        </w:tc>
        <w:tc>
          <w:tcPr>
            <w:tcW w:w="5386" w:type="dxa"/>
            <w:vAlign w:val="center"/>
          </w:tcPr>
          <w:p>
            <w:pPr>
              <w:pStyle w:val="13"/>
            </w:pPr>
            <w:r>
              <w:t>增进了解，建立信任，发展友谊，推动全市多领域对外交流合作，实现互利共赢、共同发展</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展览期间进行过洽谈或新结实的客商</w:t>
            </w:r>
          </w:p>
        </w:tc>
        <w:tc>
          <w:tcPr>
            <w:tcW w:w="5386" w:type="dxa"/>
            <w:vAlign w:val="center"/>
          </w:tcPr>
          <w:p>
            <w:pPr>
              <w:pStyle w:val="13"/>
            </w:pPr>
            <w:r>
              <w:t>展览期间进行过洽谈或新结实的客商数</w:t>
            </w:r>
          </w:p>
        </w:tc>
        <w:tc>
          <w:tcPr>
            <w:tcW w:w="2268" w:type="dxa"/>
            <w:vAlign w:val="center"/>
          </w:tcPr>
          <w:p>
            <w:pPr>
              <w:pStyle w:val="13"/>
            </w:pPr>
            <w:r>
              <w:t>≥5人次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受访组织、团体满意度</w:t>
            </w:r>
          </w:p>
        </w:tc>
        <w:tc>
          <w:tcPr>
            <w:tcW w:w="5386" w:type="dxa"/>
            <w:vAlign w:val="center"/>
          </w:tcPr>
          <w:p>
            <w:pPr>
              <w:pStyle w:val="13"/>
            </w:pPr>
            <w:r>
              <w:t>按调查结果满意度情况计算扣分</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8、大型活动经费绩效目标表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13031324P00880110598A</w:t>
            </w:r>
          </w:p>
        </w:tc>
        <w:tc>
          <w:tcPr>
            <w:tcW w:w="2835" w:type="dxa"/>
            <w:vAlign w:val="center"/>
          </w:tcPr>
          <w:p>
            <w:pPr>
              <w:pStyle w:val="11"/>
            </w:pPr>
            <w:r>
              <w:t>项目名称</w:t>
            </w:r>
          </w:p>
        </w:tc>
        <w:tc>
          <w:tcPr>
            <w:tcW w:w="6094" w:type="dxa"/>
            <w:gridSpan w:val="3"/>
            <w:vAlign w:val="center"/>
          </w:tcPr>
          <w:p>
            <w:pPr>
              <w:pStyle w:val="13"/>
            </w:pPr>
            <w:r>
              <w:t>大型活动经费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通过组织工管委各种会议的会务工作和日常工作,做好区级层面重要会议活动的统筹协调，保证全区性重大会议圆满完成。</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1.通过组织工管委各种会议的会务工作和日常工作,做好区级层面重要会议活动的统筹协调，保证全区性重大会议圆满完成。</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会议费次数</w:t>
            </w:r>
          </w:p>
        </w:tc>
        <w:tc>
          <w:tcPr>
            <w:tcW w:w="5386" w:type="dxa"/>
            <w:vAlign w:val="center"/>
          </w:tcPr>
          <w:p>
            <w:pPr>
              <w:pStyle w:val="13"/>
            </w:pPr>
            <w:r>
              <w:t>年度内计划组织会议的次数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会议活动质量完成率</w:t>
            </w:r>
          </w:p>
        </w:tc>
        <w:tc>
          <w:tcPr>
            <w:tcW w:w="5386" w:type="dxa"/>
            <w:vAlign w:val="center"/>
          </w:tcPr>
          <w:p>
            <w:pPr>
              <w:pStyle w:val="13"/>
            </w:pPr>
            <w:r>
              <w:t>会议活动按要求全部完成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培训、会议活动按时完成</w:t>
            </w:r>
          </w:p>
        </w:tc>
        <w:tc>
          <w:tcPr>
            <w:tcW w:w="5386" w:type="dxa"/>
            <w:vAlign w:val="center"/>
          </w:tcPr>
          <w:p>
            <w:pPr>
              <w:pStyle w:val="13"/>
            </w:pPr>
            <w:r>
              <w:t>按规定时间组织培训、举办会议</w:t>
            </w:r>
          </w:p>
        </w:tc>
        <w:tc>
          <w:tcPr>
            <w:tcW w:w="2268" w:type="dxa"/>
            <w:vAlign w:val="center"/>
          </w:tcPr>
          <w:p>
            <w:pPr>
              <w:pStyle w:val="13"/>
            </w:pPr>
            <w:r>
              <w:t>2024年12月底前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培训活动、会议接待成本</w:t>
            </w:r>
          </w:p>
        </w:tc>
        <w:tc>
          <w:tcPr>
            <w:tcW w:w="5386" w:type="dxa"/>
            <w:vAlign w:val="center"/>
          </w:tcPr>
          <w:p>
            <w:pPr>
              <w:pStyle w:val="13"/>
            </w:pPr>
            <w:r>
              <w:t>举办培训活动费用、会议接待费用</w:t>
            </w:r>
          </w:p>
        </w:tc>
        <w:tc>
          <w:tcPr>
            <w:tcW w:w="2268" w:type="dxa"/>
            <w:vAlign w:val="center"/>
          </w:tcPr>
          <w:p>
            <w:pPr>
              <w:pStyle w:val="13"/>
            </w:pPr>
            <w:r>
              <w:t>≤100万元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加强区级层面重要会议活动的统筹协调</w:t>
            </w:r>
          </w:p>
        </w:tc>
        <w:tc>
          <w:tcPr>
            <w:tcW w:w="5386" w:type="dxa"/>
            <w:vAlign w:val="center"/>
          </w:tcPr>
          <w:p>
            <w:pPr>
              <w:pStyle w:val="13"/>
            </w:pPr>
            <w:r>
              <w:t>降低会议活动的组织成本</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加强区级层面重要会议活动的统筹协调</w:t>
            </w:r>
          </w:p>
        </w:tc>
        <w:tc>
          <w:tcPr>
            <w:tcW w:w="5386" w:type="dxa"/>
            <w:vAlign w:val="center"/>
          </w:tcPr>
          <w:p>
            <w:pPr>
              <w:pStyle w:val="13"/>
            </w:pPr>
            <w:r>
              <w:t>节约会议活动组织的人员时间、成本</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加强区级层面重要会议活动的统筹协调</w:t>
            </w:r>
          </w:p>
        </w:tc>
        <w:tc>
          <w:tcPr>
            <w:tcW w:w="5386" w:type="dxa"/>
            <w:vAlign w:val="center"/>
          </w:tcPr>
          <w:p>
            <w:pPr>
              <w:pStyle w:val="13"/>
            </w:pPr>
            <w:r>
              <w:t>严格会议活动组织环境要求</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加强区级层面重要会议活动的统筹协调</w:t>
            </w:r>
          </w:p>
        </w:tc>
        <w:tc>
          <w:tcPr>
            <w:tcW w:w="5386" w:type="dxa"/>
            <w:vAlign w:val="center"/>
          </w:tcPr>
          <w:p>
            <w:pPr>
              <w:pStyle w:val="13"/>
            </w:pPr>
            <w:r>
              <w:t>严格持续执行会议活动组织标准</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9、公共设施维修维护及旅游旺季后勤绩效目标表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13031324P00880110782B</w:t>
            </w:r>
          </w:p>
        </w:tc>
        <w:tc>
          <w:tcPr>
            <w:tcW w:w="2835" w:type="dxa"/>
            <w:vAlign w:val="center"/>
          </w:tcPr>
          <w:p>
            <w:pPr>
              <w:pStyle w:val="11"/>
            </w:pPr>
            <w:r>
              <w:t>项目名称</w:t>
            </w:r>
          </w:p>
        </w:tc>
        <w:tc>
          <w:tcPr>
            <w:tcW w:w="6094" w:type="dxa"/>
            <w:gridSpan w:val="3"/>
            <w:vAlign w:val="center"/>
          </w:tcPr>
          <w:p>
            <w:pPr>
              <w:pStyle w:val="13"/>
            </w:pPr>
            <w:r>
              <w:t>公共设施维修维护及旅游旺季后勤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确保各种设施设备运转正常、提高修缮满意率，节约成本支出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1.确保各种设施设备运转正常、提高修缮满意率，节约成本支出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办公用房办公家具维修次数</w:t>
            </w:r>
          </w:p>
        </w:tc>
        <w:tc>
          <w:tcPr>
            <w:tcW w:w="5386" w:type="dxa"/>
            <w:vAlign w:val="center"/>
          </w:tcPr>
          <w:p>
            <w:pPr>
              <w:pStyle w:val="13"/>
            </w:pPr>
            <w:r>
              <w:t>办公用房办公家具及安全保卫设施维修次数</w:t>
            </w:r>
          </w:p>
        </w:tc>
        <w:tc>
          <w:tcPr>
            <w:tcW w:w="2268" w:type="dxa"/>
            <w:vAlign w:val="center"/>
          </w:tcPr>
          <w:p>
            <w:pPr>
              <w:pStyle w:val="13"/>
            </w:pPr>
            <w:r>
              <w:t>≥5次</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办公用房修缮改造完成率</w:t>
            </w:r>
          </w:p>
        </w:tc>
        <w:tc>
          <w:tcPr>
            <w:tcW w:w="5386" w:type="dxa"/>
            <w:vAlign w:val="center"/>
          </w:tcPr>
          <w:p>
            <w:pPr>
              <w:pStyle w:val="13"/>
            </w:pPr>
            <w:r>
              <w:t>办公用房修缮改造完成率</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修缮工作完成及时率</w:t>
            </w:r>
          </w:p>
        </w:tc>
        <w:tc>
          <w:tcPr>
            <w:tcW w:w="5386" w:type="dxa"/>
            <w:vAlign w:val="center"/>
          </w:tcPr>
          <w:p>
            <w:pPr>
              <w:pStyle w:val="13"/>
            </w:pPr>
            <w:r>
              <w:t>修缮工作完成及时率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维修成本控制数</w:t>
            </w:r>
          </w:p>
        </w:tc>
        <w:tc>
          <w:tcPr>
            <w:tcW w:w="5386" w:type="dxa"/>
            <w:vAlign w:val="center"/>
          </w:tcPr>
          <w:p>
            <w:pPr>
              <w:pStyle w:val="13"/>
            </w:pPr>
            <w:r>
              <w:t>房屋维修预算总控制数</w:t>
            </w:r>
          </w:p>
        </w:tc>
        <w:tc>
          <w:tcPr>
            <w:tcW w:w="2268" w:type="dxa"/>
            <w:vAlign w:val="center"/>
          </w:tcPr>
          <w:p>
            <w:pPr>
              <w:pStyle w:val="13"/>
            </w:pPr>
            <w:r>
              <w:t>≤360万元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优化成本支出</w:t>
            </w:r>
          </w:p>
        </w:tc>
        <w:tc>
          <w:tcPr>
            <w:tcW w:w="5386" w:type="dxa"/>
            <w:vAlign w:val="center"/>
          </w:tcPr>
          <w:p>
            <w:pPr>
              <w:pStyle w:val="13"/>
            </w:pPr>
            <w:r>
              <w:t>提高修缮满意率，节约成本支出</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公用设施维修完成效果</w:t>
            </w:r>
          </w:p>
        </w:tc>
        <w:tc>
          <w:tcPr>
            <w:tcW w:w="5386" w:type="dxa"/>
            <w:vAlign w:val="center"/>
          </w:tcPr>
          <w:p>
            <w:pPr>
              <w:pStyle w:val="13"/>
            </w:pPr>
            <w:r>
              <w:t>确保各种设施、设备运转正常，促进新区旅游发展</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合理改善办公、就餐环境</w:t>
            </w:r>
          </w:p>
        </w:tc>
        <w:tc>
          <w:tcPr>
            <w:tcW w:w="5386" w:type="dxa"/>
            <w:vAlign w:val="center"/>
          </w:tcPr>
          <w:p>
            <w:pPr>
              <w:pStyle w:val="13"/>
            </w:pPr>
            <w:r>
              <w:t>确保办公、就餐环境安全、整洁</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提高修缮满意率，节约成本支出</w:t>
            </w:r>
          </w:p>
        </w:tc>
        <w:tc>
          <w:tcPr>
            <w:tcW w:w="5386" w:type="dxa"/>
            <w:vAlign w:val="center"/>
          </w:tcPr>
          <w:p>
            <w:pPr>
              <w:pStyle w:val="13"/>
            </w:pPr>
            <w:r>
              <w:t>提高修缮满意率，节约成本支出</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10、公共文化活动中心（规划展馆）运行经费绩效目标表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13031324P00880110587T</w:t>
            </w:r>
          </w:p>
        </w:tc>
        <w:tc>
          <w:tcPr>
            <w:tcW w:w="2835" w:type="dxa"/>
            <w:vAlign w:val="center"/>
          </w:tcPr>
          <w:p>
            <w:pPr>
              <w:pStyle w:val="11"/>
            </w:pPr>
            <w:r>
              <w:t>项目名称</w:t>
            </w:r>
          </w:p>
        </w:tc>
        <w:tc>
          <w:tcPr>
            <w:tcW w:w="6094" w:type="dxa"/>
            <w:gridSpan w:val="3"/>
            <w:vAlign w:val="center"/>
          </w:tcPr>
          <w:p>
            <w:pPr>
              <w:pStyle w:val="13"/>
            </w:pPr>
            <w:r>
              <w:t>公共文化活动中心（规划展馆）运行经费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470.00</w:t>
            </w:r>
          </w:p>
        </w:tc>
        <w:tc>
          <w:tcPr>
            <w:tcW w:w="2835" w:type="dxa"/>
            <w:vAlign w:val="center"/>
          </w:tcPr>
          <w:p>
            <w:pPr>
              <w:pStyle w:val="11"/>
            </w:pPr>
            <w:r>
              <w:t>其中：财政    资金</w:t>
            </w:r>
          </w:p>
        </w:tc>
        <w:tc>
          <w:tcPr>
            <w:tcW w:w="2551" w:type="dxa"/>
            <w:vAlign w:val="center"/>
          </w:tcPr>
          <w:p>
            <w:pPr>
              <w:pStyle w:val="13"/>
            </w:pPr>
            <w:r>
              <w:t>470.00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规范管理，合理使用，确保各种设施、设备运转正常，积极改善展馆环境，进一步提升展馆标准，为各项会议、接待提供安全、舒适、周到、细致的工作环境。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1.规范管理，合理使用，确保各种设施、设备运转正常，积极改善展馆环境，进一步提升展馆标准，为各项会议、接待提供安全、舒适、周到、细致的工作环境。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承接工管委会议活动次数</w:t>
            </w:r>
          </w:p>
        </w:tc>
        <w:tc>
          <w:tcPr>
            <w:tcW w:w="5386" w:type="dxa"/>
            <w:vAlign w:val="center"/>
          </w:tcPr>
          <w:p>
            <w:pPr>
              <w:pStyle w:val="13"/>
            </w:pPr>
            <w:r>
              <w:t>承接工管委会议活动次数</w:t>
            </w:r>
          </w:p>
        </w:tc>
        <w:tc>
          <w:tcPr>
            <w:tcW w:w="2268" w:type="dxa"/>
            <w:vAlign w:val="center"/>
          </w:tcPr>
          <w:p>
            <w:pPr>
              <w:pStyle w:val="13"/>
            </w:pPr>
            <w:r>
              <w:t>≥400次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会议活动质量完成率</w:t>
            </w:r>
          </w:p>
        </w:tc>
        <w:tc>
          <w:tcPr>
            <w:tcW w:w="5386" w:type="dxa"/>
            <w:vAlign w:val="center"/>
          </w:tcPr>
          <w:p>
            <w:pPr>
              <w:pStyle w:val="13"/>
            </w:pPr>
            <w:r>
              <w:t>年内各项会议活动工作按要求全部完成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损坏设备及时修复率</w:t>
            </w:r>
          </w:p>
        </w:tc>
        <w:tc>
          <w:tcPr>
            <w:tcW w:w="5386" w:type="dxa"/>
            <w:vAlign w:val="center"/>
          </w:tcPr>
          <w:p>
            <w:pPr>
              <w:pStyle w:val="13"/>
            </w:pPr>
            <w:r>
              <w:t>损坏设备及时修复率</w:t>
            </w:r>
          </w:p>
        </w:tc>
        <w:tc>
          <w:tcPr>
            <w:tcW w:w="2268" w:type="dxa"/>
            <w:vAlign w:val="center"/>
          </w:tcPr>
          <w:p>
            <w:pPr>
              <w:pStyle w:val="13"/>
            </w:pPr>
            <w:r>
              <w:t>2024年12月底前完成</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运行成本</w:t>
            </w:r>
          </w:p>
        </w:tc>
        <w:tc>
          <w:tcPr>
            <w:tcW w:w="5386" w:type="dxa"/>
            <w:vAlign w:val="center"/>
          </w:tcPr>
          <w:p>
            <w:pPr>
              <w:pStyle w:val="13"/>
            </w:pPr>
            <w:r>
              <w:t>人员工资、设备设施维护、电费等支出</w:t>
            </w:r>
          </w:p>
        </w:tc>
        <w:tc>
          <w:tcPr>
            <w:tcW w:w="2268" w:type="dxa"/>
            <w:vAlign w:val="center"/>
          </w:tcPr>
          <w:p>
            <w:pPr>
              <w:pStyle w:val="13"/>
            </w:pPr>
            <w:r>
              <w:t>≤470万元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比较分析</w:t>
            </w:r>
          </w:p>
        </w:tc>
        <w:tc>
          <w:tcPr>
            <w:tcW w:w="5386" w:type="dxa"/>
            <w:vAlign w:val="center"/>
          </w:tcPr>
          <w:p>
            <w:pPr>
              <w:pStyle w:val="13"/>
            </w:pPr>
            <w:r>
              <w:t>上年同期、历史最高水平</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树立新形象打造新品牌</w:t>
            </w:r>
          </w:p>
        </w:tc>
        <w:tc>
          <w:tcPr>
            <w:tcW w:w="5386" w:type="dxa"/>
            <w:vAlign w:val="center"/>
          </w:tcPr>
          <w:p>
            <w:pPr>
              <w:pStyle w:val="13"/>
            </w:pPr>
            <w:r>
              <w:t>以优质、安全的服务树立新形象打造新品牌</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评估经济效益对环境冲击</w:t>
            </w:r>
          </w:p>
        </w:tc>
        <w:tc>
          <w:tcPr>
            <w:tcW w:w="5386" w:type="dxa"/>
            <w:vAlign w:val="center"/>
          </w:tcPr>
          <w:p>
            <w:pPr>
              <w:pStyle w:val="13"/>
            </w:pPr>
            <w:r>
              <w:t>根据现有环境与财务咨询，选择合适指标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相关产出带来影响可持续期限</w:t>
            </w:r>
          </w:p>
        </w:tc>
        <w:tc>
          <w:tcPr>
            <w:tcW w:w="5386" w:type="dxa"/>
            <w:vAlign w:val="center"/>
          </w:tcPr>
          <w:p>
            <w:pPr>
              <w:pStyle w:val="13"/>
            </w:pPr>
            <w:r>
              <w:t>规划展馆项目持续发挥作用的期限</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接待人员</w:t>
            </w:r>
          </w:p>
        </w:tc>
        <w:tc>
          <w:tcPr>
            <w:tcW w:w="5386" w:type="dxa"/>
            <w:vAlign w:val="center"/>
          </w:tcPr>
          <w:p>
            <w:pPr>
              <w:pStyle w:val="13"/>
            </w:pPr>
            <w:r>
              <w:t>规划展馆接待服务满意度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11、机关运行保障经费绩效目标表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13031324P008801105840</w:t>
            </w:r>
          </w:p>
        </w:tc>
        <w:tc>
          <w:tcPr>
            <w:tcW w:w="2835" w:type="dxa"/>
            <w:vAlign w:val="center"/>
          </w:tcPr>
          <w:p>
            <w:pPr>
              <w:pStyle w:val="11"/>
            </w:pPr>
            <w:r>
              <w:t>项目名称</w:t>
            </w:r>
          </w:p>
        </w:tc>
        <w:tc>
          <w:tcPr>
            <w:tcW w:w="6094" w:type="dxa"/>
            <w:gridSpan w:val="3"/>
            <w:vAlign w:val="center"/>
          </w:tcPr>
          <w:p>
            <w:pPr>
              <w:pStyle w:val="13"/>
            </w:pPr>
            <w:r>
              <w:t>机关运行保障经费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为广大干部职工提供安全、舒适、周到、细致的工作环境。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1.积极改善职工就餐环境，进一步提升食堂就餐标准；提高管理、服务水平，为广大干部职工提供安全、舒适、周到、细致的工作环境。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保障用餐人数</w:t>
            </w:r>
          </w:p>
        </w:tc>
        <w:tc>
          <w:tcPr>
            <w:tcW w:w="5386" w:type="dxa"/>
            <w:vAlign w:val="center"/>
          </w:tcPr>
          <w:p>
            <w:pPr>
              <w:pStyle w:val="13"/>
            </w:pPr>
            <w:r>
              <w:t>食堂用餐人数</w:t>
            </w:r>
          </w:p>
        </w:tc>
        <w:tc>
          <w:tcPr>
            <w:tcW w:w="2268" w:type="dxa"/>
            <w:vAlign w:val="center"/>
          </w:tcPr>
          <w:p>
            <w:pPr>
              <w:pStyle w:val="13"/>
            </w:pPr>
            <w:r>
              <w:t>≥1200人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食品安全性</w:t>
            </w:r>
          </w:p>
        </w:tc>
        <w:tc>
          <w:tcPr>
            <w:tcW w:w="5386" w:type="dxa"/>
            <w:vAlign w:val="center"/>
          </w:tcPr>
          <w:p>
            <w:pPr>
              <w:pStyle w:val="13"/>
            </w:pPr>
            <w:r>
              <w:t>保证食品安全</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及时完成得满分，未及时完成酌情扣分</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食堂运行成本控制</w:t>
            </w:r>
          </w:p>
        </w:tc>
        <w:tc>
          <w:tcPr>
            <w:tcW w:w="5386" w:type="dxa"/>
            <w:vAlign w:val="center"/>
          </w:tcPr>
          <w:p>
            <w:pPr>
              <w:pStyle w:val="13"/>
            </w:pPr>
            <w:r>
              <w:t>食堂运行成本控制</w:t>
            </w:r>
          </w:p>
        </w:tc>
        <w:tc>
          <w:tcPr>
            <w:tcW w:w="2268" w:type="dxa"/>
            <w:vAlign w:val="center"/>
          </w:tcPr>
          <w:p>
            <w:pPr>
              <w:pStyle w:val="13"/>
            </w:pPr>
            <w:r>
              <w:t>≤600万元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降低成本，高效运行</w:t>
            </w:r>
          </w:p>
        </w:tc>
        <w:tc>
          <w:tcPr>
            <w:tcW w:w="5386" w:type="dxa"/>
            <w:vAlign w:val="center"/>
          </w:tcPr>
          <w:p>
            <w:pPr>
              <w:pStyle w:val="13"/>
            </w:pPr>
            <w:r>
              <w:t>低成本高质量运行</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提供安全的就餐环境</w:t>
            </w:r>
          </w:p>
        </w:tc>
        <w:tc>
          <w:tcPr>
            <w:tcW w:w="5386" w:type="dxa"/>
            <w:vAlign w:val="center"/>
          </w:tcPr>
          <w:p>
            <w:pPr>
              <w:pStyle w:val="13"/>
            </w:pPr>
            <w:r>
              <w:t>提供安全的就餐环境</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改善就餐环境，提高就餐标准</w:t>
            </w:r>
          </w:p>
        </w:tc>
        <w:tc>
          <w:tcPr>
            <w:tcW w:w="5386" w:type="dxa"/>
            <w:vAlign w:val="center"/>
          </w:tcPr>
          <w:p>
            <w:pPr>
              <w:pStyle w:val="13"/>
            </w:pPr>
            <w:r>
              <w:t>改善就餐环境，提高就餐标准</w:t>
            </w:r>
          </w:p>
        </w:tc>
        <w:tc>
          <w:tcPr>
            <w:tcW w:w="2268" w:type="dxa"/>
            <w:vAlign w:val="center"/>
          </w:tcPr>
          <w:p>
            <w:pPr>
              <w:pStyle w:val="13"/>
            </w:pPr>
            <w:r>
              <w:t>≥80%</w:t>
            </w:r>
          </w:p>
        </w:tc>
        <w:tc>
          <w:tcPr>
            <w:tcW w:w="1276" w:type="dxa"/>
            <w:vAlign w:val="center"/>
          </w:tcPr>
          <w:p>
            <w:pPr>
              <w:pStyle w:val="13"/>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提升机关食堂管理服务的效能和水平</w:t>
            </w:r>
          </w:p>
        </w:tc>
        <w:tc>
          <w:tcPr>
            <w:tcW w:w="5386" w:type="dxa"/>
            <w:vAlign w:val="center"/>
          </w:tcPr>
          <w:p>
            <w:pPr>
              <w:pStyle w:val="13"/>
            </w:pPr>
            <w:r>
              <w:t>提升机关食堂管理服务的效能和水平</w:t>
            </w:r>
          </w:p>
        </w:tc>
        <w:tc>
          <w:tcPr>
            <w:tcW w:w="2268" w:type="dxa"/>
            <w:vAlign w:val="center"/>
          </w:tcPr>
          <w:p>
            <w:pPr>
              <w:pStyle w:val="13"/>
            </w:pPr>
            <w:r>
              <w:t>≥80%</w:t>
            </w:r>
          </w:p>
        </w:tc>
        <w:tc>
          <w:tcPr>
            <w:tcW w:w="1276" w:type="dxa"/>
            <w:vAlign w:val="center"/>
          </w:tcPr>
          <w:p>
            <w:pPr>
              <w:pStyle w:val="13"/>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食堂职工就餐满意度</w:t>
            </w:r>
          </w:p>
        </w:tc>
        <w:tc>
          <w:tcPr>
            <w:tcW w:w="5386" w:type="dxa"/>
            <w:vAlign w:val="center"/>
          </w:tcPr>
          <w:p>
            <w:pPr>
              <w:pStyle w:val="13"/>
            </w:pPr>
            <w:r>
              <w:t>食堂职工就餐满意度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12、人脸识别系统运行维护费绩效目标表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13031324P00880110595F</w:t>
            </w:r>
          </w:p>
        </w:tc>
        <w:tc>
          <w:tcPr>
            <w:tcW w:w="2835" w:type="dxa"/>
            <w:vAlign w:val="center"/>
          </w:tcPr>
          <w:p>
            <w:pPr>
              <w:pStyle w:val="11"/>
            </w:pPr>
            <w:r>
              <w:t>项目名称</w:t>
            </w:r>
          </w:p>
        </w:tc>
        <w:tc>
          <w:tcPr>
            <w:tcW w:w="6094" w:type="dxa"/>
            <w:gridSpan w:val="3"/>
            <w:vAlign w:val="center"/>
          </w:tcPr>
          <w:p>
            <w:pPr>
              <w:pStyle w:val="13"/>
            </w:pPr>
            <w:r>
              <w:t>人脸识别系统运行维护费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w:t>
            </w:r>
          </w:p>
        </w:tc>
        <w:tc>
          <w:tcPr>
            <w:tcW w:w="2835" w:type="dxa"/>
            <w:vAlign w:val="center"/>
          </w:tcPr>
          <w:p>
            <w:pPr>
              <w:pStyle w:val="11"/>
            </w:pPr>
            <w:r>
              <w:t>其中：财政    资金</w:t>
            </w:r>
          </w:p>
        </w:tc>
        <w:tc>
          <w:tcPr>
            <w:tcW w:w="2551" w:type="dxa"/>
            <w:vAlign w:val="center"/>
          </w:tcPr>
          <w:p>
            <w:pPr>
              <w:pStyle w:val="13"/>
            </w:pPr>
            <w:r>
              <w:t>13.70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将人脸识别测温系统纳入全区疫情防控工作统筹考虑，确保成分发挥人脸识别测温系统在疫情防控中的哨点预警作用，实现体温异常人员的及时发现、及时预警和及时处置。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1.将人脸识别测温系统纳入全区疫情防控工作统筹考虑，确保成分发挥人脸识别测温系统在疫情防控中的哨点预警作用，实现体温异常人员的及时发现、及时预警和及时处置。</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摸底调查完成率</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按指定区域完成</w:t>
            </w:r>
          </w:p>
        </w:tc>
        <w:tc>
          <w:tcPr>
            <w:tcW w:w="5386" w:type="dxa"/>
            <w:vAlign w:val="center"/>
          </w:tcPr>
          <w:p>
            <w:pPr>
              <w:pStyle w:val="13"/>
            </w:pPr>
            <w:r>
              <w:t>按指定区域完成</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按指定日期完成</w:t>
            </w:r>
          </w:p>
        </w:tc>
        <w:tc>
          <w:tcPr>
            <w:tcW w:w="5386" w:type="dxa"/>
            <w:vAlign w:val="center"/>
          </w:tcPr>
          <w:p>
            <w:pPr>
              <w:pStyle w:val="13"/>
            </w:pPr>
            <w:r>
              <w:t>按指定日期完成</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控制成本数</w:t>
            </w:r>
          </w:p>
        </w:tc>
        <w:tc>
          <w:tcPr>
            <w:tcW w:w="5386" w:type="dxa"/>
            <w:vAlign w:val="center"/>
          </w:tcPr>
          <w:p>
            <w:pPr>
              <w:pStyle w:val="13"/>
            </w:pPr>
            <w:r>
              <w:t>控制成本数</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优化成本支出</w:t>
            </w:r>
          </w:p>
        </w:tc>
        <w:tc>
          <w:tcPr>
            <w:tcW w:w="5386" w:type="dxa"/>
            <w:vAlign w:val="center"/>
          </w:tcPr>
          <w:p>
            <w:pPr>
              <w:pStyle w:val="13"/>
            </w:pPr>
            <w:r>
              <w:t>优化成本支出</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确保在疫情防控中哨点预警作用</w:t>
            </w:r>
          </w:p>
        </w:tc>
        <w:tc>
          <w:tcPr>
            <w:tcW w:w="5386" w:type="dxa"/>
            <w:vAlign w:val="center"/>
          </w:tcPr>
          <w:p>
            <w:pPr>
              <w:pStyle w:val="13"/>
            </w:pPr>
            <w:r>
              <w:t>确保在疫情防控中哨点预警作用</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更好发挥预警作用</w:t>
            </w:r>
          </w:p>
        </w:tc>
        <w:tc>
          <w:tcPr>
            <w:tcW w:w="5386" w:type="dxa"/>
            <w:vAlign w:val="center"/>
          </w:tcPr>
          <w:p>
            <w:pPr>
              <w:pStyle w:val="13"/>
            </w:pPr>
            <w:r>
              <w:t>更好发挥预警作用</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13、外联活动经费绩效目标表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13031324P00880110585K</w:t>
            </w:r>
          </w:p>
        </w:tc>
        <w:tc>
          <w:tcPr>
            <w:tcW w:w="2835" w:type="dxa"/>
            <w:vAlign w:val="center"/>
          </w:tcPr>
          <w:p>
            <w:pPr>
              <w:pStyle w:val="11"/>
            </w:pPr>
            <w:r>
              <w:t>项目名称</w:t>
            </w:r>
          </w:p>
        </w:tc>
        <w:tc>
          <w:tcPr>
            <w:tcW w:w="6094" w:type="dxa"/>
            <w:gridSpan w:val="3"/>
            <w:vAlign w:val="center"/>
          </w:tcPr>
          <w:p>
            <w:pPr>
              <w:pStyle w:val="13"/>
            </w:pPr>
            <w:r>
              <w:t>外联活动经费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加强区级层面重要会议活动的统筹协调，组织好全区性重大会议活动，从严从细谋划安排工管委主要领导参加的重要会议活动。保障国家、省、市办公厅来新区现场调研、检查工作、会议安排和活动组织的食宿</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1.加强区级层面重要会议活动的统筹协调，组织好全区性重大会议活动，从严从细谋划安排工管委主要领导参加的重要会议活动。保障国家、省、市办公厅来新区现场调研、检查工作、会议安排和活动组织的食宿</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会议次数</w:t>
            </w:r>
          </w:p>
        </w:tc>
        <w:tc>
          <w:tcPr>
            <w:tcW w:w="2268" w:type="dxa"/>
            <w:vAlign w:val="center"/>
          </w:tcPr>
          <w:p>
            <w:pPr>
              <w:pStyle w:val="13"/>
            </w:pPr>
            <w:r>
              <w:t>≥100次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培训、会议活动质量完成率</w:t>
            </w:r>
          </w:p>
        </w:tc>
        <w:tc>
          <w:tcPr>
            <w:tcW w:w="5386" w:type="dxa"/>
            <w:vAlign w:val="center"/>
          </w:tcPr>
          <w:p>
            <w:pPr>
              <w:pStyle w:val="13"/>
            </w:pPr>
            <w:r>
              <w:t>会议活动按要求全部完成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完成接待来访、出访的时间</w:t>
            </w:r>
          </w:p>
        </w:tc>
        <w:tc>
          <w:tcPr>
            <w:tcW w:w="5386" w:type="dxa"/>
            <w:vAlign w:val="center"/>
          </w:tcPr>
          <w:p>
            <w:pPr>
              <w:pStyle w:val="13"/>
            </w:pPr>
            <w:r>
              <w:t>完成接待来访、出访及组织相关交流活动的时间</w:t>
            </w:r>
          </w:p>
        </w:tc>
        <w:tc>
          <w:tcPr>
            <w:tcW w:w="2268" w:type="dxa"/>
            <w:vAlign w:val="center"/>
          </w:tcPr>
          <w:p>
            <w:pPr>
              <w:pStyle w:val="13"/>
            </w:pPr>
            <w:r>
              <w:t>按时完成</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出访、接待来访等活动支出</w:t>
            </w:r>
          </w:p>
        </w:tc>
        <w:tc>
          <w:tcPr>
            <w:tcW w:w="5386" w:type="dxa"/>
            <w:vAlign w:val="center"/>
          </w:tcPr>
          <w:p>
            <w:pPr>
              <w:pStyle w:val="13"/>
            </w:pPr>
            <w:r>
              <w:t>出访、接待来访等交流活动开支标准</w:t>
            </w:r>
          </w:p>
        </w:tc>
        <w:tc>
          <w:tcPr>
            <w:tcW w:w="2268" w:type="dxa"/>
            <w:vAlign w:val="center"/>
          </w:tcPr>
          <w:p>
            <w:pPr>
              <w:pStyle w:val="13"/>
            </w:pPr>
            <w:r>
              <w:t>≤150万元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加强接待活动统筹协调</w:t>
            </w:r>
          </w:p>
        </w:tc>
        <w:tc>
          <w:tcPr>
            <w:tcW w:w="5386" w:type="dxa"/>
            <w:vAlign w:val="center"/>
          </w:tcPr>
          <w:p>
            <w:pPr>
              <w:pStyle w:val="13"/>
            </w:pPr>
            <w:r>
              <w:t>降低接待活动的组织成本</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加强接待活动统筹协调</w:t>
            </w:r>
          </w:p>
        </w:tc>
        <w:tc>
          <w:tcPr>
            <w:tcW w:w="5386" w:type="dxa"/>
            <w:vAlign w:val="center"/>
          </w:tcPr>
          <w:p>
            <w:pPr>
              <w:pStyle w:val="13"/>
            </w:pPr>
            <w:r>
              <w:t>节约接待活动组织的人员时间、成本</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加强会议的组织协调</w:t>
            </w:r>
          </w:p>
        </w:tc>
        <w:tc>
          <w:tcPr>
            <w:tcW w:w="5386" w:type="dxa"/>
            <w:vAlign w:val="center"/>
          </w:tcPr>
          <w:p>
            <w:pPr>
              <w:pStyle w:val="13"/>
            </w:pPr>
            <w:r>
              <w:t>严格会议组织环境要求</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加强会议的组织协调</w:t>
            </w:r>
          </w:p>
        </w:tc>
        <w:tc>
          <w:tcPr>
            <w:tcW w:w="5386" w:type="dxa"/>
            <w:vAlign w:val="center"/>
          </w:tcPr>
          <w:p>
            <w:pPr>
              <w:pStyle w:val="13"/>
            </w:pPr>
            <w:r>
              <w:t>严格持续执行会议组织标准</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14、物业管理服务费绩效目标表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13031324P008801108135</w:t>
            </w:r>
          </w:p>
        </w:tc>
        <w:tc>
          <w:tcPr>
            <w:tcW w:w="2835" w:type="dxa"/>
            <w:vAlign w:val="center"/>
          </w:tcPr>
          <w:p>
            <w:pPr>
              <w:pStyle w:val="11"/>
            </w:pPr>
            <w:r>
              <w:t>项目名称</w:t>
            </w:r>
          </w:p>
        </w:tc>
        <w:tc>
          <w:tcPr>
            <w:tcW w:w="6094" w:type="dxa"/>
            <w:gridSpan w:val="3"/>
            <w:vAlign w:val="center"/>
          </w:tcPr>
          <w:p>
            <w:pPr>
              <w:pStyle w:val="13"/>
            </w:pPr>
            <w:r>
              <w:t>物业管理服务费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278.00</w:t>
            </w:r>
          </w:p>
        </w:tc>
        <w:tc>
          <w:tcPr>
            <w:tcW w:w="2835" w:type="dxa"/>
            <w:vAlign w:val="center"/>
          </w:tcPr>
          <w:p>
            <w:pPr>
              <w:pStyle w:val="11"/>
            </w:pPr>
            <w:r>
              <w:t>其中：财政    资金</w:t>
            </w:r>
          </w:p>
        </w:tc>
        <w:tc>
          <w:tcPr>
            <w:tcW w:w="2551" w:type="dxa"/>
            <w:vAlign w:val="center"/>
          </w:tcPr>
          <w:p>
            <w:pPr>
              <w:pStyle w:val="13"/>
            </w:pPr>
            <w:r>
              <w:t>278.00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遵守安全、规范、高效的工作原则，严格遵照保安物业相关标准和规定履行职责，保障单位人员和财产安全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1.遵守安全、规范、高效的工作原则，严格遵照保安物业相关标准和规定履行职责，保障单位人员和财产安全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服务场所数量</w:t>
            </w:r>
          </w:p>
        </w:tc>
        <w:tc>
          <w:tcPr>
            <w:tcW w:w="5386" w:type="dxa"/>
            <w:vAlign w:val="center"/>
          </w:tcPr>
          <w:p>
            <w:pPr>
              <w:pStyle w:val="13"/>
            </w:pPr>
            <w:r>
              <w:t>新区机关14处办公场所</w:t>
            </w:r>
          </w:p>
        </w:tc>
        <w:tc>
          <w:tcPr>
            <w:tcW w:w="2268" w:type="dxa"/>
            <w:vAlign w:val="center"/>
          </w:tcPr>
          <w:p>
            <w:pPr>
              <w:pStyle w:val="13"/>
            </w:pPr>
            <w:r>
              <w:t>≥14个</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服从工作安排，完成各类任务</w:t>
            </w:r>
          </w:p>
        </w:tc>
        <w:tc>
          <w:tcPr>
            <w:tcW w:w="5386" w:type="dxa"/>
            <w:vAlign w:val="center"/>
          </w:tcPr>
          <w:p>
            <w:pPr>
              <w:pStyle w:val="13"/>
            </w:pPr>
            <w:r>
              <w:t>服从工作安排，完成各类任务</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服务工作完成及时率</w:t>
            </w:r>
          </w:p>
        </w:tc>
        <w:tc>
          <w:tcPr>
            <w:tcW w:w="5386" w:type="dxa"/>
            <w:vAlign w:val="center"/>
          </w:tcPr>
          <w:p>
            <w:pPr>
              <w:pStyle w:val="13"/>
            </w:pPr>
            <w:r>
              <w:t>服务工作完成及时率</w:t>
            </w:r>
          </w:p>
        </w:tc>
        <w:tc>
          <w:tcPr>
            <w:tcW w:w="2268" w:type="dxa"/>
            <w:vAlign w:val="center"/>
          </w:tcPr>
          <w:p>
            <w:pPr>
              <w:pStyle w:val="13"/>
            </w:pPr>
            <w:r>
              <w:t>≥85%</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服务成本控制数</w:t>
            </w:r>
          </w:p>
        </w:tc>
        <w:tc>
          <w:tcPr>
            <w:tcW w:w="5386" w:type="dxa"/>
            <w:vAlign w:val="center"/>
          </w:tcPr>
          <w:p>
            <w:pPr>
              <w:pStyle w:val="13"/>
            </w:pPr>
            <w:r>
              <w:t>服务成本总控制数</w:t>
            </w:r>
          </w:p>
        </w:tc>
        <w:tc>
          <w:tcPr>
            <w:tcW w:w="2268" w:type="dxa"/>
            <w:vAlign w:val="center"/>
          </w:tcPr>
          <w:p>
            <w:pPr>
              <w:pStyle w:val="13"/>
            </w:pPr>
            <w:r>
              <w:t>≤278万元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优化服务成本支出</w:t>
            </w:r>
          </w:p>
        </w:tc>
        <w:tc>
          <w:tcPr>
            <w:tcW w:w="5386" w:type="dxa"/>
            <w:vAlign w:val="center"/>
          </w:tcPr>
          <w:p>
            <w:pPr>
              <w:pStyle w:val="13"/>
            </w:pPr>
            <w:r>
              <w:t>提高服务满意率，节约成本支出</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创造舒适安全的工作环境</w:t>
            </w:r>
          </w:p>
        </w:tc>
        <w:tc>
          <w:tcPr>
            <w:tcW w:w="5386" w:type="dxa"/>
            <w:vAlign w:val="center"/>
          </w:tcPr>
          <w:p>
            <w:pPr>
              <w:pStyle w:val="13"/>
            </w:pPr>
            <w:r>
              <w:t>确保机关正常运转</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合理改善办公环境</w:t>
            </w:r>
          </w:p>
        </w:tc>
        <w:tc>
          <w:tcPr>
            <w:tcW w:w="5386" w:type="dxa"/>
            <w:vAlign w:val="center"/>
          </w:tcPr>
          <w:p>
            <w:pPr>
              <w:pStyle w:val="13"/>
            </w:pPr>
            <w:r>
              <w:t>确保办公环境安全、整洁</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提高服务满意率，节约成本</w:t>
            </w:r>
          </w:p>
        </w:tc>
        <w:tc>
          <w:tcPr>
            <w:tcW w:w="5386" w:type="dxa"/>
            <w:vAlign w:val="center"/>
          </w:tcPr>
          <w:p>
            <w:pPr>
              <w:pStyle w:val="13"/>
            </w:pPr>
            <w:r>
              <w:t>提高服务满意率，节约成本</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15、政府建设工程项目审计费绩效目标表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13031324P00880110736E</w:t>
            </w:r>
          </w:p>
        </w:tc>
        <w:tc>
          <w:tcPr>
            <w:tcW w:w="2835" w:type="dxa"/>
            <w:vAlign w:val="center"/>
          </w:tcPr>
          <w:p>
            <w:pPr>
              <w:pStyle w:val="11"/>
            </w:pPr>
            <w:r>
              <w:t>项目名称</w:t>
            </w:r>
          </w:p>
        </w:tc>
        <w:tc>
          <w:tcPr>
            <w:tcW w:w="6094" w:type="dxa"/>
            <w:gridSpan w:val="3"/>
            <w:vAlign w:val="center"/>
          </w:tcPr>
          <w:p>
            <w:pPr>
              <w:pStyle w:val="13"/>
            </w:pPr>
            <w:r>
              <w:t>政府建设工程项目审计费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聘请专家对各部门单位政府投资建设项目结算评审进行监督，本年度完成项目评审。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1.聘请专家对各部门单位政府投资建设项目结算评审进行监督，本年度完成项目评审。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完成重大项目评审数量</w:t>
            </w:r>
          </w:p>
        </w:tc>
        <w:tc>
          <w:tcPr>
            <w:tcW w:w="5386" w:type="dxa"/>
            <w:vAlign w:val="center"/>
          </w:tcPr>
          <w:p>
            <w:pPr>
              <w:pStyle w:val="13"/>
            </w:pPr>
            <w:r>
              <w:t>当年审计监督任务数量</w:t>
            </w:r>
          </w:p>
        </w:tc>
        <w:tc>
          <w:tcPr>
            <w:tcW w:w="2268" w:type="dxa"/>
            <w:vAlign w:val="center"/>
          </w:tcPr>
          <w:p>
            <w:pPr>
              <w:pStyle w:val="13"/>
            </w:pPr>
            <w:r>
              <w:t>≥5项</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评审监督项目抽查复核审减率</w:t>
            </w:r>
          </w:p>
        </w:tc>
        <w:tc>
          <w:tcPr>
            <w:tcW w:w="5386" w:type="dxa"/>
            <w:vAlign w:val="center"/>
          </w:tcPr>
          <w:p>
            <w:pPr>
              <w:pStyle w:val="13"/>
            </w:pPr>
            <w:r>
              <w:t>委托中介机构对已经评审项目抽查复合审减率</w:t>
            </w:r>
          </w:p>
        </w:tc>
        <w:tc>
          <w:tcPr>
            <w:tcW w:w="2268" w:type="dxa"/>
            <w:vAlign w:val="center"/>
          </w:tcPr>
          <w:p>
            <w:pPr>
              <w:pStyle w:val="13"/>
            </w:pPr>
            <w:r>
              <w:t>＜3%</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评审费用</w:t>
            </w:r>
          </w:p>
        </w:tc>
        <w:tc>
          <w:tcPr>
            <w:tcW w:w="5386" w:type="dxa"/>
            <w:vAlign w:val="center"/>
          </w:tcPr>
          <w:p>
            <w:pPr>
              <w:pStyle w:val="13"/>
            </w:pPr>
            <w:r>
              <w:t>对于评审项目委托社会中介机构价格标准为不低于评审项目金额的千分之一。</w:t>
            </w:r>
          </w:p>
        </w:tc>
        <w:tc>
          <w:tcPr>
            <w:tcW w:w="2268" w:type="dxa"/>
            <w:vAlign w:val="center"/>
          </w:tcPr>
          <w:p>
            <w:pPr>
              <w:pStyle w:val="13"/>
            </w:pPr>
            <w:r>
              <w:t>≤50万元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评审监督建设项目资金使用效果</w:t>
            </w:r>
          </w:p>
        </w:tc>
        <w:tc>
          <w:tcPr>
            <w:tcW w:w="5386" w:type="dxa"/>
            <w:vAlign w:val="center"/>
          </w:tcPr>
          <w:p>
            <w:pPr>
              <w:pStyle w:val="13"/>
            </w:pPr>
            <w:r>
              <w:t>通过财政投资项目审计，达到节约财政资金的效果。</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社会效益增加值</w:t>
            </w:r>
          </w:p>
        </w:tc>
        <w:tc>
          <w:tcPr>
            <w:tcW w:w="5386" w:type="dxa"/>
            <w:vAlign w:val="center"/>
          </w:tcPr>
          <w:p>
            <w:pPr>
              <w:pStyle w:val="13"/>
            </w:pPr>
            <w:r>
              <w:t>通过项目开展对社会效益增加值</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维护党纪国家法规，持续推动廉风建设和腐败工作向纵向发展，有效遏制腐败现象</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项目单位等对审计监督情况整体满意度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16、综合指挥中心建设资金绩效目标表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13031324P00880110689B</w:t>
            </w:r>
          </w:p>
        </w:tc>
        <w:tc>
          <w:tcPr>
            <w:tcW w:w="2835" w:type="dxa"/>
            <w:vAlign w:val="center"/>
          </w:tcPr>
          <w:p>
            <w:pPr>
              <w:pStyle w:val="11"/>
            </w:pPr>
            <w:r>
              <w:t>项目名称</w:t>
            </w:r>
          </w:p>
        </w:tc>
        <w:tc>
          <w:tcPr>
            <w:tcW w:w="6094" w:type="dxa"/>
            <w:gridSpan w:val="3"/>
            <w:vAlign w:val="center"/>
          </w:tcPr>
          <w:p>
            <w:pPr>
              <w:pStyle w:val="13"/>
            </w:pPr>
            <w:r>
              <w:t>综合指挥中心建设资金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工管委值班工作，及时报告重要情况，传达和督促落实工管委领导指示，协助工管委领导做好需由工管委组织处理的突发事件应急处置工作。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保障重点视频会议专线数量</w:t>
            </w:r>
          </w:p>
        </w:tc>
        <w:tc>
          <w:tcPr>
            <w:tcW w:w="5386" w:type="dxa"/>
            <w:vAlign w:val="center"/>
          </w:tcPr>
          <w:p>
            <w:pPr>
              <w:pStyle w:val="13"/>
            </w:pPr>
            <w:r>
              <w:t>保障重点视频会议专线数量</w:t>
            </w:r>
          </w:p>
        </w:tc>
        <w:tc>
          <w:tcPr>
            <w:tcW w:w="2268" w:type="dxa"/>
            <w:vAlign w:val="center"/>
          </w:tcPr>
          <w:p>
            <w:pPr>
              <w:pStyle w:val="13"/>
            </w:pPr>
            <w:r>
              <w:t>≥3条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信号断点情况</w:t>
            </w:r>
          </w:p>
        </w:tc>
        <w:tc>
          <w:tcPr>
            <w:tcW w:w="5386" w:type="dxa"/>
            <w:vAlign w:val="center"/>
          </w:tcPr>
          <w:p>
            <w:pPr>
              <w:pStyle w:val="13"/>
            </w:pPr>
            <w:r>
              <w:t>信号断点情况</w:t>
            </w:r>
          </w:p>
        </w:tc>
        <w:tc>
          <w:tcPr>
            <w:tcW w:w="2268" w:type="dxa"/>
            <w:vAlign w:val="center"/>
          </w:tcPr>
          <w:p>
            <w:pPr>
              <w:pStyle w:val="13"/>
            </w:pPr>
            <w:r>
              <w:t>信号良好</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会议按时完成保障率</w:t>
            </w:r>
          </w:p>
        </w:tc>
        <w:tc>
          <w:tcPr>
            <w:tcW w:w="5386" w:type="dxa"/>
            <w:vAlign w:val="center"/>
          </w:tcPr>
          <w:p>
            <w:pPr>
              <w:pStyle w:val="13"/>
            </w:pPr>
            <w:r>
              <w:t>会议按时完成保障率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会议系统建设成本</w:t>
            </w:r>
          </w:p>
        </w:tc>
        <w:tc>
          <w:tcPr>
            <w:tcW w:w="5386" w:type="dxa"/>
            <w:vAlign w:val="center"/>
          </w:tcPr>
          <w:p>
            <w:pPr>
              <w:pStyle w:val="13"/>
            </w:pPr>
            <w:r>
              <w:t>会议系统建设成本</w:t>
            </w:r>
          </w:p>
        </w:tc>
        <w:tc>
          <w:tcPr>
            <w:tcW w:w="2268" w:type="dxa"/>
            <w:vAlign w:val="center"/>
          </w:tcPr>
          <w:p>
            <w:pPr>
              <w:pStyle w:val="13"/>
            </w:pPr>
            <w:r>
              <w:t>≤135万元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做突发事件应急处置工作</w:t>
            </w:r>
          </w:p>
        </w:tc>
        <w:tc>
          <w:tcPr>
            <w:tcW w:w="5386" w:type="dxa"/>
            <w:vAlign w:val="center"/>
          </w:tcPr>
          <w:p>
            <w:pPr>
              <w:pStyle w:val="13"/>
            </w:pPr>
            <w:r>
              <w:t>做突发事件应急处置工作</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通信资源合理配置率</w:t>
            </w:r>
          </w:p>
        </w:tc>
        <w:tc>
          <w:tcPr>
            <w:tcW w:w="5386" w:type="dxa"/>
            <w:vAlign w:val="center"/>
          </w:tcPr>
          <w:p>
            <w:pPr>
              <w:pStyle w:val="13"/>
            </w:pPr>
            <w:r>
              <w:t>通信资源合理配置率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17、纪检监察工作经费绩效目标表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13031324P00880510360X</w:t>
            </w:r>
          </w:p>
        </w:tc>
        <w:tc>
          <w:tcPr>
            <w:tcW w:w="2835" w:type="dxa"/>
            <w:vAlign w:val="center"/>
          </w:tcPr>
          <w:p>
            <w:pPr>
              <w:pStyle w:val="11"/>
            </w:pPr>
            <w:r>
              <w:t>项目名称</w:t>
            </w:r>
          </w:p>
        </w:tc>
        <w:tc>
          <w:tcPr>
            <w:tcW w:w="6094" w:type="dxa"/>
            <w:gridSpan w:val="3"/>
            <w:vAlign w:val="center"/>
          </w:tcPr>
          <w:p>
            <w:pPr>
              <w:pStyle w:val="13"/>
            </w:pPr>
            <w:r>
              <w:t>纪检监察工作经费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用于日常办公；北戴河新区村级“小微权力”监督平台运行维护费；查办中、省、市、区专项整治案件等工作。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1.通过积极发挥职能作用、加强党风廉政建设，营造风清气正、干事创业的工作氛围。</w:t>
            </w:r>
          </w:p>
          <w:p>
            <w:pPr>
              <w:pStyle w:val="13"/>
            </w:pPr>
            <w:r>
              <w:t>2.加大问责力度，促进“两个责任”有效落实。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专题研究党风廉政建设工作次数</w:t>
            </w:r>
          </w:p>
        </w:tc>
        <w:tc>
          <w:tcPr>
            <w:tcW w:w="5386" w:type="dxa"/>
            <w:vAlign w:val="center"/>
          </w:tcPr>
          <w:p>
            <w:pPr>
              <w:pStyle w:val="13"/>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全年实施监督检查次数</w:t>
            </w:r>
          </w:p>
        </w:tc>
        <w:tc>
          <w:tcPr>
            <w:tcW w:w="2268" w:type="dxa"/>
            <w:vAlign w:val="center"/>
          </w:tcPr>
          <w:p>
            <w:pPr>
              <w:pStyle w:val="13"/>
            </w:pPr>
            <w:r>
              <w:t>≥12次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四种形态处置情况</w:t>
            </w:r>
          </w:p>
        </w:tc>
        <w:tc>
          <w:tcPr>
            <w:tcW w:w="5386" w:type="dxa"/>
            <w:vAlign w:val="center"/>
          </w:tcPr>
          <w:p>
            <w:pPr>
              <w:pStyle w:val="13"/>
            </w:pPr>
            <w:r>
              <w:t>四种形态处置人数</w:t>
            </w:r>
          </w:p>
        </w:tc>
        <w:tc>
          <w:tcPr>
            <w:tcW w:w="2268" w:type="dxa"/>
            <w:vAlign w:val="center"/>
          </w:tcPr>
          <w:p>
            <w:pPr>
              <w:pStyle w:val="13"/>
            </w:pPr>
            <w:r>
              <w:t>≥10人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廉政宣传次数</w:t>
            </w:r>
          </w:p>
        </w:tc>
        <w:tc>
          <w:tcPr>
            <w:tcW w:w="5386" w:type="dxa"/>
            <w:vAlign w:val="center"/>
          </w:tcPr>
          <w:p>
            <w:pPr>
              <w:pStyle w:val="13"/>
            </w:pPr>
            <w:r>
              <w:t>开展廉政宣传教育、发布廉政之声微信公众号</w:t>
            </w:r>
          </w:p>
        </w:tc>
        <w:tc>
          <w:tcPr>
            <w:tcW w:w="2268" w:type="dxa"/>
            <w:vAlign w:val="center"/>
          </w:tcPr>
          <w:p>
            <w:pPr>
              <w:pStyle w:val="13"/>
            </w:pPr>
            <w:r>
              <w:t>≥50次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受理信访举报问题线索清零比率</w:t>
            </w:r>
          </w:p>
        </w:tc>
        <w:tc>
          <w:tcPr>
            <w:tcW w:w="5386" w:type="dxa"/>
            <w:vAlign w:val="center"/>
          </w:tcPr>
          <w:p>
            <w:pPr>
              <w:pStyle w:val="13"/>
            </w:pPr>
            <w:r>
              <w:t>受理对纪检监察对象违反党政纪律行为的控告、检举及不服党纪、政纪处理的申诉</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≤50万元</w:t>
            </w:r>
          </w:p>
        </w:tc>
        <w:tc>
          <w:tcPr>
            <w:tcW w:w="1276"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群众对问题线索办理情况满意度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2377.83</w:t>
            </w:r>
          </w:p>
        </w:tc>
        <w:tc>
          <w:tcPr>
            <w:tcW w:w="964" w:type="dxa"/>
            <w:vAlign w:val="center"/>
          </w:tcPr>
          <w:p>
            <w:pPr>
              <w:pStyle w:val="16"/>
            </w:pPr>
            <w:r>
              <w:t>2377.83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秦皇岛北戴河新区综合办公室本级小计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2372.68</w:t>
            </w:r>
          </w:p>
        </w:tc>
        <w:tc>
          <w:tcPr>
            <w:tcW w:w="964" w:type="dxa"/>
            <w:vAlign w:val="center"/>
          </w:tcPr>
          <w:p>
            <w:pPr>
              <w:pStyle w:val="16"/>
            </w:pPr>
            <w:r>
              <w:t>2372.68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2372.68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740.00</w:t>
            </w:r>
          </w:p>
        </w:tc>
        <w:tc>
          <w:tcPr>
            <w:tcW w:w="964" w:type="dxa"/>
            <w:vAlign w:val="center"/>
          </w:tcPr>
          <w:p>
            <w:pPr>
              <w:pStyle w:val="12"/>
            </w:pPr>
            <w:r>
              <w:t>740.00</w:t>
            </w:r>
          </w:p>
        </w:tc>
        <w:tc>
          <w:tcPr>
            <w:tcW w:w="964" w:type="dxa"/>
            <w:vAlign w:val="center"/>
          </w:tcPr>
          <w:p>
            <w:pPr>
              <w:pStyle w:val="12"/>
            </w:pPr>
            <w:r>
              <w:t>740.00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546.98</w:t>
            </w:r>
          </w:p>
        </w:tc>
        <w:tc>
          <w:tcPr>
            <w:tcW w:w="1134" w:type="dxa"/>
            <w:vAlign w:val="center"/>
          </w:tcPr>
          <w:p>
            <w:pPr>
              <w:pStyle w:val="13"/>
            </w:pPr>
            <w:r>
              <w:t>其他煤气、水煤气、发生炉煤气和类似的可燃气</w:t>
            </w:r>
          </w:p>
        </w:tc>
        <w:tc>
          <w:tcPr>
            <w:tcW w:w="1134" w:type="dxa"/>
            <w:vAlign w:val="center"/>
          </w:tcPr>
          <w:p>
            <w:pPr>
              <w:pStyle w:val="13"/>
            </w:pPr>
            <w:r>
              <w:t>A07050299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546.98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3.48</w:t>
            </w:r>
          </w:p>
        </w:tc>
        <w:tc>
          <w:tcPr>
            <w:tcW w:w="964" w:type="dxa"/>
            <w:vAlign w:val="center"/>
          </w:tcPr>
          <w:p>
            <w:pPr>
              <w:pStyle w:val="12"/>
            </w:pPr>
            <w:r>
              <w:t>3.48</w:t>
            </w:r>
          </w:p>
        </w:tc>
        <w:tc>
          <w:tcPr>
            <w:tcW w:w="964" w:type="dxa"/>
            <w:vAlign w:val="center"/>
          </w:tcPr>
          <w:p>
            <w:pPr>
              <w:pStyle w:val="12"/>
            </w:pPr>
            <w:r>
              <w:t>3.48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办公用房租赁费</w:t>
            </w:r>
          </w:p>
        </w:tc>
        <w:tc>
          <w:tcPr>
            <w:tcW w:w="964" w:type="dxa"/>
            <w:vAlign w:val="center"/>
          </w:tcPr>
          <w:p>
            <w:pPr>
              <w:pStyle w:val="12"/>
            </w:pPr>
            <w:r>
              <w:t>451.00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451.00</w:t>
            </w:r>
          </w:p>
        </w:tc>
        <w:tc>
          <w:tcPr>
            <w:tcW w:w="964" w:type="dxa"/>
            <w:vAlign w:val="center"/>
          </w:tcPr>
          <w:p>
            <w:pPr>
              <w:pStyle w:val="12"/>
            </w:pPr>
            <w:r>
              <w:t>451.00</w:t>
            </w:r>
          </w:p>
        </w:tc>
        <w:tc>
          <w:tcPr>
            <w:tcW w:w="964" w:type="dxa"/>
            <w:vAlign w:val="center"/>
          </w:tcPr>
          <w:p>
            <w:pPr>
              <w:pStyle w:val="12"/>
            </w:pPr>
            <w:r>
              <w:t>451.00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网络通讯运行维护费</w:t>
            </w:r>
          </w:p>
        </w:tc>
        <w:tc>
          <w:tcPr>
            <w:tcW w:w="964" w:type="dxa"/>
            <w:vAlign w:val="center"/>
          </w:tcPr>
          <w:p>
            <w:pPr>
              <w:pStyle w:val="12"/>
            </w:pPr>
            <w:r>
              <w:t>320.00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网络通讯运行维护费</w:t>
            </w:r>
          </w:p>
        </w:tc>
        <w:tc>
          <w:tcPr>
            <w:tcW w:w="964" w:type="dxa"/>
            <w:vAlign w:val="center"/>
          </w:tcPr>
          <w:p>
            <w:pPr>
              <w:pStyle w:val="12"/>
            </w:pPr>
            <w:r>
              <w:t>320.00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275.00</w:t>
            </w:r>
          </w:p>
        </w:tc>
        <w:tc>
          <w:tcPr>
            <w:tcW w:w="964" w:type="dxa"/>
            <w:vAlign w:val="center"/>
          </w:tcPr>
          <w:p>
            <w:pPr>
              <w:pStyle w:val="12"/>
            </w:pPr>
            <w:r>
              <w:t>275.00</w:t>
            </w:r>
          </w:p>
        </w:tc>
        <w:tc>
          <w:tcPr>
            <w:tcW w:w="964" w:type="dxa"/>
            <w:vAlign w:val="center"/>
          </w:tcPr>
          <w:p>
            <w:pPr>
              <w:pStyle w:val="12"/>
            </w:pPr>
            <w:r>
              <w:t>275.00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机关运行保障经费</w:t>
            </w:r>
          </w:p>
        </w:tc>
        <w:tc>
          <w:tcPr>
            <w:tcW w:w="964" w:type="dxa"/>
            <w:vAlign w:val="center"/>
          </w:tcPr>
          <w:p>
            <w:pPr>
              <w:pStyle w:val="12"/>
            </w:pPr>
            <w:r>
              <w:t>600.00</w:t>
            </w:r>
          </w:p>
        </w:tc>
        <w:tc>
          <w:tcPr>
            <w:tcW w:w="1134" w:type="dxa"/>
            <w:vAlign w:val="center"/>
          </w:tcPr>
          <w:p>
            <w:pPr>
              <w:pStyle w:val="13"/>
            </w:pPr>
            <w:r>
              <w:t>餐饮服务</w:t>
            </w:r>
          </w:p>
        </w:tc>
        <w:tc>
          <w:tcPr>
            <w:tcW w:w="1134" w:type="dxa"/>
            <w:vAlign w:val="center"/>
          </w:tcPr>
          <w:p>
            <w:pPr>
              <w:pStyle w:val="13"/>
            </w:pPr>
            <w:r>
              <w:t>C22040000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513.00</w:t>
            </w:r>
          </w:p>
        </w:tc>
        <w:tc>
          <w:tcPr>
            <w:tcW w:w="964" w:type="dxa"/>
            <w:vAlign w:val="center"/>
          </w:tcPr>
          <w:p>
            <w:pPr>
              <w:pStyle w:val="12"/>
            </w:pPr>
            <w:r>
              <w:t>513.00</w:t>
            </w:r>
          </w:p>
        </w:tc>
        <w:tc>
          <w:tcPr>
            <w:tcW w:w="964" w:type="dxa"/>
            <w:vAlign w:val="center"/>
          </w:tcPr>
          <w:p>
            <w:pPr>
              <w:pStyle w:val="12"/>
            </w:pPr>
            <w:r>
              <w:t>513.00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物业管理服务费</w:t>
            </w:r>
          </w:p>
        </w:tc>
        <w:tc>
          <w:tcPr>
            <w:tcW w:w="964" w:type="dxa"/>
            <w:vAlign w:val="center"/>
          </w:tcPr>
          <w:p>
            <w:pPr>
              <w:pStyle w:val="12"/>
            </w:pPr>
            <w:r>
              <w:t>278.00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278.00</w:t>
            </w:r>
          </w:p>
        </w:tc>
        <w:tc>
          <w:tcPr>
            <w:tcW w:w="964" w:type="dxa"/>
            <w:vAlign w:val="center"/>
          </w:tcPr>
          <w:p>
            <w:pPr>
              <w:pStyle w:val="12"/>
            </w:pPr>
            <w:r>
              <w:t>278.00</w:t>
            </w:r>
          </w:p>
        </w:tc>
        <w:tc>
          <w:tcPr>
            <w:tcW w:w="964" w:type="dxa"/>
            <w:vAlign w:val="center"/>
          </w:tcPr>
          <w:p>
            <w:pPr>
              <w:pStyle w:val="12"/>
            </w:pPr>
            <w:r>
              <w:t>278.00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秦皇岛北戴河新区廉政办小计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5.15</w:t>
            </w:r>
          </w:p>
        </w:tc>
        <w:tc>
          <w:tcPr>
            <w:tcW w:w="964" w:type="dxa"/>
            <w:vAlign w:val="center"/>
          </w:tcPr>
          <w:p>
            <w:pPr>
              <w:pStyle w:val="16"/>
            </w:pPr>
            <w:r>
              <w:t>5.15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13.16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13.16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万元</w:t>
            </w:r>
          </w:p>
        </w:tc>
        <w:tc>
          <w:tcPr>
            <w:tcW w:w="850" w:type="dxa"/>
            <w:vAlign w:val="center"/>
          </w:tcPr>
          <w:p>
            <w:pPr>
              <w:pStyle w:val="12"/>
            </w:pPr>
            <w:r>
              <w:t>3</w:t>
            </w:r>
          </w:p>
        </w:tc>
        <w:tc>
          <w:tcPr>
            <w:tcW w:w="850" w:type="dxa"/>
            <w:vAlign w:val="center"/>
          </w:tcPr>
          <w:p>
            <w:pPr>
              <w:pStyle w:val="12"/>
            </w:pPr>
            <w:r>
              <w:t>0.09</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0.28</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秦皇岛北戴河新区综合办公室（含所属单位）上年末固定资产金额为1365.48万元（详见下表）。本年度拟购置固定资产总额为8.50万元，已按要求列入政府采购预算，详见政府采购预算表。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1365.48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12</w:t>
            </w:r>
          </w:p>
        </w:tc>
        <w:tc>
          <w:tcPr>
            <w:tcW w:w="2835" w:type="dxa"/>
            <w:vAlign w:val="center"/>
          </w:tcPr>
          <w:p>
            <w:pPr>
              <w:pStyle w:val="12"/>
            </w:pPr>
            <w:r>
              <w:t>235.65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97.26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2893</w:t>
            </w:r>
          </w:p>
        </w:tc>
        <w:tc>
          <w:tcPr>
            <w:tcW w:w="2835" w:type="dxa"/>
            <w:vAlign w:val="center"/>
          </w:tcPr>
          <w:p>
            <w:pPr>
              <w:pStyle w:val="12"/>
            </w:pPr>
            <w:r>
              <w:t>1032.57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8E5C"/>
    <w:multiLevelType w:val="singleLevel"/>
    <w:tmpl w:val="03768E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572DE7"/>
    <w:rsid w:val="02B4769E"/>
    <w:rsid w:val="0B5376C3"/>
    <w:rsid w:val="0B654799"/>
    <w:rsid w:val="0D6C0E40"/>
    <w:rsid w:val="119B1B08"/>
    <w:rsid w:val="133220CE"/>
    <w:rsid w:val="1E21652D"/>
    <w:rsid w:val="1FEE0DF1"/>
    <w:rsid w:val="2988102D"/>
    <w:rsid w:val="2CA6548C"/>
    <w:rsid w:val="2D456751"/>
    <w:rsid w:val="3473514C"/>
    <w:rsid w:val="394C4842"/>
    <w:rsid w:val="3EA52A93"/>
    <w:rsid w:val="3EF44F7C"/>
    <w:rsid w:val="41013D78"/>
    <w:rsid w:val="41E400AF"/>
    <w:rsid w:val="48D31DC0"/>
    <w:rsid w:val="4D1F5175"/>
    <w:rsid w:val="4EE66F4A"/>
    <w:rsid w:val="57F62F7B"/>
    <w:rsid w:val="59FC5B49"/>
    <w:rsid w:val="5DA16A24"/>
    <w:rsid w:val="60DA2C4D"/>
    <w:rsid w:val="63731F35"/>
    <w:rsid w:val="67F40E39"/>
    <w:rsid w:val="6DDC6F6C"/>
    <w:rsid w:val="75352827"/>
    <w:rsid w:val="7BB54988"/>
    <w:rsid w:val="7BB5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2024-02-28T14:51:52Z</dcterms:created>
  <dcterms:modified xsi:type="dcterms:W3CDTF">2024-02-28T06:51:52Z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2024-02-28T14:51:49Z</dcterms:created>
  <dcterms:modified xsi:type="dcterms:W3CDTF">2024-02-28T06:51:49Z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2024-02-28T14:51:56Z</dcterms:created>
  <dcterms:modified xsi:type="dcterms:W3CDTF">2024-02-28T06:51:56Z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2024-02-28T14:51:52Z</dcterms:created>
  <dcterms:modified xsi:type="dcterms:W3CDTF">2024-02-28T06:51:52Z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Props1.xml><?xml version="1.0" encoding="utf-8"?>
<ds:datastoreItem xmlns:ds="http://schemas.openxmlformats.org/officeDocument/2006/customXml" ds:itemID="{51521c98-5ff0-4bdf-8398-59560319624a}">
  <ds:schemaRefs/>
</ds:datastoreItem>
</file>

<file path=customXml/itemProps10.xml><?xml version="1.0" encoding="utf-8"?>
<ds:datastoreItem xmlns:ds="http://schemas.openxmlformats.org/officeDocument/2006/customXml" ds:itemID="{eb55f02a-42b7-45b9-bc00-26af89779357}">
  <ds:schemaRefs/>
</ds:datastoreItem>
</file>

<file path=customXml/itemProps11.xml><?xml version="1.0" encoding="utf-8"?>
<ds:datastoreItem xmlns:ds="http://schemas.openxmlformats.org/officeDocument/2006/customXml" ds:itemID="{a083c52c-9c68-42ce-a9e4-43b51101b6a8}">
  <ds:schemaRefs/>
</ds:datastoreItem>
</file>

<file path=customXml/itemProps12.xml><?xml version="1.0" encoding="utf-8"?>
<ds:datastoreItem xmlns:ds="http://schemas.openxmlformats.org/officeDocument/2006/customXml" ds:itemID="{86db789d-1623-4a88-936e-b0113e610449}">
  <ds:schemaRefs/>
</ds:datastoreItem>
</file>

<file path=customXml/itemProps13.xml><?xml version="1.0" encoding="utf-8"?>
<ds:datastoreItem xmlns:ds="http://schemas.openxmlformats.org/officeDocument/2006/customXml" ds:itemID="{942db845-834c-4b59-9a0a-9f6f79cac204}">
  <ds:schemaRefs/>
</ds:datastoreItem>
</file>

<file path=customXml/itemProps14.xml><?xml version="1.0" encoding="utf-8"?>
<ds:datastoreItem xmlns:ds="http://schemas.openxmlformats.org/officeDocument/2006/customXml" ds:itemID="{d210b737-619a-423c-8cb0-f48cd081c0f3}">
  <ds:schemaRefs/>
</ds:datastoreItem>
</file>

<file path=customXml/itemProps15.xml><?xml version="1.0" encoding="utf-8"?>
<ds:datastoreItem xmlns:ds="http://schemas.openxmlformats.org/officeDocument/2006/customXml" ds:itemID="{62cb60b7-78c9-41d7-a534-ca4b8d2be9b1}">
  <ds:schemaRefs/>
</ds:datastoreItem>
</file>

<file path=customXml/itemProps16.xml><?xml version="1.0" encoding="utf-8"?>
<ds:datastoreItem xmlns:ds="http://schemas.openxmlformats.org/officeDocument/2006/customXml" ds:itemID="{d25360ad-d4d0-4c21-81ac-7a41c1987cfe}">
  <ds:schemaRefs/>
</ds:datastoreItem>
</file>

<file path=customXml/itemProps17.xml><?xml version="1.0" encoding="utf-8"?>
<ds:datastoreItem xmlns:ds="http://schemas.openxmlformats.org/officeDocument/2006/customXml" ds:itemID="{47c9b3a6-fa2e-4e00-ae51-69805ef6f28e}">
  <ds:schemaRefs/>
</ds:datastoreItem>
</file>

<file path=customXml/itemProps18.xml><?xml version="1.0" encoding="utf-8"?>
<ds:datastoreItem xmlns:ds="http://schemas.openxmlformats.org/officeDocument/2006/customXml" ds:itemID="{e5ea01bf-37f3-47f9-afa7-1241ee9582bb}">
  <ds:schemaRefs/>
</ds:datastoreItem>
</file>

<file path=customXml/itemProps19.xml><?xml version="1.0" encoding="utf-8"?>
<ds:datastoreItem xmlns:ds="http://schemas.openxmlformats.org/officeDocument/2006/customXml" ds:itemID="{2eccc6be-67a3-4c7c-aa01-0811dfafdfb3}">
  <ds:schemaRefs/>
</ds:datastoreItem>
</file>

<file path=customXml/itemProps2.xml><?xml version="1.0" encoding="utf-8"?>
<ds:datastoreItem xmlns:ds="http://schemas.openxmlformats.org/officeDocument/2006/customXml" ds:itemID="{3b6bf9bd-f6d5-42f7-b416-3108649a3de9}">
  <ds:schemaRefs/>
</ds:datastoreItem>
</file>

<file path=customXml/itemProps20.xml><?xml version="1.0" encoding="utf-8"?>
<ds:datastoreItem xmlns:ds="http://schemas.openxmlformats.org/officeDocument/2006/customXml" ds:itemID="{a1a9d6da-f2f8-44b4-a141-fb540c78eb36}">
  <ds:schemaRefs/>
</ds:datastoreItem>
</file>

<file path=customXml/itemProps21.xml><?xml version="1.0" encoding="utf-8"?>
<ds:datastoreItem xmlns:ds="http://schemas.openxmlformats.org/officeDocument/2006/customXml" ds:itemID="{524100d3-bd75-4ea7-a05a-bdef0b13b72b}">
  <ds:schemaRefs/>
</ds:datastoreItem>
</file>

<file path=customXml/itemProps22.xml><?xml version="1.0" encoding="utf-8"?>
<ds:datastoreItem xmlns:ds="http://schemas.openxmlformats.org/officeDocument/2006/customXml" ds:itemID="{2a060ea8-abbd-415f-bff7-4a147ebdc6ed}">
  <ds:schemaRefs/>
</ds:datastoreItem>
</file>

<file path=customXml/itemProps23.xml><?xml version="1.0" encoding="utf-8"?>
<ds:datastoreItem xmlns:ds="http://schemas.openxmlformats.org/officeDocument/2006/customXml" ds:itemID="{da66a84c-e2d3-41fc-a510-1057ba47280f}">
  <ds:schemaRefs/>
</ds:datastoreItem>
</file>

<file path=customXml/itemProps24.xml><?xml version="1.0" encoding="utf-8"?>
<ds:datastoreItem xmlns:ds="http://schemas.openxmlformats.org/officeDocument/2006/customXml" ds:itemID="{e5673ddb-8736-4773-8c71-b049e0e0eb64}">
  <ds:schemaRefs/>
</ds:datastoreItem>
</file>

<file path=customXml/itemProps25.xml><?xml version="1.0" encoding="utf-8"?>
<ds:datastoreItem xmlns:ds="http://schemas.openxmlformats.org/officeDocument/2006/customXml" ds:itemID="{17b690d9-ed26-467e-9162-50e1b0197a0a}">
  <ds:schemaRefs/>
</ds:datastoreItem>
</file>

<file path=customXml/itemProps26.xml><?xml version="1.0" encoding="utf-8"?>
<ds:datastoreItem xmlns:ds="http://schemas.openxmlformats.org/officeDocument/2006/customXml" ds:itemID="{cc960bb4-d62e-47ab-b353-09a996931370}">
  <ds:schemaRefs/>
</ds:datastoreItem>
</file>

<file path=customXml/itemProps27.xml><?xml version="1.0" encoding="utf-8"?>
<ds:datastoreItem xmlns:ds="http://schemas.openxmlformats.org/officeDocument/2006/customXml" ds:itemID="{80aad59f-0bfa-4fbd-a33e-a6fba6131fd0}">
  <ds:schemaRefs/>
</ds:datastoreItem>
</file>

<file path=customXml/itemProps28.xml><?xml version="1.0" encoding="utf-8"?>
<ds:datastoreItem xmlns:ds="http://schemas.openxmlformats.org/officeDocument/2006/customXml" ds:itemID="{8a3be39a-ccdf-499f-97e6-6a34a1eaf523}">
  <ds:schemaRefs/>
</ds:datastoreItem>
</file>

<file path=customXml/itemProps29.xml><?xml version="1.0" encoding="utf-8"?>
<ds:datastoreItem xmlns:ds="http://schemas.openxmlformats.org/officeDocument/2006/customXml" ds:itemID="{6ac3b264-824d-40ff-8db8-6eacabf0fc0e}">
  <ds:schemaRefs/>
</ds:datastoreItem>
</file>

<file path=customXml/itemProps3.xml><?xml version="1.0" encoding="utf-8"?>
<ds:datastoreItem xmlns:ds="http://schemas.openxmlformats.org/officeDocument/2006/customXml" ds:itemID="{6bc60fc9-3424-49ac-a0be-380ba3d52b96}">
  <ds:schemaRefs/>
</ds:datastoreItem>
</file>

<file path=customXml/itemProps30.xml><?xml version="1.0" encoding="utf-8"?>
<ds:datastoreItem xmlns:ds="http://schemas.openxmlformats.org/officeDocument/2006/customXml" ds:itemID="{a6b10a32-1472-4869-83b8-17ccecdaaf9a}">
  <ds:schemaRefs/>
</ds:datastoreItem>
</file>

<file path=customXml/itemProps31.xml><?xml version="1.0" encoding="utf-8"?>
<ds:datastoreItem xmlns:ds="http://schemas.openxmlformats.org/officeDocument/2006/customXml" ds:itemID="{ddcaa2c2-5650-4231-9d8b-a0651ad2ddf5}">
  <ds:schemaRefs/>
</ds:datastoreItem>
</file>

<file path=customXml/itemProps32.xml><?xml version="1.0" encoding="utf-8"?>
<ds:datastoreItem xmlns:ds="http://schemas.openxmlformats.org/officeDocument/2006/customXml" ds:itemID="{d3d50805-2440-4015-a58d-2741712aa331}">
  <ds:schemaRefs/>
</ds:datastoreItem>
</file>

<file path=customXml/itemProps33.xml><?xml version="1.0" encoding="utf-8"?>
<ds:datastoreItem xmlns:ds="http://schemas.openxmlformats.org/officeDocument/2006/customXml" ds:itemID="{0e8ae8c3-a162-40bf-99f1-eea3d63805eb}">
  <ds:schemaRefs/>
</ds:datastoreItem>
</file>

<file path=customXml/itemProps34.xml><?xml version="1.0" encoding="utf-8"?>
<ds:datastoreItem xmlns:ds="http://schemas.openxmlformats.org/officeDocument/2006/customXml" ds:itemID="{ad4f1bee-8c6c-4335-9cfa-945b2016053e}">
  <ds:schemaRefs/>
</ds:datastoreItem>
</file>

<file path=customXml/itemProps35.xml><?xml version="1.0" encoding="utf-8"?>
<ds:datastoreItem xmlns:ds="http://schemas.openxmlformats.org/officeDocument/2006/customXml" ds:itemID="{d90b7aa6-3203-4728-9efd-20ecffab8ef2}">
  <ds:schemaRefs/>
</ds:datastoreItem>
</file>

<file path=customXml/itemProps36.xml><?xml version="1.0" encoding="utf-8"?>
<ds:datastoreItem xmlns:ds="http://schemas.openxmlformats.org/officeDocument/2006/customXml" ds:itemID="{f89792a0-8c62-4d17-87c5-aa2987146f8e}">
  <ds:schemaRefs/>
</ds:datastoreItem>
</file>

<file path=customXml/itemProps37.xml><?xml version="1.0" encoding="utf-8"?>
<ds:datastoreItem xmlns:ds="http://schemas.openxmlformats.org/officeDocument/2006/customXml" ds:itemID="{73a23de6-4a6e-4850-9bc4-5eda8175bebc}">
  <ds:schemaRefs/>
</ds:datastoreItem>
</file>

<file path=customXml/itemProps38.xml><?xml version="1.0" encoding="utf-8"?>
<ds:datastoreItem xmlns:ds="http://schemas.openxmlformats.org/officeDocument/2006/customXml" ds:itemID="{779bfec5-b50c-46a3-98b0-c576903a7fdd}">
  <ds:schemaRefs/>
</ds:datastoreItem>
</file>

<file path=customXml/itemProps39.xml><?xml version="1.0" encoding="utf-8"?>
<ds:datastoreItem xmlns:ds="http://schemas.openxmlformats.org/officeDocument/2006/customXml" ds:itemID="{5e61d0e3-22cb-413b-a5ca-e399760fcaf6}">
  <ds:schemaRefs/>
</ds:datastoreItem>
</file>

<file path=customXml/itemProps4.xml><?xml version="1.0" encoding="utf-8"?>
<ds:datastoreItem xmlns:ds="http://schemas.openxmlformats.org/officeDocument/2006/customXml" ds:itemID="{e0b0cbbb-11ef-421f-bf8a-aa4dba890657}">
  <ds:schemaRefs/>
</ds:datastoreItem>
</file>

<file path=customXml/itemProps40.xml><?xml version="1.0" encoding="utf-8"?>
<ds:datastoreItem xmlns:ds="http://schemas.openxmlformats.org/officeDocument/2006/customXml" ds:itemID="{fb0cc9db-fe8d-443e-ac90-c0428f827c61}">
  <ds:schemaRefs/>
</ds:datastoreItem>
</file>

<file path=customXml/itemProps41.xml><?xml version="1.0" encoding="utf-8"?>
<ds:datastoreItem xmlns:ds="http://schemas.openxmlformats.org/officeDocument/2006/customXml" ds:itemID="{29889dc9-2cfa-4902-a328-5f3d2dae8555}">
  <ds:schemaRefs/>
</ds:datastoreItem>
</file>

<file path=customXml/itemProps42.xml><?xml version="1.0" encoding="utf-8"?>
<ds:datastoreItem xmlns:ds="http://schemas.openxmlformats.org/officeDocument/2006/customXml" ds:itemID="{fee87f1a-e57c-4838-9725-025e4c08a79c}">
  <ds:schemaRefs/>
</ds:datastoreItem>
</file>

<file path=customXml/itemProps5.xml><?xml version="1.0" encoding="utf-8"?>
<ds:datastoreItem xmlns:ds="http://schemas.openxmlformats.org/officeDocument/2006/customXml" ds:itemID="{4ef9665b-d2f2-4241-9310-e62f1d7f3c3d}">
  <ds:schemaRefs/>
</ds:datastoreItem>
</file>

<file path=customXml/itemProps6.xml><?xml version="1.0" encoding="utf-8"?>
<ds:datastoreItem xmlns:ds="http://schemas.openxmlformats.org/officeDocument/2006/customXml" ds:itemID="{25298949-2fa1-4356-8a63-0a812cd9bcac}">
  <ds:schemaRefs/>
</ds:datastoreItem>
</file>

<file path=customXml/itemProps7.xml><?xml version="1.0" encoding="utf-8"?>
<ds:datastoreItem xmlns:ds="http://schemas.openxmlformats.org/officeDocument/2006/customXml" ds:itemID="{e2b97889-78f0-4ed0-b39b-eaed79c591db}">
  <ds:schemaRefs/>
</ds:datastoreItem>
</file>

<file path=customXml/itemProps8.xml><?xml version="1.0" encoding="utf-8"?>
<ds:datastoreItem xmlns:ds="http://schemas.openxmlformats.org/officeDocument/2006/customXml" ds:itemID="{b1655ad4-e4d4-4e48-af5d-985e72cb9117}">
  <ds:schemaRefs/>
</ds:datastoreItem>
</file>

<file path=customXml/itemProps9.xml><?xml version="1.0" encoding="utf-8"?>
<ds:datastoreItem xmlns:ds="http://schemas.openxmlformats.org/officeDocument/2006/customXml" ds:itemID="{a4ea6f24-bbc5-4442-9578-b378f57720c5}">
  <ds:schemaRefs/>
</ds:datastoreItem>
</file>

<file path=docProps/app.xml><?xml version="1.0" encoding="utf-8"?>
<Properties xmlns="http://schemas.openxmlformats.org/officeDocument/2006/extended-properties" xmlns:vt="http://schemas.openxmlformats.org/officeDocument/2006/docPropsVTypes">
  <Pages>73</Pages>
  <Words>18918</Words>
  <Characters>22922</Characters>
  <TotalTime>3</TotalTime>
  <ScaleCrop>false</ScaleCrop>
  <LinksUpToDate>false</LinksUpToDate>
  <CharactersWithSpaces>23563</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2024-02-28T14:51:00Z</dcterms:created>
  <dc:creator>Administrator</dc:creator>
  <cp:lastModifiedBy>CC</cp:lastModifiedBy>
  <dcterms:modified xsi:type="dcterms:W3CDTF">2025-09-12T01:35:57Z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0B3832DDE4C64619AF3A590E366F09FB</vt:lpwstr>
  </property>
</Properties>
</file>