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一、秦皇岛北戴河新区留守营管理处本级收支预算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一、秦皇岛北戴河新区留守营管理处本级收支预算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1528.08</w:t>
            </w:r>
          </w:p>
        </w:tc>
        <w:tc>
          <w:tcPr>
            <w:tcW w:w="4535" w:type="dxa"/>
            <w:vAlign w:val="center"/>
          </w:tcPr>
          <w:p>
            <w:pPr>
              <w:pStyle w:val="12"/>
            </w:pPr>
            <w:r>
              <w:t>一、一般公共服务支出</w:t>
            </w:r>
          </w:p>
        </w:tc>
        <w:tc>
          <w:tcPr>
            <w:tcW w:w="2126" w:type="dxa"/>
            <w:vAlign w:val="center"/>
          </w:tcPr>
          <w:p>
            <w:pPr>
              <w:pStyle w:val="11"/>
            </w:pPr>
            <w:r>
              <w:t>736.81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641.08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1528.08</w:t>
            </w:r>
          </w:p>
        </w:tc>
        <w:tc>
          <w:tcPr>
            <w:tcW w:w="4535" w:type="dxa"/>
            <w:vAlign w:val="center"/>
          </w:tcPr>
          <w:p>
            <w:pPr>
              <w:pStyle w:val="14"/>
            </w:pPr>
            <w:r>
              <w:t>本年支出合计</w:t>
            </w:r>
          </w:p>
        </w:tc>
        <w:tc>
          <w:tcPr>
            <w:tcW w:w="2126" w:type="dxa"/>
            <w:vAlign w:val="center"/>
          </w:tcPr>
          <w:p>
            <w:pPr>
              <w:pStyle w:val="15"/>
            </w:pPr>
            <w:r>
              <w:t>1648.74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120.66</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1648.74</w:t>
            </w:r>
          </w:p>
        </w:tc>
        <w:tc>
          <w:tcPr>
            <w:tcW w:w="4535" w:type="dxa"/>
            <w:vAlign w:val="center"/>
          </w:tcPr>
          <w:p>
            <w:pPr>
              <w:pStyle w:val="14"/>
            </w:pPr>
            <w:r>
              <w:t>支出总计</w:t>
            </w:r>
          </w:p>
        </w:tc>
        <w:tc>
          <w:tcPr>
            <w:tcW w:w="2126" w:type="dxa"/>
            <w:vAlign w:val="center"/>
          </w:tcPr>
          <w:p>
            <w:pPr>
              <w:pStyle w:val="15"/>
            </w:pPr>
            <w:r>
              <w:t>1648.74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1648.74</w:t>
            </w:r>
          </w:p>
        </w:tc>
        <w:tc>
          <w:tcPr>
            <w:tcW w:w="1134" w:type="dxa"/>
            <w:vAlign w:val="center"/>
          </w:tcPr>
          <w:p>
            <w:pPr>
              <w:pStyle w:val="15"/>
            </w:pPr>
            <w:r>
              <w:t>1528.08</w:t>
            </w:r>
          </w:p>
        </w:tc>
        <w:tc>
          <w:tcPr>
            <w:tcW w:w="1134" w:type="dxa"/>
            <w:vAlign w:val="center"/>
          </w:tcPr>
          <w:p>
            <w:pPr>
              <w:pStyle w:val="15"/>
            </w:pPr>
            <w:r>
              <w:t>1528.08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736.81</w:t>
            </w:r>
          </w:p>
        </w:tc>
        <w:tc>
          <w:tcPr>
            <w:tcW w:w="1134" w:type="dxa"/>
            <w:vAlign w:val="center"/>
          </w:tcPr>
          <w:p>
            <w:pPr>
              <w:pStyle w:val="11"/>
            </w:pPr>
            <w:r>
              <w:t>736.81</w:t>
            </w:r>
          </w:p>
        </w:tc>
        <w:tc>
          <w:tcPr>
            <w:tcW w:w="1134" w:type="dxa"/>
            <w:vAlign w:val="center"/>
          </w:tcPr>
          <w:p>
            <w:pPr>
              <w:pStyle w:val="11"/>
            </w:pPr>
            <w:r>
              <w:t>736.81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721.81</w:t>
            </w:r>
          </w:p>
        </w:tc>
        <w:tc>
          <w:tcPr>
            <w:tcW w:w="1134" w:type="dxa"/>
            <w:vAlign w:val="center"/>
          </w:tcPr>
          <w:p>
            <w:pPr>
              <w:pStyle w:val="11"/>
            </w:pPr>
            <w:r>
              <w:t>721.81</w:t>
            </w:r>
          </w:p>
        </w:tc>
        <w:tc>
          <w:tcPr>
            <w:tcW w:w="1134" w:type="dxa"/>
            <w:vAlign w:val="center"/>
          </w:tcPr>
          <w:p>
            <w:pPr>
              <w:pStyle w:val="11"/>
            </w:pPr>
            <w:r>
              <w:t>721.81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696.81</w:t>
            </w:r>
          </w:p>
        </w:tc>
        <w:tc>
          <w:tcPr>
            <w:tcW w:w="1134" w:type="dxa"/>
            <w:vAlign w:val="center"/>
          </w:tcPr>
          <w:p>
            <w:pPr>
              <w:pStyle w:val="11"/>
            </w:pPr>
            <w:r>
              <w:t>696.81</w:t>
            </w:r>
          </w:p>
        </w:tc>
        <w:tc>
          <w:tcPr>
            <w:tcW w:w="1134" w:type="dxa"/>
            <w:vAlign w:val="center"/>
          </w:tcPr>
          <w:p>
            <w:pPr>
              <w:pStyle w:val="11"/>
            </w:pPr>
            <w:r>
              <w:t>696.81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9.15</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7.10</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2.05</w:t>
            </w:r>
          </w:p>
        </w:tc>
        <w:tc>
          <w:tcPr>
            <w:tcW w:w="1134" w:type="dxa"/>
            <w:vAlign w:val="center"/>
          </w:tcPr>
          <w:p>
            <w:pPr>
              <w:pStyle w:val="11"/>
            </w:pPr>
            <w:r>
              <w:t>1.53</w:t>
            </w:r>
          </w:p>
        </w:tc>
        <w:tc>
          <w:tcPr>
            <w:tcW w:w="1134" w:type="dxa"/>
            <w:vAlign w:val="center"/>
          </w:tcPr>
          <w:p>
            <w:pPr>
              <w:pStyle w:val="11"/>
            </w:pPr>
            <w:r>
              <w:t>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2.05</w:t>
            </w:r>
          </w:p>
        </w:tc>
        <w:tc>
          <w:tcPr>
            <w:tcW w:w="1134" w:type="dxa"/>
            <w:vAlign w:val="center"/>
          </w:tcPr>
          <w:p>
            <w:pPr>
              <w:pStyle w:val="11"/>
            </w:pPr>
            <w:r>
              <w:t>1.53</w:t>
            </w:r>
          </w:p>
        </w:tc>
        <w:tc>
          <w:tcPr>
            <w:tcW w:w="1134" w:type="dxa"/>
            <w:vAlign w:val="center"/>
          </w:tcPr>
          <w:p>
            <w:pPr>
              <w:pStyle w:val="11"/>
            </w:pPr>
            <w:r>
              <w:t>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41.04</w:t>
            </w:r>
          </w:p>
        </w:tc>
        <w:tc>
          <w:tcPr>
            <w:tcW w:w="1134" w:type="dxa"/>
            <w:vAlign w:val="center"/>
          </w:tcPr>
          <w:p>
            <w:pPr>
              <w:pStyle w:val="11"/>
            </w:pPr>
            <w:r>
              <w:t>41.04</w:t>
            </w:r>
          </w:p>
        </w:tc>
        <w:tc>
          <w:tcPr>
            <w:tcW w:w="1134" w:type="dxa"/>
            <w:vAlign w:val="center"/>
          </w:tcPr>
          <w:p>
            <w:pPr>
              <w:pStyle w:val="11"/>
            </w:pPr>
            <w:r>
              <w:t>41.04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77.04</w:t>
            </w:r>
          </w:p>
        </w:tc>
        <w:tc>
          <w:tcPr>
            <w:tcW w:w="1134" w:type="dxa"/>
            <w:vAlign w:val="center"/>
          </w:tcPr>
          <w:p>
            <w:pPr>
              <w:pStyle w:val="11"/>
            </w:pPr>
            <w:r>
              <w:t>77.04</w:t>
            </w:r>
          </w:p>
        </w:tc>
        <w:tc>
          <w:tcPr>
            <w:tcW w:w="1134" w:type="dxa"/>
            <w:vAlign w:val="center"/>
          </w:tcPr>
          <w:p>
            <w:pPr>
              <w:pStyle w:val="11"/>
            </w:pPr>
            <w:r>
              <w:t>77.04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r>
              <w:t>67.08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r>
              <w:t>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641.08</w:t>
            </w:r>
          </w:p>
        </w:tc>
        <w:tc>
          <w:tcPr>
            <w:tcW w:w="1134" w:type="dxa"/>
            <w:vAlign w:val="center"/>
          </w:tcPr>
          <w:p>
            <w:pPr>
              <w:pStyle w:val="11"/>
            </w:pPr>
            <w:r>
              <w:t>525.30</w:t>
            </w:r>
          </w:p>
        </w:tc>
        <w:tc>
          <w:tcPr>
            <w:tcW w:w="1134" w:type="dxa"/>
            <w:vAlign w:val="center"/>
          </w:tcPr>
          <w:p>
            <w:pPr>
              <w:pStyle w:val="11"/>
            </w:pPr>
            <w:r>
              <w:t>525.30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251.10</w:t>
            </w:r>
          </w:p>
        </w:tc>
        <w:tc>
          <w:tcPr>
            <w:tcW w:w="1134" w:type="dxa"/>
            <w:vAlign w:val="center"/>
          </w:tcPr>
          <w:p>
            <w:pPr>
              <w:pStyle w:val="11"/>
            </w:pPr>
            <w:r>
              <w:t>251.10</w:t>
            </w:r>
          </w:p>
        </w:tc>
        <w:tc>
          <w:tcPr>
            <w:tcW w:w="1134" w:type="dxa"/>
            <w:vAlign w:val="center"/>
          </w:tcPr>
          <w:p>
            <w:pPr>
              <w:pStyle w:val="11"/>
            </w:pPr>
            <w:r>
              <w:t>251.10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251.10</w:t>
            </w:r>
          </w:p>
        </w:tc>
        <w:tc>
          <w:tcPr>
            <w:tcW w:w="1134" w:type="dxa"/>
            <w:vAlign w:val="center"/>
          </w:tcPr>
          <w:p>
            <w:pPr>
              <w:pStyle w:val="11"/>
            </w:pPr>
            <w:r>
              <w:t>251.10</w:t>
            </w:r>
          </w:p>
        </w:tc>
        <w:tc>
          <w:tcPr>
            <w:tcW w:w="1134" w:type="dxa"/>
            <w:vAlign w:val="center"/>
          </w:tcPr>
          <w:p>
            <w:pPr>
              <w:pStyle w:val="11"/>
            </w:pPr>
            <w:r>
              <w:t>251.10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316.84</w:t>
            </w:r>
          </w:p>
        </w:tc>
        <w:tc>
          <w:tcPr>
            <w:tcW w:w="1134" w:type="dxa"/>
            <w:vAlign w:val="center"/>
          </w:tcPr>
          <w:p>
            <w:pPr>
              <w:pStyle w:val="11"/>
            </w:pPr>
            <w:r>
              <w:t>274.20</w:t>
            </w:r>
          </w:p>
        </w:tc>
        <w:tc>
          <w:tcPr>
            <w:tcW w:w="1134" w:type="dxa"/>
            <w:vAlign w:val="center"/>
          </w:tcPr>
          <w:p>
            <w:pPr>
              <w:pStyle w:val="11"/>
            </w:pPr>
            <w:r>
              <w:t>274.20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42.64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274.20</w:t>
            </w:r>
          </w:p>
        </w:tc>
        <w:tc>
          <w:tcPr>
            <w:tcW w:w="1134" w:type="dxa"/>
            <w:vAlign w:val="center"/>
          </w:tcPr>
          <w:p>
            <w:pPr>
              <w:pStyle w:val="11"/>
            </w:pPr>
            <w:r>
              <w:t>274.20</w:t>
            </w:r>
          </w:p>
        </w:tc>
        <w:tc>
          <w:tcPr>
            <w:tcW w:w="1134" w:type="dxa"/>
            <w:vAlign w:val="center"/>
          </w:tcPr>
          <w:p>
            <w:pPr>
              <w:pStyle w:val="11"/>
            </w:pPr>
            <w:r>
              <w:t>274.20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73.14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73.02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r>
              <w:t>62.46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1648.74</w:t>
            </w:r>
          </w:p>
        </w:tc>
        <w:tc>
          <w:tcPr>
            <w:tcW w:w="1361" w:type="dxa"/>
            <w:vAlign w:val="center"/>
          </w:tcPr>
          <w:p>
            <w:pPr>
              <w:pStyle w:val="15"/>
            </w:pPr>
            <w:r>
              <w:t>895.30</w:t>
            </w:r>
          </w:p>
        </w:tc>
        <w:tc>
          <w:tcPr>
            <w:tcW w:w="1361" w:type="dxa"/>
            <w:vAlign w:val="center"/>
          </w:tcPr>
          <w:p>
            <w:pPr>
              <w:pStyle w:val="15"/>
            </w:pPr>
            <w:r>
              <w:t>753.44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736.81</w:t>
            </w:r>
          </w:p>
        </w:tc>
        <w:tc>
          <w:tcPr>
            <w:tcW w:w="1361" w:type="dxa"/>
            <w:vAlign w:val="center"/>
          </w:tcPr>
          <w:p>
            <w:pPr>
              <w:pStyle w:val="11"/>
            </w:pPr>
            <w:r>
              <w:t>638.88</w:t>
            </w:r>
          </w:p>
        </w:tc>
        <w:tc>
          <w:tcPr>
            <w:tcW w:w="1361" w:type="dxa"/>
            <w:vAlign w:val="center"/>
          </w:tcPr>
          <w:p>
            <w:pPr>
              <w:pStyle w:val="11"/>
            </w:pPr>
            <w:r>
              <w:t>97.93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721.81</w:t>
            </w:r>
          </w:p>
        </w:tc>
        <w:tc>
          <w:tcPr>
            <w:tcW w:w="1361" w:type="dxa"/>
            <w:vAlign w:val="center"/>
          </w:tcPr>
          <w:p>
            <w:pPr>
              <w:pStyle w:val="11"/>
            </w:pPr>
            <w:r>
              <w:t>638.88</w:t>
            </w:r>
          </w:p>
        </w:tc>
        <w:tc>
          <w:tcPr>
            <w:tcW w:w="1361" w:type="dxa"/>
            <w:vAlign w:val="center"/>
          </w:tcPr>
          <w:p>
            <w:pPr>
              <w:pStyle w:val="11"/>
            </w:pPr>
            <w:r>
              <w:t>82.93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696.81</w:t>
            </w:r>
          </w:p>
        </w:tc>
        <w:tc>
          <w:tcPr>
            <w:tcW w:w="1361" w:type="dxa"/>
            <w:vAlign w:val="center"/>
          </w:tcPr>
          <w:p>
            <w:pPr>
              <w:pStyle w:val="11"/>
            </w:pPr>
            <w:r>
              <w:t>638.88</w:t>
            </w:r>
          </w:p>
        </w:tc>
        <w:tc>
          <w:tcPr>
            <w:tcW w:w="1361" w:type="dxa"/>
            <w:vAlign w:val="center"/>
          </w:tcPr>
          <w:p>
            <w:pPr>
              <w:pStyle w:val="11"/>
            </w:pPr>
            <w:r>
              <w:t>57.93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41.04</w:t>
            </w:r>
          </w:p>
        </w:tc>
        <w:tc>
          <w:tcPr>
            <w:tcW w:w="1361" w:type="dxa"/>
            <w:vAlign w:val="center"/>
          </w:tcPr>
          <w:p>
            <w:pPr>
              <w:pStyle w:val="11"/>
            </w:pPr>
            <w:r>
              <w:t>41.04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77.04</w:t>
            </w:r>
          </w:p>
        </w:tc>
        <w:tc>
          <w:tcPr>
            <w:tcW w:w="1361" w:type="dxa"/>
            <w:vAlign w:val="center"/>
          </w:tcPr>
          <w:p>
            <w:pPr>
              <w:pStyle w:val="11"/>
            </w:pPr>
            <w:r>
              <w:t>77.04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67.08</w:t>
            </w:r>
          </w:p>
        </w:tc>
        <w:tc>
          <w:tcPr>
            <w:tcW w:w="1361" w:type="dxa"/>
            <w:vAlign w:val="center"/>
          </w:tcPr>
          <w:p>
            <w:pPr>
              <w:pStyle w:val="11"/>
            </w:pPr>
            <w:r>
              <w:t>67.08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67.08</w:t>
            </w:r>
          </w:p>
        </w:tc>
        <w:tc>
          <w:tcPr>
            <w:tcW w:w="1361" w:type="dxa"/>
            <w:vAlign w:val="center"/>
          </w:tcPr>
          <w:p>
            <w:pPr>
              <w:pStyle w:val="11"/>
            </w:pPr>
            <w:r>
              <w:t>67.08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67.08</w:t>
            </w:r>
          </w:p>
        </w:tc>
        <w:tc>
          <w:tcPr>
            <w:tcW w:w="1361" w:type="dxa"/>
            <w:vAlign w:val="center"/>
          </w:tcPr>
          <w:p>
            <w:pPr>
              <w:pStyle w:val="11"/>
            </w:pPr>
            <w:r>
              <w:t>67.08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r>
              <w:t>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641.08</w:t>
            </w:r>
          </w:p>
        </w:tc>
        <w:tc>
          <w:tcPr>
            <w:tcW w:w="1361" w:type="dxa"/>
            <w:vAlign w:val="center"/>
          </w:tcPr>
          <w:p>
            <w:pPr>
              <w:pStyle w:val="11"/>
            </w:pPr>
          </w:p>
        </w:tc>
        <w:tc>
          <w:tcPr>
            <w:tcW w:w="1361" w:type="dxa"/>
            <w:vAlign w:val="center"/>
          </w:tcPr>
          <w:p>
            <w:pPr>
              <w:pStyle w:val="11"/>
            </w:pPr>
            <w:r>
              <w:t>641.08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251.10</w:t>
            </w:r>
          </w:p>
        </w:tc>
        <w:tc>
          <w:tcPr>
            <w:tcW w:w="1361" w:type="dxa"/>
            <w:vAlign w:val="center"/>
          </w:tcPr>
          <w:p>
            <w:pPr>
              <w:pStyle w:val="11"/>
            </w:pPr>
          </w:p>
        </w:tc>
        <w:tc>
          <w:tcPr>
            <w:tcW w:w="1361" w:type="dxa"/>
            <w:vAlign w:val="center"/>
          </w:tcPr>
          <w:p>
            <w:pPr>
              <w:pStyle w:val="11"/>
            </w:pPr>
            <w:r>
              <w:t>251.10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251.10</w:t>
            </w:r>
          </w:p>
        </w:tc>
        <w:tc>
          <w:tcPr>
            <w:tcW w:w="1361" w:type="dxa"/>
            <w:vAlign w:val="center"/>
          </w:tcPr>
          <w:p>
            <w:pPr>
              <w:pStyle w:val="11"/>
            </w:pPr>
          </w:p>
        </w:tc>
        <w:tc>
          <w:tcPr>
            <w:tcW w:w="1361" w:type="dxa"/>
            <w:vAlign w:val="center"/>
          </w:tcPr>
          <w:p>
            <w:pPr>
              <w:pStyle w:val="11"/>
            </w:pPr>
            <w:r>
              <w:t>251.10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316.84</w:t>
            </w:r>
          </w:p>
        </w:tc>
        <w:tc>
          <w:tcPr>
            <w:tcW w:w="1361" w:type="dxa"/>
            <w:vAlign w:val="center"/>
          </w:tcPr>
          <w:p>
            <w:pPr>
              <w:pStyle w:val="11"/>
            </w:pPr>
          </w:p>
        </w:tc>
        <w:tc>
          <w:tcPr>
            <w:tcW w:w="1361" w:type="dxa"/>
            <w:vAlign w:val="center"/>
          </w:tcPr>
          <w:p>
            <w:pPr>
              <w:pStyle w:val="11"/>
            </w:pPr>
            <w:r>
              <w:t>316.84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42.64</w:t>
            </w:r>
          </w:p>
        </w:tc>
        <w:tc>
          <w:tcPr>
            <w:tcW w:w="1361" w:type="dxa"/>
            <w:vAlign w:val="center"/>
          </w:tcPr>
          <w:p>
            <w:pPr>
              <w:pStyle w:val="11"/>
            </w:pPr>
          </w:p>
        </w:tc>
        <w:tc>
          <w:tcPr>
            <w:tcW w:w="1361" w:type="dxa"/>
            <w:vAlign w:val="center"/>
          </w:tcPr>
          <w:p>
            <w:pPr>
              <w:pStyle w:val="11"/>
            </w:pPr>
            <w:r>
              <w:t>42.64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274.20</w:t>
            </w:r>
          </w:p>
        </w:tc>
        <w:tc>
          <w:tcPr>
            <w:tcW w:w="1361" w:type="dxa"/>
            <w:vAlign w:val="center"/>
          </w:tcPr>
          <w:p>
            <w:pPr>
              <w:pStyle w:val="11"/>
            </w:pPr>
          </w:p>
        </w:tc>
        <w:tc>
          <w:tcPr>
            <w:tcW w:w="1361" w:type="dxa"/>
            <w:vAlign w:val="center"/>
          </w:tcPr>
          <w:p>
            <w:pPr>
              <w:pStyle w:val="11"/>
            </w:pPr>
            <w:r>
              <w:t>274.20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73.14</w:t>
            </w:r>
          </w:p>
        </w:tc>
        <w:tc>
          <w:tcPr>
            <w:tcW w:w="1361" w:type="dxa"/>
            <w:vAlign w:val="center"/>
          </w:tcPr>
          <w:p>
            <w:pPr>
              <w:pStyle w:val="11"/>
            </w:pPr>
          </w:p>
        </w:tc>
        <w:tc>
          <w:tcPr>
            <w:tcW w:w="1361" w:type="dxa"/>
            <w:vAlign w:val="center"/>
          </w:tcPr>
          <w:p>
            <w:pPr>
              <w:pStyle w:val="11"/>
            </w:pPr>
            <w:r>
              <w:t>73.14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73.02</w:t>
            </w:r>
          </w:p>
        </w:tc>
        <w:tc>
          <w:tcPr>
            <w:tcW w:w="1361" w:type="dxa"/>
            <w:vAlign w:val="center"/>
          </w:tcPr>
          <w:p>
            <w:pPr>
              <w:pStyle w:val="11"/>
            </w:pPr>
          </w:p>
        </w:tc>
        <w:tc>
          <w:tcPr>
            <w:tcW w:w="1361" w:type="dxa"/>
            <w:vAlign w:val="center"/>
          </w:tcPr>
          <w:p>
            <w:pPr>
              <w:pStyle w:val="11"/>
            </w:pPr>
            <w:r>
              <w:t>73.02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62.46</w:t>
            </w:r>
          </w:p>
        </w:tc>
        <w:tc>
          <w:tcPr>
            <w:tcW w:w="1361" w:type="dxa"/>
            <w:vAlign w:val="center"/>
          </w:tcPr>
          <w:p>
            <w:pPr>
              <w:pStyle w:val="11"/>
            </w:pPr>
            <w:r>
              <w:t>62.46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62.46</w:t>
            </w:r>
          </w:p>
        </w:tc>
        <w:tc>
          <w:tcPr>
            <w:tcW w:w="1361" w:type="dxa"/>
            <w:vAlign w:val="center"/>
          </w:tcPr>
          <w:p>
            <w:pPr>
              <w:pStyle w:val="11"/>
            </w:pPr>
            <w:r>
              <w:t>62.46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62.46</w:t>
            </w:r>
          </w:p>
        </w:tc>
        <w:tc>
          <w:tcPr>
            <w:tcW w:w="1361" w:type="dxa"/>
            <w:vAlign w:val="center"/>
          </w:tcPr>
          <w:p>
            <w:pPr>
              <w:pStyle w:val="11"/>
            </w:pPr>
            <w:r>
              <w:t>62.46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1528.08</w:t>
            </w:r>
          </w:p>
        </w:tc>
        <w:tc>
          <w:tcPr>
            <w:tcW w:w="3402" w:type="dxa"/>
            <w:vAlign w:val="center"/>
          </w:tcPr>
          <w:p>
            <w:pPr>
              <w:pStyle w:val="12"/>
            </w:pPr>
            <w:r>
              <w:t>一、一般公共服务支出</w:t>
            </w:r>
          </w:p>
        </w:tc>
        <w:tc>
          <w:tcPr>
            <w:tcW w:w="1474" w:type="dxa"/>
            <w:vAlign w:val="center"/>
          </w:tcPr>
          <w:p>
            <w:pPr>
              <w:pStyle w:val="11"/>
            </w:pPr>
            <w:r>
              <w:t>736.81</w:t>
            </w:r>
          </w:p>
        </w:tc>
        <w:tc>
          <w:tcPr>
            <w:tcW w:w="1474" w:type="dxa"/>
            <w:vAlign w:val="center"/>
          </w:tcPr>
          <w:p>
            <w:pPr>
              <w:pStyle w:val="11"/>
            </w:pPr>
            <w:r>
              <w:t>736.81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9.15</w:t>
            </w:r>
          </w:p>
        </w:tc>
        <w:tc>
          <w:tcPr>
            <w:tcW w:w="1474" w:type="dxa"/>
            <w:vAlign w:val="center"/>
          </w:tcPr>
          <w:p>
            <w:pPr>
              <w:pStyle w:val="11"/>
            </w:pPr>
            <w:r>
              <w:t>9.15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126.88</w:t>
            </w:r>
          </w:p>
        </w:tc>
        <w:tc>
          <w:tcPr>
            <w:tcW w:w="1474" w:type="dxa"/>
            <w:vAlign w:val="center"/>
          </w:tcPr>
          <w:p>
            <w:pPr>
              <w:pStyle w:val="11"/>
            </w:pPr>
            <w:r>
              <w:t>126.88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67.08</w:t>
            </w:r>
          </w:p>
        </w:tc>
        <w:tc>
          <w:tcPr>
            <w:tcW w:w="1474" w:type="dxa"/>
            <w:vAlign w:val="center"/>
          </w:tcPr>
          <w:p>
            <w:pPr>
              <w:pStyle w:val="11"/>
            </w:pPr>
            <w:r>
              <w:t>67.08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5.28</w:t>
            </w:r>
          </w:p>
        </w:tc>
        <w:tc>
          <w:tcPr>
            <w:tcW w:w="1474" w:type="dxa"/>
            <w:vAlign w:val="center"/>
          </w:tcPr>
          <w:p>
            <w:pPr>
              <w:pStyle w:val="11"/>
            </w:pPr>
            <w:r>
              <w:t>5.28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641.08</w:t>
            </w:r>
          </w:p>
        </w:tc>
        <w:tc>
          <w:tcPr>
            <w:tcW w:w="1474" w:type="dxa"/>
            <w:vAlign w:val="center"/>
          </w:tcPr>
          <w:p>
            <w:pPr>
              <w:pStyle w:val="11"/>
            </w:pPr>
            <w:r>
              <w:t>567.94</w:t>
            </w:r>
          </w:p>
        </w:tc>
        <w:tc>
          <w:tcPr>
            <w:tcW w:w="1474" w:type="dxa"/>
            <w:vAlign w:val="center"/>
          </w:tcPr>
          <w:p>
            <w:pPr>
              <w:pStyle w:val="11"/>
            </w:pPr>
            <w:r>
              <w:t>73.14</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62.46</w:t>
            </w:r>
          </w:p>
        </w:tc>
        <w:tc>
          <w:tcPr>
            <w:tcW w:w="1474" w:type="dxa"/>
            <w:vAlign w:val="center"/>
          </w:tcPr>
          <w:p>
            <w:pPr>
              <w:pStyle w:val="11"/>
            </w:pPr>
            <w:r>
              <w:t>62.46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1528.08</w:t>
            </w:r>
          </w:p>
        </w:tc>
        <w:tc>
          <w:tcPr>
            <w:tcW w:w="3402" w:type="dxa"/>
            <w:vAlign w:val="center"/>
          </w:tcPr>
          <w:p>
            <w:pPr>
              <w:pStyle w:val="14"/>
            </w:pPr>
            <w:r>
              <w:t>本年支出合计</w:t>
            </w:r>
          </w:p>
        </w:tc>
        <w:tc>
          <w:tcPr>
            <w:tcW w:w="1474" w:type="dxa"/>
            <w:vAlign w:val="center"/>
          </w:tcPr>
          <w:p>
            <w:pPr>
              <w:pStyle w:val="15"/>
            </w:pPr>
            <w:r>
              <w:t>1648.74</w:t>
            </w:r>
          </w:p>
        </w:tc>
        <w:tc>
          <w:tcPr>
            <w:tcW w:w="1474" w:type="dxa"/>
            <w:vAlign w:val="center"/>
          </w:tcPr>
          <w:p>
            <w:pPr>
              <w:pStyle w:val="15"/>
            </w:pPr>
            <w:r>
              <w:t>1575.60</w:t>
            </w:r>
          </w:p>
        </w:tc>
        <w:tc>
          <w:tcPr>
            <w:tcW w:w="1474" w:type="dxa"/>
            <w:vAlign w:val="center"/>
          </w:tcPr>
          <w:p>
            <w:pPr>
              <w:pStyle w:val="15"/>
            </w:pPr>
            <w:r>
              <w:t>73.14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120.66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47.51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73.14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1648.74</w:t>
            </w:r>
          </w:p>
        </w:tc>
        <w:tc>
          <w:tcPr>
            <w:tcW w:w="3402" w:type="dxa"/>
            <w:vAlign w:val="center"/>
          </w:tcPr>
          <w:p>
            <w:pPr>
              <w:pStyle w:val="14"/>
            </w:pPr>
            <w:r>
              <w:t>支出总计</w:t>
            </w:r>
          </w:p>
        </w:tc>
        <w:tc>
          <w:tcPr>
            <w:tcW w:w="1474" w:type="dxa"/>
            <w:vAlign w:val="center"/>
          </w:tcPr>
          <w:p>
            <w:pPr>
              <w:pStyle w:val="15"/>
            </w:pPr>
            <w:r>
              <w:t>1648.74</w:t>
            </w:r>
          </w:p>
        </w:tc>
        <w:tc>
          <w:tcPr>
            <w:tcW w:w="1474" w:type="dxa"/>
            <w:vAlign w:val="center"/>
          </w:tcPr>
          <w:p>
            <w:pPr>
              <w:pStyle w:val="15"/>
            </w:pPr>
            <w:r>
              <w:t>1575.60</w:t>
            </w:r>
          </w:p>
        </w:tc>
        <w:tc>
          <w:tcPr>
            <w:tcW w:w="1474" w:type="dxa"/>
            <w:vAlign w:val="center"/>
          </w:tcPr>
          <w:p>
            <w:pPr>
              <w:pStyle w:val="15"/>
            </w:pPr>
            <w:r>
              <w:t>73.14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1575.60</w:t>
            </w:r>
          </w:p>
        </w:tc>
        <w:tc>
          <w:tcPr>
            <w:tcW w:w="2551" w:type="dxa"/>
            <w:vAlign w:val="center"/>
          </w:tcPr>
          <w:p>
            <w:pPr>
              <w:pStyle w:val="15"/>
            </w:pPr>
            <w:r>
              <w:t>895.30</w:t>
            </w:r>
          </w:p>
        </w:tc>
        <w:tc>
          <w:tcPr>
            <w:tcW w:w="2551" w:type="dxa"/>
            <w:vAlign w:val="center"/>
          </w:tcPr>
          <w:p>
            <w:pPr>
              <w:pStyle w:val="15"/>
            </w:pPr>
            <w:r>
              <w:t>680.30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736.81</w:t>
            </w:r>
          </w:p>
        </w:tc>
        <w:tc>
          <w:tcPr>
            <w:tcW w:w="2551" w:type="dxa"/>
            <w:vAlign w:val="center"/>
          </w:tcPr>
          <w:p>
            <w:pPr>
              <w:pStyle w:val="11"/>
            </w:pPr>
            <w:r>
              <w:t>638.88</w:t>
            </w:r>
          </w:p>
        </w:tc>
        <w:tc>
          <w:tcPr>
            <w:tcW w:w="2551" w:type="dxa"/>
            <w:vAlign w:val="center"/>
          </w:tcPr>
          <w:p>
            <w:pPr>
              <w:pStyle w:val="11"/>
            </w:pPr>
            <w:r>
              <w:t>97.93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721.81</w:t>
            </w:r>
          </w:p>
        </w:tc>
        <w:tc>
          <w:tcPr>
            <w:tcW w:w="2551" w:type="dxa"/>
            <w:vAlign w:val="center"/>
          </w:tcPr>
          <w:p>
            <w:pPr>
              <w:pStyle w:val="11"/>
            </w:pPr>
            <w:r>
              <w:t>638.88</w:t>
            </w:r>
          </w:p>
        </w:tc>
        <w:tc>
          <w:tcPr>
            <w:tcW w:w="2551" w:type="dxa"/>
            <w:vAlign w:val="center"/>
          </w:tcPr>
          <w:p>
            <w:pPr>
              <w:pStyle w:val="11"/>
            </w:pPr>
            <w:r>
              <w:t>82.93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696.81</w:t>
            </w:r>
          </w:p>
        </w:tc>
        <w:tc>
          <w:tcPr>
            <w:tcW w:w="2551" w:type="dxa"/>
            <w:vAlign w:val="center"/>
          </w:tcPr>
          <w:p>
            <w:pPr>
              <w:pStyle w:val="11"/>
            </w:pPr>
            <w:r>
              <w:t>638.88</w:t>
            </w:r>
          </w:p>
        </w:tc>
        <w:tc>
          <w:tcPr>
            <w:tcW w:w="2551" w:type="dxa"/>
            <w:vAlign w:val="center"/>
          </w:tcPr>
          <w:p>
            <w:pPr>
              <w:pStyle w:val="11"/>
            </w:pPr>
            <w:r>
              <w:t>57.93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9.15</w:t>
            </w:r>
          </w:p>
        </w:tc>
        <w:tc>
          <w:tcPr>
            <w:tcW w:w="2551" w:type="dxa"/>
            <w:vAlign w:val="center"/>
          </w:tcPr>
          <w:p>
            <w:pPr>
              <w:pStyle w:val="11"/>
            </w:pPr>
          </w:p>
        </w:tc>
        <w:tc>
          <w:tcPr>
            <w:tcW w:w="2551" w:type="dxa"/>
            <w:vAlign w:val="center"/>
          </w:tcPr>
          <w:p>
            <w:pPr>
              <w:pStyle w:val="11"/>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7.10</w:t>
            </w:r>
          </w:p>
        </w:tc>
        <w:tc>
          <w:tcPr>
            <w:tcW w:w="2551" w:type="dxa"/>
            <w:vAlign w:val="center"/>
          </w:tcPr>
          <w:p>
            <w:pPr>
              <w:pStyle w:val="11"/>
            </w:pPr>
          </w:p>
        </w:tc>
        <w:tc>
          <w:tcPr>
            <w:tcW w:w="2551" w:type="dxa"/>
            <w:vAlign w:val="center"/>
          </w:tcPr>
          <w:p>
            <w:pPr>
              <w:pStyle w:val="11"/>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4.35</w:t>
            </w:r>
          </w:p>
        </w:tc>
        <w:tc>
          <w:tcPr>
            <w:tcW w:w="2551" w:type="dxa"/>
            <w:vAlign w:val="center"/>
          </w:tcPr>
          <w:p>
            <w:pPr>
              <w:pStyle w:val="11"/>
            </w:pPr>
          </w:p>
        </w:tc>
        <w:tc>
          <w:tcPr>
            <w:tcW w:w="2551"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41.04</w:t>
            </w:r>
          </w:p>
        </w:tc>
        <w:tc>
          <w:tcPr>
            <w:tcW w:w="2551" w:type="dxa"/>
            <w:vAlign w:val="center"/>
          </w:tcPr>
          <w:p>
            <w:pPr>
              <w:pStyle w:val="11"/>
            </w:pPr>
            <w:r>
              <w:t>41.04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77.04</w:t>
            </w:r>
          </w:p>
        </w:tc>
        <w:tc>
          <w:tcPr>
            <w:tcW w:w="2551" w:type="dxa"/>
            <w:vAlign w:val="center"/>
          </w:tcPr>
          <w:p>
            <w:pPr>
              <w:pStyle w:val="11"/>
            </w:pPr>
            <w:r>
              <w:t>77.04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67.08</w:t>
            </w:r>
          </w:p>
        </w:tc>
        <w:tc>
          <w:tcPr>
            <w:tcW w:w="2551" w:type="dxa"/>
            <w:vAlign w:val="center"/>
          </w:tcPr>
          <w:p>
            <w:pPr>
              <w:pStyle w:val="11"/>
            </w:pPr>
            <w:r>
              <w:t>67.08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67.08</w:t>
            </w:r>
          </w:p>
        </w:tc>
        <w:tc>
          <w:tcPr>
            <w:tcW w:w="2551" w:type="dxa"/>
            <w:vAlign w:val="center"/>
          </w:tcPr>
          <w:p>
            <w:pPr>
              <w:pStyle w:val="11"/>
            </w:pPr>
            <w:r>
              <w:t>67.08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67.08</w:t>
            </w:r>
          </w:p>
        </w:tc>
        <w:tc>
          <w:tcPr>
            <w:tcW w:w="2551" w:type="dxa"/>
            <w:vAlign w:val="center"/>
          </w:tcPr>
          <w:p>
            <w:pPr>
              <w:pStyle w:val="11"/>
            </w:pPr>
            <w:r>
              <w:t>67.08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567.94</w:t>
            </w:r>
          </w:p>
        </w:tc>
        <w:tc>
          <w:tcPr>
            <w:tcW w:w="2551" w:type="dxa"/>
            <w:vAlign w:val="center"/>
          </w:tcPr>
          <w:p>
            <w:pPr>
              <w:pStyle w:val="11"/>
            </w:pPr>
          </w:p>
        </w:tc>
        <w:tc>
          <w:tcPr>
            <w:tcW w:w="2551" w:type="dxa"/>
            <w:vAlign w:val="center"/>
          </w:tcPr>
          <w:p>
            <w:pPr>
              <w:pStyle w:val="11"/>
            </w:pPr>
            <w:r>
              <w:t>567.94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251.10</w:t>
            </w:r>
          </w:p>
        </w:tc>
        <w:tc>
          <w:tcPr>
            <w:tcW w:w="2551" w:type="dxa"/>
            <w:vAlign w:val="center"/>
          </w:tcPr>
          <w:p>
            <w:pPr>
              <w:pStyle w:val="11"/>
            </w:pPr>
          </w:p>
        </w:tc>
        <w:tc>
          <w:tcPr>
            <w:tcW w:w="2551" w:type="dxa"/>
            <w:vAlign w:val="center"/>
          </w:tcPr>
          <w:p>
            <w:pPr>
              <w:pStyle w:val="11"/>
            </w:pPr>
            <w:r>
              <w:t>251.10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251.10</w:t>
            </w:r>
          </w:p>
        </w:tc>
        <w:tc>
          <w:tcPr>
            <w:tcW w:w="2551" w:type="dxa"/>
            <w:vAlign w:val="center"/>
          </w:tcPr>
          <w:p>
            <w:pPr>
              <w:pStyle w:val="11"/>
            </w:pPr>
          </w:p>
        </w:tc>
        <w:tc>
          <w:tcPr>
            <w:tcW w:w="2551" w:type="dxa"/>
            <w:vAlign w:val="center"/>
          </w:tcPr>
          <w:p>
            <w:pPr>
              <w:pStyle w:val="11"/>
            </w:pPr>
            <w:r>
              <w:t>251.10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316.84</w:t>
            </w:r>
          </w:p>
        </w:tc>
        <w:tc>
          <w:tcPr>
            <w:tcW w:w="2551" w:type="dxa"/>
            <w:vAlign w:val="center"/>
          </w:tcPr>
          <w:p>
            <w:pPr>
              <w:pStyle w:val="11"/>
            </w:pPr>
          </w:p>
        </w:tc>
        <w:tc>
          <w:tcPr>
            <w:tcW w:w="2551" w:type="dxa"/>
            <w:vAlign w:val="center"/>
          </w:tcPr>
          <w:p>
            <w:pPr>
              <w:pStyle w:val="11"/>
            </w:pPr>
            <w:r>
              <w:t>316.84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42.64</w:t>
            </w:r>
          </w:p>
        </w:tc>
        <w:tc>
          <w:tcPr>
            <w:tcW w:w="2551" w:type="dxa"/>
            <w:vAlign w:val="center"/>
          </w:tcPr>
          <w:p>
            <w:pPr>
              <w:pStyle w:val="11"/>
            </w:pPr>
          </w:p>
        </w:tc>
        <w:tc>
          <w:tcPr>
            <w:tcW w:w="2551" w:type="dxa"/>
            <w:vAlign w:val="center"/>
          </w:tcPr>
          <w:p>
            <w:pPr>
              <w:pStyle w:val="11"/>
            </w:pPr>
            <w:r>
              <w:t>42.64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274.20</w:t>
            </w:r>
          </w:p>
        </w:tc>
        <w:tc>
          <w:tcPr>
            <w:tcW w:w="2551" w:type="dxa"/>
            <w:vAlign w:val="center"/>
          </w:tcPr>
          <w:p>
            <w:pPr>
              <w:pStyle w:val="11"/>
            </w:pPr>
          </w:p>
        </w:tc>
        <w:tc>
          <w:tcPr>
            <w:tcW w:w="2551" w:type="dxa"/>
            <w:vAlign w:val="center"/>
          </w:tcPr>
          <w:p>
            <w:pPr>
              <w:pStyle w:val="11"/>
            </w:pPr>
            <w:r>
              <w:t>274.20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62.46</w:t>
            </w:r>
          </w:p>
        </w:tc>
        <w:tc>
          <w:tcPr>
            <w:tcW w:w="2551" w:type="dxa"/>
            <w:vAlign w:val="center"/>
          </w:tcPr>
          <w:p>
            <w:pPr>
              <w:pStyle w:val="11"/>
            </w:pPr>
            <w:r>
              <w:t>62.46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62.46</w:t>
            </w:r>
          </w:p>
        </w:tc>
        <w:tc>
          <w:tcPr>
            <w:tcW w:w="2551" w:type="dxa"/>
            <w:vAlign w:val="center"/>
          </w:tcPr>
          <w:p>
            <w:pPr>
              <w:pStyle w:val="11"/>
            </w:pPr>
            <w:r>
              <w:t>62.46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62.46</w:t>
            </w:r>
          </w:p>
        </w:tc>
        <w:tc>
          <w:tcPr>
            <w:tcW w:w="2551" w:type="dxa"/>
            <w:vAlign w:val="center"/>
          </w:tcPr>
          <w:p>
            <w:pPr>
              <w:pStyle w:val="11"/>
            </w:pPr>
            <w:r>
              <w:t>62.46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895.30</w:t>
            </w:r>
          </w:p>
        </w:tc>
        <w:tc>
          <w:tcPr>
            <w:tcW w:w="2551" w:type="dxa"/>
            <w:vAlign w:val="center"/>
          </w:tcPr>
          <w:p>
            <w:pPr>
              <w:pStyle w:val="15"/>
            </w:pPr>
            <w:r>
              <w:t>811.26</w:t>
            </w:r>
          </w:p>
        </w:tc>
        <w:tc>
          <w:tcPr>
            <w:tcW w:w="2551" w:type="dxa"/>
            <w:vAlign w:val="center"/>
          </w:tcPr>
          <w:p>
            <w:pPr>
              <w:pStyle w:val="15"/>
            </w:pPr>
            <w:r>
              <w:t>84.04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771.47</w:t>
            </w:r>
          </w:p>
        </w:tc>
        <w:tc>
          <w:tcPr>
            <w:tcW w:w="2551" w:type="dxa"/>
            <w:vAlign w:val="center"/>
          </w:tcPr>
          <w:p>
            <w:pPr>
              <w:pStyle w:val="11"/>
            </w:pPr>
            <w:r>
              <w:t>771.47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302.74</w:t>
            </w:r>
          </w:p>
        </w:tc>
        <w:tc>
          <w:tcPr>
            <w:tcW w:w="2551" w:type="dxa"/>
            <w:vAlign w:val="center"/>
          </w:tcPr>
          <w:p>
            <w:pPr>
              <w:pStyle w:val="11"/>
            </w:pPr>
            <w:r>
              <w:t>302.74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47.61</w:t>
            </w:r>
          </w:p>
        </w:tc>
        <w:tc>
          <w:tcPr>
            <w:tcW w:w="2551" w:type="dxa"/>
            <w:vAlign w:val="center"/>
          </w:tcPr>
          <w:p>
            <w:pPr>
              <w:pStyle w:val="11"/>
            </w:pPr>
            <w:r>
              <w:t>47.61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16.50</w:t>
            </w:r>
          </w:p>
        </w:tc>
        <w:tc>
          <w:tcPr>
            <w:tcW w:w="2551" w:type="dxa"/>
            <w:vAlign w:val="center"/>
          </w:tcPr>
          <w:p>
            <w:pPr>
              <w:pStyle w:val="11"/>
            </w:pPr>
            <w:r>
              <w:t>16.50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184.63</w:t>
            </w:r>
          </w:p>
        </w:tc>
        <w:tc>
          <w:tcPr>
            <w:tcW w:w="2551" w:type="dxa"/>
            <w:vAlign w:val="center"/>
          </w:tcPr>
          <w:p>
            <w:pPr>
              <w:pStyle w:val="11"/>
            </w:pPr>
            <w:r>
              <w:t>184.63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77.04</w:t>
            </w:r>
          </w:p>
        </w:tc>
        <w:tc>
          <w:tcPr>
            <w:tcW w:w="2551" w:type="dxa"/>
            <w:vAlign w:val="center"/>
          </w:tcPr>
          <w:p>
            <w:pPr>
              <w:pStyle w:val="11"/>
            </w:pPr>
            <w:r>
              <w:t>77.04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35.88</w:t>
            </w:r>
          </w:p>
        </w:tc>
        <w:tc>
          <w:tcPr>
            <w:tcW w:w="2551" w:type="dxa"/>
            <w:vAlign w:val="center"/>
          </w:tcPr>
          <w:p>
            <w:pPr>
              <w:pStyle w:val="11"/>
            </w:pPr>
            <w:r>
              <w:t>35.88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31.20</w:t>
            </w:r>
          </w:p>
        </w:tc>
        <w:tc>
          <w:tcPr>
            <w:tcW w:w="2551" w:type="dxa"/>
            <w:vAlign w:val="center"/>
          </w:tcPr>
          <w:p>
            <w:pPr>
              <w:pStyle w:val="11"/>
            </w:pPr>
            <w:r>
              <w:t>31.20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4.61</w:t>
            </w:r>
          </w:p>
        </w:tc>
        <w:tc>
          <w:tcPr>
            <w:tcW w:w="2551" w:type="dxa"/>
            <w:vAlign w:val="center"/>
          </w:tcPr>
          <w:p>
            <w:pPr>
              <w:pStyle w:val="11"/>
            </w:pPr>
            <w:r>
              <w:t>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62.46</w:t>
            </w:r>
          </w:p>
        </w:tc>
        <w:tc>
          <w:tcPr>
            <w:tcW w:w="2551" w:type="dxa"/>
            <w:vAlign w:val="center"/>
          </w:tcPr>
          <w:p>
            <w:pPr>
              <w:pStyle w:val="11"/>
            </w:pPr>
            <w:r>
              <w:t>62.46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82.32</w:t>
            </w:r>
          </w:p>
        </w:tc>
        <w:tc>
          <w:tcPr>
            <w:tcW w:w="2551" w:type="dxa"/>
            <w:vAlign w:val="center"/>
          </w:tcPr>
          <w:p>
            <w:pPr>
              <w:pStyle w:val="11"/>
            </w:pPr>
          </w:p>
        </w:tc>
        <w:tc>
          <w:tcPr>
            <w:tcW w:w="2551" w:type="dxa"/>
            <w:vAlign w:val="center"/>
          </w:tcPr>
          <w:p>
            <w:pPr>
              <w:pStyle w:val="11"/>
            </w:pPr>
            <w:r>
              <w:t>82.32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12.47</w:t>
            </w:r>
          </w:p>
        </w:tc>
        <w:tc>
          <w:tcPr>
            <w:tcW w:w="2551" w:type="dxa"/>
            <w:vAlign w:val="center"/>
          </w:tcPr>
          <w:p>
            <w:pPr>
              <w:pStyle w:val="11"/>
            </w:pPr>
          </w:p>
        </w:tc>
        <w:tc>
          <w:tcPr>
            <w:tcW w:w="2551" w:type="dxa"/>
            <w:vAlign w:val="center"/>
          </w:tcPr>
          <w:p>
            <w:pPr>
              <w:pStyle w:val="11"/>
            </w:pPr>
            <w:r>
              <w:t>12.47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6.88</w:t>
            </w:r>
          </w:p>
        </w:tc>
        <w:tc>
          <w:tcPr>
            <w:tcW w:w="2551" w:type="dxa"/>
            <w:vAlign w:val="center"/>
          </w:tcPr>
          <w:p>
            <w:pPr>
              <w:pStyle w:val="11"/>
            </w:pPr>
          </w:p>
        </w:tc>
        <w:tc>
          <w:tcPr>
            <w:tcW w:w="2551" w:type="dxa"/>
            <w:vAlign w:val="center"/>
          </w:tcPr>
          <w:p>
            <w:pPr>
              <w:pStyle w:val="11"/>
            </w:pPr>
            <w:r>
              <w:t>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5.57</w:t>
            </w:r>
          </w:p>
        </w:tc>
        <w:tc>
          <w:tcPr>
            <w:tcW w:w="2551" w:type="dxa"/>
            <w:vAlign w:val="center"/>
          </w:tcPr>
          <w:p>
            <w:pPr>
              <w:pStyle w:val="11"/>
            </w:pPr>
          </w:p>
        </w:tc>
        <w:tc>
          <w:tcPr>
            <w:tcW w:w="2551" w:type="dxa"/>
            <w:vAlign w:val="center"/>
          </w:tcPr>
          <w:p>
            <w:pPr>
              <w:pStyle w:val="11"/>
            </w:pPr>
            <w:r>
              <w:t>5.57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3.87</w:t>
            </w:r>
          </w:p>
        </w:tc>
        <w:tc>
          <w:tcPr>
            <w:tcW w:w="2551" w:type="dxa"/>
            <w:vAlign w:val="center"/>
          </w:tcPr>
          <w:p>
            <w:pPr>
              <w:pStyle w:val="11"/>
            </w:pPr>
          </w:p>
        </w:tc>
        <w:tc>
          <w:tcPr>
            <w:tcW w:w="2551" w:type="dxa"/>
            <w:vAlign w:val="center"/>
          </w:tcPr>
          <w:p>
            <w:pPr>
              <w:pStyle w:val="11"/>
            </w:pPr>
            <w:r>
              <w:t>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73.14</w:t>
            </w:r>
          </w:p>
        </w:tc>
        <w:tc>
          <w:tcPr>
            <w:tcW w:w="2551" w:type="dxa"/>
            <w:vAlign w:val="center"/>
          </w:tcPr>
          <w:p>
            <w:pPr>
              <w:pStyle w:val="15"/>
            </w:pPr>
          </w:p>
        </w:tc>
        <w:tc>
          <w:tcPr>
            <w:tcW w:w="2551" w:type="dxa"/>
            <w:vAlign w:val="center"/>
          </w:tcPr>
          <w:p>
            <w:pPr>
              <w:pStyle w:val="15"/>
            </w:pPr>
            <w:r>
              <w:t>73.14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73.14</w:t>
            </w:r>
          </w:p>
        </w:tc>
        <w:tc>
          <w:tcPr>
            <w:tcW w:w="2551" w:type="dxa"/>
            <w:vAlign w:val="center"/>
          </w:tcPr>
          <w:p>
            <w:pPr>
              <w:pStyle w:val="11"/>
            </w:pPr>
          </w:p>
        </w:tc>
        <w:tc>
          <w:tcPr>
            <w:tcW w:w="2551" w:type="dxa"/>
            <w:vAlign w:val="center"/>
          </w:tcPr>
          <w:p>
            <w:pPr>
              <w:pStyle w:val="11"/>
            </w:pPr>
            <w:r>
              <w:t>73.14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73.14</w:t>
            </w:r>
          </w:p>
        </w:tc>
        <w:tc>
          <w:tcPr>
            <w:tcW w:w="2551" w:type="dxa"/>
            <w:vAlign w:val="center"/>
          </w:tcPr>
          <w:p>
            <w:pPr>
              <w:pStyle w:val="11"/>
            </w:pPr>
          </w:p>
        </w:tc>
        <w:tc>
          <w:tcPr>
            <w:tcW w:w="2551" w:type="dxa"/>
            <w:vAlign w:val="center"/>
          </w:tcPr>
          <w:p>
            <w:pPr>
              <w:pStyle w:val="11"/>
            </w:pPr>
            <w:r>
              <w:t>73.14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73.02</w:t>
            </w:r>
          </w:p>
        </w:tc>
        <w:tc>
          <w:tcPr>
            <w:tcW w:w="2551" w:type="dxa"/>
            <w:vAlign w:val="center"/>
          </w:tcPr>
          <w:p>
            <w:pPr>
              <w:pStyle w:val="11"/>
            </w:pPr>
          </w:p>
        </w:tc>
        <w:tc>
          <w:tcPr>
            <w:tcW w:w="2551" w:type="dxa"/>
            <w:vAlign w:val="center"/>
          </w:tcPr>
          <w:p>
            <w:pPr>
              <w:pStyle w:val="11"/>
            </w:pPr>
            <w:r>
              <w:t>73.02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0.48</w:t>
            </w:r>
          </w:p>
        </w:tc>
        <w:tc>
          <w:tcPr>
            <w:tcW w:w="2381" w:type="dxa"/>
            <w:vAlign w:val="center"/>
          </w:tcPr>
          <w:p>
            <w:pPr>
              <w:pStyle w:val="15"/>
            </w:pPr>
            <w:r>
              <w:t>0.48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秦皇岛北戴河新区留守营管理处本级2025年单位预算信息公开情况说明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按照《中华人民共和国预算法》、《地方预决算公开操作规程》和《关于进一步推进预算公开工作的实施意见》规定，现将秦皇岛北戴河新区留守营管理处本级2025年单位预算公开如下：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秦皇岛北戴河新区留守营管理处主要职责及重点工作如下：</w:t>
      </w:r>
    </w:p>
    <w:p>
      <w:pPr>
        <w:pStyle w:val="17"/>
      </w:pPr>
      <w:r>
        <w:t>（1）负责本区域社会管理、综合治理、普法宣传、信访调解等工作。</w:t>
      </w:r>
    </w:p>
    <w:p>
      <w:pPr>
        <w:pStyle w:val="17"/>
      </w:pPr>
      <w:r>
        <w:t>（2）负责本区域农业、林业、水利、畜牧、渔业管理及统计工作。</w:t>
      </w:r>
    </w:p>
    <w:p>
      <w:pPr>
        <w:pStyle w:val="17"/>
      </w:pPr>
      <w:r>
        <w:t>（3）负责本区域劳动和社会保障、医疗、卫生、卫计、环卫、安全生产等工作。</w:t>
      </w:r>
    </w:p>
    <w:p>
      <w:pPr>
        <w:pStyle w:val="17"/>
      </w:pPr>
      <w:r>
        <w:t>（4）负责本区域基层建设、群众社区文化、娱乐、体育、教育、科普等工作。</w:t>
      </w:r>
    </w:p>
    <w:p>
      <w:pPr>
        <w:pStyle w:val="17"/>
      </w:pPr>
      <w:r>
        <w:t>（5）负责配合有关部门做好防汛、防火、防灾和抢险工作。</w:t>
      </w:r>
    </w:p>
    <w:p>
      <w:pPr>
        <w:pStyle w:val="17"/>
      </w:pPr>
      <w:r>
        <w:t>（6）负责贯彻落实国家、省、市方针、政策和法律法规。</w:t>
      </w:r>
    </w:p>
    <w:p>
      <w:pPr>
        <w:pStyle w:val="17"/>
      </w:pPr>
      <w:r>
        <w:t>（7）负责承办新区党工委、管委会交办的其他工作任务。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秦皇岛北戴河新区留守营管理处本级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1648.74万元，其中：一般公共预算收入1528.08万元，基金预算收入0.00万元，国有资本经营预算收入0.00万元，财政专户核拨收入0.00万元，单位资金收入0.00万元，上年结转结余120.66万元。</w:t>
      </w:r>
    </w:p>
    <w:p>
      <w:pPr>
        <w:pStyle w:val="18"/>
      </w:pPr>
      <w:r>
        <w:t>2、支出说明</w:t>
      </w:r>
    </w:p>
    <w:p>
      <w:pPr>
        <w:pStyle w:val="18"/>
      </w:pPr>
      <w:r>
        <w:t>收支预算总表支出栏、基本支出表、项目支出表按经济分类和支出功能分类科目编制，反映秦皇岛北戴河新区留守营管理处本级年度单位预算中支出预算的总体情况。2025年支出预算1648.74万元，其中基本支出895.30万元，包括人员经费811.26万元和日常公用经费84.04万元；项目支出753.44万元，主要为农村人居环境整治（农村保洁、河道保洁）资金、中保绿都退还部分土地流转费、化工大学项目清算费用、服务群众专项经费等。</w:t>
      </w:r>
    </w:p>
    <w:p>
      <w:pPr>
        <w:pStyle w:val="18"/>
      </w:pPr>
      <w:r>
        <w:t>3、比上年增减情况</w:t>
      </w:r>
    </w:p>
    <w:p>
      <w:pPr>
        <w:pStyle w:val="18"/>
      </w:pPr>
      <w:r>
        <w:t>2025年预算收支安排1648.74万元，较2024年预算增加155.69万元，其中：基本支出减少32.57万元，主要为人员减少，相应人员经费减少；办公费等公用经费压缩。项目支出增加188.26万元，主要为中保绿都退还部分土地流转费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2025年，我单位机关运行经费共计安排84.04万元，主要用于日常维修、办公用房水电费、办公用房取暖费、办公用房物业管理费等日常运行支出。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0.48万元，其中因公出国（境）费0.00万元；公务用车购置及运维费0.00万元（其中：公务用车购置费为0.00万元，公务用车运维费0.00万元)；公务接待费0.48万元。与2024年相比减少0.03万元，增减变化的主要原因是公务接待费安排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13031325P008805104863</w:t>
            </w:r>
          </w:p>
        </w:tc>
        <w:tc>
          <w:tcPr>
            <w:tcW w:w="2835" w:type="dxa"/>
            <w:vAlign w:val="center"/>
          </w:tcPr>
          <w:p>
            <w:pPr>
              <w:pStyle w:val="10"/>
            </w:pPr>
            <w:r>
              <w:t>项目名称</w:t>
            </w:r>
          </w:p>
        </w:tc>
        <w:tc>
          <w:tcPr>
            <w:tcW w:w="6095" w:type="dxa"/>
            <w:gridSpan w:val="3"/>
            <w:vAlign w:val="center"/>
          </w:tcPr>
          <w:p>
            <w:pPr>
              <w:pStyle w:val="12"/>
            </w:pPr>
            <w: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通过科学编制预算，严格遵守各项规章制度，提高财政资金的使用效率，做到节俭高效。解决单位人员办公用房问题，保证机关单位的正常运转</w:t>
            </w:r>
            <w:r>
              <w:rPr>
                <w:rFonts w:hint="eastAsia"/>
                <w:lang w:eastAsia="zh-CN"/>
              </w:rPr>
              <w:t>。</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1.通过科学编制预算，严格遵守各项规章制度，提高财政资金的使用效率，做到节俭高效。</w:t>
            </w:r>
            <w:r>
              <w:tab/>
            </w:r>
            <w:r>
              <w:tab/>
            </w:r>
            <w:r>
              <w:tab/>
            </w:r>
            <w:r>
              <w:tab/>
            </w:r>
            <w:r>
              <w:tab/>
            </w:r>
          </w:p>
          <w:p>
            <w:pPr>
              <w:pStyle w:val="12"/>
            </w:pPr>
            <w:r>
              <w:t>2.解决单位人员办公用房问题，保证机关单位的正常运转。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租赁房屋面积</w:t>
            </w:r>
          </w:p>
        </w:tc>
        <w:tc>
          <w:tcPr>
            <w:tcW w:w="5386" w:type="dxa"/>
            <w:vAlign w:val="center"/>
          </w:tcPr>
          <w:p>
            <w:pPr>
              <w:pStyle w:val="12"/>
            </w:pPr>
            <w:r>
              <w:t>租赁办公用房面积</w:t>
            </w:r>
          </w:p>
        </w:tc>
        <w:tc>
          <w:tcPr>
            <w:tcW w:w="2268" w:type="dxa"/>
            <w:vAlign w:val="center"/>
          </w:tcPr>
          <w:p>
            <w:pPr>
              <w:pStyle w:val="12"/>
            </w:pPr>
            <w:r>
              <w:t>3854.4平米</w:t>
            </w:r>
          </w:p>
        </w:tc>
        <w:tc>
          <w:tcPr>
            <w:tcW w:w="1276" w:type="dxa"/>
            <w:vAlign w:val="center"/>
          </w:tcPr>
          <w:p>
            <w:pPr>
              <w:pStyle w:val="12"/>
            </w:pPr>
            <w:r>
              <w:t>目标计划值、租赁合同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租赁办公用房质量情况</w:t>
            </w:r>
          </w:p>
        </w:tc>
        <w:tc>
          <w:tcPr>
            <w:tcW w:w="5386" w:type="dxa"/>
            <w:vAlign w:val="center"/>
          </w:tcPr>
          <w:p>
            <w:pPr>
              <w:pStyle w:val="12"/>
            </w:pPr>
            <w:r>
              <w:t>办公用房内各项设施齐全，运转正常</w:t>
            </w:r>
          </w:p>
        </w:tc>
        <w:tc>
          <w:tcPr>
            <w:tcW w:w="2268" w:type="dxa"/>
            <w:vAlign w:val="center"/>
          </w:tcPr>
          <w:p>
            <w:pPr>
              <w:pStyle w:val="12"/>
            </w:pPr>
            <w:r>
              <w:t>设施齐全，正常运转</w:t>
            </w:r>
          </w:p>
        </w:tc>
        <w:tc>
          <w:tcPr>
            <w:tcW w:w="1276" w:type="dxa"/>
            <w:vAlign w:val="center"/>
          </w:tcPr>
          <w:p>
            <w:pPr>
              <w:pStyle w:val="12"/>
            </w:pPr>
            <w:r>
              <w:t>目标计划值、租赁合同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租赁合同签订时间</w:t>
            </w:r>
          </w:p>
        </w:tc>
        <w:tc>
          <w:tcPr>
            <w:tcW w:w="5386" w:type="dxa"/>
            <w:vAlign w:val="center"/>
          </w:tcPr>
          <w:p>
            <w:pPr>
              <w:pStyle w:val="12"/>
            </w:pPr>
            <w:r>
              <w:t>办公用房租赁合同签订日期</w:t>
            </w:r>
          </w:p>
        </w:tc>
        <w:tc>
          <w:tcPr>
            <w:tcW w:w="2268" w:type="dxa"/>
            <w:vAlign w:val="center"/>
          </w:tcPr>
          <w:p>
            <w:pPr>
              <w:pStyle w:val="12"/>
            </w:pPr>
            <w:r>
              <w:t>租赁合同</w:t>
            </w:r>
          </w:p>
        </w:tc>
        <w:tc>
          <w:tcPr>
            <w:tcW w:w="1276" w:type="dxa"/>
            <w:vAlign w:val="center"/>
          </w:tcPr>
          <w:p>
            <w:pPr>
              <w:pStyle w:val="12"/>
            </w:pPr>
            <w:r>
              <w:t>租赁合同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租赁费支出</w:t>
            </w:r>
          </w:p>
        </w:tc>
        <w:tc>
          <w:tcPr>
            <w:tcW w:w="5386" w:type="dxa"/>
            <w:vAlign w:val="center"/>
          </w:tcPr>
          <w:p>
            <w:pPr>
              <w:pStyle w:val="12"/>
            </w:pPr>
            <w:r>
              <w:t>按合同控制在预算内支付</w:t>
            </w:r>
          </w:p>
        </w:tc>
        <w:tc>
          <w:tcPr>
            <w:tcW w:w="2268" w:type="dxa"/>
            <w:vAlign w:val="center"/>
          </w:tcPr>
          <w:p>
            <w:pPr>
              <w:pStyle w:val="12"/>
            </w:pPr>
            <w:r>
              <w:t>≤25万元/年</w:t>
            </w:r>
          </w:p>
        </w:tc>
        <w:tc>
          <w:tcPr>
            <w:tcW w:w="1276" w:type="dxa"/>
            <w:vAlign w:val="center"/>
          </w:tcPr>
          <w:p>
            <w:pPr>
              <w:pStyle w:val="12"/>
            </w:pPr>
            <w:r>
              <w:t>租赁合同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日常工作持续有效运转</w:t>
            </w:r>
          </w:p>
        </w:tc>
        <w:tc>
          <w:tcPr>
            <w:tcW w:w="1276" w:type="dxa"/>
            <w:vAlign w:val="center"/>
          </w:tcPr>
          <w:p>
            <w:pPr>
              <w:pStyle w:val="12"/>
            </w:pPr>
            <w:r>
              <w:t>目标计划值、租赁合同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租赁期限</w:t>
            </w:r>
          </w:p>
        </w:tc>
        <w:tc>
          <w:tcPr>
            <w:tcW w:w="5386" w:type="dxa"/>
            <w:vAlign w:val="center"/>
          </w:tcPr>
          <w:p>
            <w:pPr>
              <w:pStyle w:val="12"/>
            </w:pPr>
            <w:r>
              <w:t>办公用房租赁期限</w:t>
            </w:r>
          </w:p>
        </w:tc>
        <w:tc>
          <w:tcPr>
            <w:tcW w:w="2268" w:type="dxa"/>
            <w:vAlign w:val="center"/>
          </w:tcPr>
          <w:p>
            <w:pPr>
              <w:pStyle w:val="12"/>
            </w:pPr>
            <w:r>
              <w:t>≤1年</w:t>
            </w:r>
          </w:p>
        </w:tc>
        <w:tc>
          <w:tcPr>
            <w:tcW w:w="1276" w:type="dxa"/>
            <w:vAlign w:val="center"/>
          </w:tcPr>
          <w:p>
            <w:pPr>
              <w:pStyle w:val="12"/>
            </w:pPr>
            <w:r>
              <w:t>租赁合同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2、农村冬季清洁取暖协管员补贴绩效目标表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13031325P00880510491W</w:t>
            </w:r>
          </w:p>
        </w:tc>
        <w:tc>
          <w:tcPr>
            <w:tcW w:w="2835" w:type="dxa"/>
            <w:vAlign w:val="center"/>
          </w:tcPr>
          <w:p>
            <w:pPr>
              <w:pStyle w:val="10"/>
            </w:pPr>
            <w:r>
              <w:t>项目名称</w:t>
            </w:r>
          </w:p>
        </w:tc>
        <w:tc>
          <w:tcPr>
            <w:tcW w:w="6095" w:type="dxa"/>
            <w:gridSpan w:val="3"/>
            <w:vAlign w:val="center"/>
          </w:tcPr>
          <w:p>
            <w:pPr>
              <w:pStyle w:val="12"/>
            </w:pPr>
            <w:r>
              <w:t>农村冬季清洁取暖协管员补贴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5.28</w:t>
            </w:r>
          </w:p>
        </w:tc>
        <w:tc>
          <w:tcPr>
            <w:tcW w:w="2835" w:type="dxa"/>
            <w:vAlign w:val="center"/>
          </w:tcPr>
          <w:p>
            <w:pPr>
              <w:pStyle w:val="10"/>
            </w:pPr>
            <w:r>
              <w:t>其中：财政    资金</w:t>
            </w:r>
          </w:p>
        </w:tc>
        <w:tc>
          <w:tcPr>
            <w:tcW w:w="2551" w:type="dxa"/>
            <w:vAlign w:val="center"/>
          </w:tcPr>
          <w:p>
            <w:pPr>
              <w:pStyle w:val="12"/>
            </w:pPr>
            <w:r>
              <w:t>5.28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严格按照有关规定要求合理使用资金，专款专用，切实加快资金支出进度。此项资金用于农村冬季清洁取暖协管员补贴的必要支出，提升服务质量。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2.此项资金用于农村冬季清洁取暖协管员补贴的必要支出，提升服务质量。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工作的顺利开展</w:t>
            </w:r>
          </w:p>
        </w:tc>
        <w:tc>
          <w:tcPr>
            <w:tcW w:w="5386" w:type="dxa"/>
            <w:vAlign w:val="center"/>
          </w:tcPr>
          <w:p>
            <w:pPr>
              <w:pStyle w:val="12"/>
            </w:pPr>
            <w:r>
              <w:t>工作的顺利开展</w:t>
            </w:r>
          </w:p>
        </w:tc>
        <w:tc>
          <w:tcPr>
            <w:tcW w:w="2268" w:type="dxa"/>
            <w:vAlign w:val="center"/>
          </w:tcPr>
          <w:p>
            <w:pPr>
              <w:pStyle w:val="12"/>
            </w:pPr>
            <w:r>
              <w:t>有力推进工作进展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≤5.28万元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涉及范围行政村</w:t>
            </w:r>
          </w:p>
        </w:tc>
        <w:tc>
          <w:tcPr>
            <w:tcW w:w="2268" w:type="dxa"/>
            <w:vAlign w:val="center"/>
          </w:tcPr>
          <w:p>
            <w:pPr>
              <w:pStyle w:val="12"/>
            </w:pPr>
            <w:r>
              <w:t>≤12个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建立长效机制</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有效提升服务水平</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13031325P00880510489X</w:t>
            </w:r>
          </w:p>
        </w:tc>
        <w:tc>
          <w:tcPr>
            <w:tcW w:w="2835" w:type="dxa"/>
            <w:vAlign w:val="center"/>
          </w:tcPr>
          <w:p>
            <w:pPr>
              <w:pStyle w:val="10"/>
            </w:pPr>
            <w:r>
              <w:t>项目名称</w:t>
            </w:r>
          </w:p>
        </w:tc>
        <w:tc>
          <w:tcPr>
            <w:tcW w:w="6095" w:type="dxa"/>
            <w:gridSpan w:val="3"/>
            <w:vAlign w:val="center"/>
          </w:tcPr>
          <w:p>
            <w:pPr>
              <w:pStyle w:val="12"/>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按照有关规定要求合理使用资金，切实加快资金支出进度。经费用于所辖区农村村容村貌的提升、服务和民生工作、公益事业建设等相关的支出。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45%</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1.按照有关规定要求合理使用资金，切实加快资金支出进度。</w:t>
            </w:r>
          </w:p>
          <w:p>
            <w:pPr>
              <w:pStyle w:val="12"/>
            </w:pPr>
            <w:r>
              <w:t>2.经费用于所辖区农村村容村貌的提升、服务和民生工作、公益事业建设等相关的支出。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保障涉及范围</w:t>
            </w:r>
          </w:p>
        </w:tc>
        <w:tc>
          <w:tcPr>
            <w:tcW w:w="5386" w:type="dxa"/>
            <w:vAlign w:val="center"/>
          </w:tcPr>
          <w:p>
            <w:pPr>
              <w:pStyle w:val="12"/>
            </w:pPr>
            <w:r>
              <w:t>保障涉及范围十三个行政村</w:t>
            </w:r>
          </w:p>
        </w:tc>
        <w:tc>
          <w:tcPr>
            <w:tcW w:w="2268" w:type="dxa"/>
            <w:vAlign w:val="center"/>
          </w:tcPr>
          <w:p>
            <w:pPr>
              <w:pStyle w:val="12"/>
            </w:pPr>
            <w:r>
              <w:t>≤13个</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各项费用支付的及时率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完成目标所需要资金支出</w:t>
            </w:r>
          </w:p>
        </w:tc>
        <w:tc>
          <w:tcPr>
            <w:tcW w:w="5386" w:type="dxa"/>
            <w:vAlign w:val="center"/>
          </w:tcPr>
          <w:p>
            <w:pPr>
              <w:pStyle w:val="12"/>
            </w:pPr>
            <w:r>
              <w:t>完成年度工作需要防火相关工作经费30万元，人居环境整治需25万元，宣传工作等需15万元，聘用律师需2万元，坑塘整治15万，其他杂类13万元。</w:t>
            </w:r>
          </w:p>
        </w:tc>
        <w:tc>
          <w:tcPr>
            <w:tcW w:w="2268" w:type="dxa"/>
            <w:vAlign w:val="center"/>
          </w:tcPr>
          <w:p>
            <w:pPr>
              <w:pStyle w:val="12"/>
            </w:pPr>
            <w:r>
              <w:t>≤90万元</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日常工作持续有效开展</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持续完善公共服务</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美化生活环境</w:t>
            </w:r>
          </w:p>
        </w:tc>
        <w:tc>
          <w:tcPr>
            <w:tcW w:w="1276" w:type="dxa"/>
            <w:vAlign w:val="center"/>
          </w:tcPr>
          <w:p>
            <w:pPr>
              <w:pStyle w:val="12"/>
            </w:pPr>
            <w:r>
              <w:t>目标计划值、中共秦皇岛北戴河新区工作委员会秦皇岛北戴河新区管理委员会关于印发《秦皇岛北戴河新区机构改革总体方案》的通知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13031325P00880510391K</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57.93</w:t>
            </w:r>
          </w:p>
        </w:tc>
        <w:tc>
          <w:tcPr>
            <w:tcW w:w="2835" w:type="dxa"/>
            <w:vAlign w:val="center"/>
          </w:tcPr>
          <w:p>
            <w:pPr>
              <w:pStyle w:val="10"/>
            </w:pPr>
            <w:r>
              <w:t>其中：财政    资金</w:t>
            </w:r>
          </w:p>
        </w:tc>
        <w:tc>
          <w:tcPr>
            <w:tcW w:w="2551" w:type="dxa"/>
            <w:vAlign w:val="center"/>
          </w:tcPr>
          <w:p>
            <w:pPr>
              <w:pStyle w:val="12"/>
            </w:pPr>
            <w:r>
              <w:t>57.93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缴纳人事代理人员各项社会保险；发放人事代理人员各项补贴；发放人事代理人员工资。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1.缴纳人事代理人员各项社会保险</w:t>
            </w:r>
          </w:p>
          <w:p>
            <w:pPr>
              <w:pStyle w:val="12"/>
            </w:pPr>
            <w:r>
              <w:t>2.发放人事代理人员各项补贴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≥4人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≤57.93万元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5、信访稳定经费绩效目标表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13031325P008805104909</w:t>
            </w:r>
          </w:p>
        </w:tc>
        <w:tc>
          <w:tcPr>
            <w:tcW w:w="2835" w:type="dxa"/>
            <w:vAlign w:val="center"/>
          </w:tcPr>
          <w:p>
            <w:pPr>
              <w:pStyle w:val="10"/>
            </w:pPr>
            <w:r>
              <w:t>项目名称</w:t>
            </w:r>
          </w:p>
        </w:tc>
        <w:tc>
          <w:tcPr>
            <w:tcW w:w="6095" w:type="dxa"/>
            <w:gridSpan w:val="3"/>
            <w:vAlign w:val="center"/>
          </w:tcPr>
          <w:p>
            <w:pPr>
              <w:pStyle w:val="12"/>
            </w:pPr>
            <w:r>
              <w:t>信访稳定经费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严格按照有关规定要求合理使用资金，专款专用，切实加快资金支出进度。及时、有效处理矛盾纠纷，化解信访不稳定因素。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40%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2.及时、有效处理矛盾纠纷，化解信访不稳定因素。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登记接待信防案件数量</w:t>
            </w:r>
          </w:p>
        </w:tc>
        <w:tc>
          <w:tcPr>
            <w:tcW w:w="5386" w:type="dxa"/>
            <w:vAlign w:val="center"/>
          </w:tcPr>
          <w:p>
            <w:pPr>
              <w:pStyle w:val="12"/>
            </w:pPr>
            <w:r>
              <w:t>登记接待信防案件</w:t>
            </w:r>
          </w:p>
        </w:tc>
        <w:tc>
          <w:tcPr>
            <w:tcW w:w="2268" w:type="dxa"/>
            <w:vAlign w:val="center"/>
          </w:tcPr>
          <w:p>
            <w:pPr>
              <w:pStyle w:val="12"/>
            </w:pPr>
            <w:r>
              <w:t>≤15件</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各项任务完成及时限</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目标计划值、《秦皇岛北戴河新区信访工作联席会议办公室关于加强在京值班和火车站值班工作的通知》、《秦皇岛北戴河新区信访工作联席会议办公室关于做好“暑期”火车站信访值班工作的通知》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信访稳定工作支出</w:t>
            </w:r>
          </w:p>
        </w:tc>
        <w:tc>
          <w:tcPr>
            <w:tcW w:w="5386" w:type="dxa"/>
            <w:vAlign w:val="center"/>
          </w:tcPr>
          <w:p>
            <w:pPr>
              <w:pStyle w:val="12"/>
            </w:pPr>
            <w:r>
              <w:t>信访稳定工作支出</w:t>
            </w:r>
          </w:p>
        </w:tc>
        <w:tc>
          <w:tcPr>
            <w:tcW w:w="2268" w:type="dxa"/>
            <w:vAlign w:val="center"/>
          </w:tcPr>
          <w:p>
            <w:pPr>
              <w:pStyle w:val="12"/>
            </w:pPr>
            <w:r>
              <w:t>≤15万元</w:t>
            </w:r>
          </w:p>
        </w:tc>
        <w:tc>
          <w:tcPr>
            <w:tcW w:w="1276" w:type="dxa"/>
            <w:vAlign w:val="center"/>
          </w:tcPr>
          <w:p>
            <w:pPr>
              <w:pStyle w:val="12"/>
            </w:pPr>
            <w:r>
              <w:t>目标计划值、《秦皇岛北戴河新区信访工作联席会议办公室关于加强在京值班和火车站值班工作的通知》、《秦皇岛北戴河新区信访工作联席会议办公室关于做好“暑期”火车站信访值班工作的通知》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建设和谐稳定的社会主义新农村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6、2024年公共文化服务体系建设市级补助资金绩效目标表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13031324P005358110552</w:t>
            </w:r>
          </w:p>
        </w:tc>
        <w:tc>
          <w:tcPr>
            <w:tcW w:w="2835" w:type="dxa"/>
            <w:vAlign w:val="center"/>
          </w:tcPr>
          <w:p>
            <w:pPr>
              <w:pStyle w:val="10"/>
            </w:pPr>
            <w:r>
              <w:t>项目名称</w:t>
            </w:r>
          </w:p>
        </w:tc>
        <w:tc>
          <w:tcPr>
            <w:tcW w:w="6095" w:type="dxa"/>
            <w:gridSpan w:val="3"/>
            <w:vAlign w:val="center"/>
          </w:tcPr>
          <w:p>
            <w:pPr>
              <w:pStyle w:val="12"/>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0.71</w:t>
            </w:r>
          </w:p>
        </w:tc>
        <w:tc>
          <w:tcPr>
            <w:tcW w:w="2835" w:type="dxa"/>
            <w:vAlign w:val="center"/>
          </w:tcPr>
          <w:p>
            <w:pPr>
              <w:pStyle w:val="10"/>
            </w:pPr>
            <w:r>
              <w:t>其中：财政    资金</w:t>
            </w:r>
          </w:p>
        </w:tc>
        <w:tc>
          <w:tcPr>
            <w:tcW w:w="2551" w:type="dxa"/>
            <w:vAlign w:val="center"/>
          </w:tcPr>
          <w:p>
            <w:pPr>
              <w:pStyle w:val="12"/>
            </w:pPr>
            <w:r>
              <w:t>0.71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引导和支持提供基本公共文化服务项目，改善基础公共文化体育设施条件。保障广大群众读书看报、观看电视、观赏电影、进行文化鉴赏，开展文化体育活动等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1.引导和支持提供基本公共文化服务项目，改善基础公共文化体育设施条件</w:t>
            </w:r>
            <w:r>
              <w:rPr>
                <w:rFonts w:hint="eastAsia"/>
                <w:lang w:eastAsia="zh-CN"/>
              </w:rPr>
              <w:t>。</w:t>
            </w:r>
          </w:p>
          <w:p>
            <w:pPr>
              <w:pStyle w:val="12"/>
              <w:rPr>
                <w:rFonts w:hint="eastAsia" w:eastAsia="方正书宋_GBK"/>
                <w:lang w:eastAsia="zh-CN"/>
              </w:rPr>
            </w:pPr>
            <w:r>
              <w:t>2.保障广大群众读书看报、观看电视、观赏电影、进行文化鉴赏，开展文化体育活动等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平均每个农家书屋更新图书种数</w:t>
            </w:r>
          </w:p>
        </w:tc>
        <w:tc>
          <w:tcPr>
            <w:tcW w:w="5386" w:type="dxa"/>
            <w:vAlign w:val="center"/>
          </w:tcPr>
          <w:p>
            <w:pPr>
              <w:pStyle w:val="12"/>
            </w:pPr>
            <w:r>
              <w:t>平均每个农家书屋更新图书种数</w:t>
            </w:r>
          </w:p>
        </w:tc>
        <w:tc>
          <w:tcPr>
            <w:tcW w:w="2268" w:type="dxa"/>
            <w:vAlign w:val="center"/>
          </w:tcPr>
          <w:p>
            <w:pPr>
              <w:pStyle w:val="12"/>
            </w:pPr>
            <w:r>
              <w:t>≥3种</w:t>
            </w:r>
          </w:p>
        </w:tc>
        <w:tc>
          <w:tcPr>
            <w:tcW w:w="1276" w:type="dxa"/>
            <w:vAlign w:val="center"/>
          </w:tcPr>
          <w:p>
            <w:pPr>
              <w:pStyle w:val="12"/>
            </w:pPr>
            <w:r>
              <w:t>目标计划值</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举办艺术门类展览</w:t>
            </w:r>
          </w:p>
        </w:tc>
        <w:tc>
          <w:tcPr>
            <w:tcW w:w="5386" w:type="dxa"/>
            <w:vAlign w:val="center"/>
          </w:tcPr>
          <w:p>
            <w:pPr>
              <w:pStyle w:val="12"/>
            </w:pPr>
            <w:r>
              <w:t>举办艺术门类展览</w:t>
            </w:r>
          </w:p>
        </w:tc>
        <w:tc>
          <w:tcPr>
            <w:tcW w:w="2268" w:type="dxa"/>
            <w:vAlign w:val="center"/>
          </w:tcPr>
          <w:p>
            <w:pPr>
              <w:pStyle w:val="12"/>
            </w:pPr>
            <w:r>
              <w:t>≥4次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≤0.71万元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及时按计划完成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≥75%</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提升城市形象，促进公共文化发展</w:t>
            </w:r>
          </w:p>
        </w:tc>
        <w:tc>
          <w:tcPr>
            <w:tcW w:w="1276" w:type="dxa"/>
            <w:vAlign w:val="center"/>
          </w:tcPr>
          <w:p>
            <w:pPr>
              <w:pStyle w:val="12"/>
            </w:pPr>
            <w:r>
              <w:t>保障广大群众享受公共文化服务的权益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13031324P00535811056M</w:t>
            </w:r>
          </w:p>
        </w:tc>
        <w:tc>
          <w:tcPr>
            <w:tcW w:w="2835" w:type="dxa"/>
            <w:vAlign w:val="center"/>
          </w:tcPr>
          <w:p>
            <w:pPr>
              <w:pStyle w:val="10"/>
            </w:pPr>
            <w:r>
              <w:t>项目名称</w:t>
            </w:r>
          </w:p>
        </w:tc>
        <w:tc>
          <w:tcPr>
            <w:tcW w:w="6095" w:type="dxa"/>
            <w:gridSpan w:val="3"/>
            <w:vAlign w:val="center"/>
          </w:tcPr>
          <w:p>
            <w:pPr>
              <w:pStyle w:val="12"/>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0.53</w:t>
            </w:r>
          </w:p>
        </w:tc>
        <w:tc>
          <w:tcPr>
            <w:tcW w:w="2835" w:type="dxa"/>
            <w:vAlign w:val="center"/>
          </w:tcPr>
          <w:p>
            <w:pPr>
              <w:pStyle w:val="10"/>
            </w:pPr>
            <w:r>
              <w:t>其中：财政    资金</w:t>
            </w:r>
          </w:p>
        </w:tc>
        <w:tc>
          <w:tcPr>
            <w:tcW w:w="2551" w:type="dxa"/>
            <w:vAlign w:val="center"/>
          </w:tcPr>
          <w:p>
            <w:pPr>
              <w:pStyle w:val="12"/>
            </w:pPr>
            <w:r>
              <w:t>0.53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引导和支持提供基本公共文化服务项目，改善基础公共文化体育设施条件。保障广大群众读书看报、观看电视、观赏电影、进行文化鉴赏，开展文化体育活动等基本文化权益。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1.引导和支持提供基本公共文化服务项目，改善基础公共文化体育设施条件</w:t>
            </w:r>
            <w:r>
              <w:rPr>
                <w:rFonts w:hint="eastAsia"/>
                <w:lang w:eastAsia="zh-CN"/>
              </w:rPr>
              <w:t>。</w:t>
            </w:r>
          </w:p>
          <w:p>
            <w:pPr>
              <w:pStyle w:val="12"/>
            </w:pPr>
            <w:r>
              <w:t>2.保障广大群众读书看报、观看电视、观赏电影、进行文化鉴赏，开展文化体育活动等基本文化权益。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平均每个农家书屋更新图书种数</w:t>
            </w:r>
          </w:p>
        </w:tc>
        <w:tc>
          <w:tcPr>
            <w:tcW w:w="5386" w:type="dxa"/>
            <w:vAlign w:val="center"/>
          </w:tcPr>
          <w:p>
            <w:pPr>
              <w:pStyle w:val="12"/>
            </w:pPr>
            <w:r>
              <w:t>平均每个农家书屋更新图书种数</w:t>
            </w:r>
          </w:p>
        </w:tc>
        <w:tc>
          <w:tcPr>
            <w:tcW w:w="2268" w:type="dxa"/>
            <w:vAlign w:val="center"/>
          </w:tcPr>
          <w:p>
            <w:pPr>
              <w:pStyle w:val="12"/>
            </w:pPr>
            <w:r>
              <w:t>≥3种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讲座、论坛等活动数量</w:t>
            </w:r>
          </w:p>
        </w:tc>
        <w:tc>
          <w:tcPr>
            <w:tcW w:w="5386" w:type="dxa"/>
            <w:vAlign w:val="center"/>
          </w:tcPr>
          <w:p>
            <w:pPr>
              <w:pStyle w:val="12"/>
            </w:pPr>
            <w:r>
              <w:t>讲座、论坛等活动数量</w:t>
            </w:r>
          </w:p>
        </w:tc>
        <w:tc>
          <w:tcPr>
            <w:tcW w:w="2268" w:type="dxa"/>
            <w:vAlign w:val="center"/>
          </w:tcPr>
          <w:p>
            <w:pPr>
              <w:pStyle w:val="12"/>
            </w:pPr>
            <w:r>
              <w:t>≥4次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及时按计划完成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≥75%</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提升城市形象，促进公共文化发展</w:t>
            </w:r>
          </w:p>
        </w:tc>
        <w:tc>
          <w:tcPr>
            <w:tcW w:w="1276" w:type="dxa"/>
            <w:vAlign w:val="center"/>
          </w:tcPr>
          <w:p>
            <w:pPr>
              <w:pStyle w:val="12"/>
            </w:pPr>
            <w:r>
              <w:t>保障广大群众享受公共文化服务的权益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8、2024年中央水库移民扶持基金绩效目标表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13031324P008325100840</w:t>
            </w:r>
          </w:p>
        </w:tc>
        <w:tc>
          <w:tcPr>
            <w:tcW w:w="2835" w:type="dxa"/>
            <w:vAlign w:val="center"/>
          </w:tcPr>
          <w:p>
            <w:pPr>
              <w:pStyle w:val="10"/>
            </w:pPr>
            <w:r>
              <w:t>项目名称</w:t>
            </w:r>
          </w:p>
        </w:tc>
        <w:tc>
          <w:tcPr>
            <w:tcW w:w="6095" w:type="dxa"/>
            <w:gridSpan w:val="3"/>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资金用于发放我辖区水库移民后期扶持资金，解决移民个性问题和安置区临时性、突发性事件。严格按照有关规定要求合理使用资金，专款专用，切实加快资金支出进度。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2.资金用于发放我辖区水库移民后期扶持资金，解决移民个性问题和安置区临时性、突发性事件。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突发性问题</w:t>
            </w:r>
          </w:p>
        </w:tc>
        <w:tc>
          <w:tcPr>
            <w:tcW w:w="5386" w:type="dxa"/>
            <w:vAlign w:val="center"/>
          </w:tcPr>
          <w:p>
            <w:pPr>
              <w:pStyle w:val="12"/>
            </w:pPr>
            <w:r>
              <w:t>后期扶持受益移民困难人员</w:t>
            </w:r>
          </w:p>
        </w:tc>
        <w:tc>
          <w:tcPr>
            <w:tcW w:w="2268" w:type="dxa"/>
            <w:vAlign w:val="center"/>
          </w:tcPr>
          <w:p>
            <w:pPr>
              <w:pStyle w:val="12"/>
            </w:pPr>
            <w:r>
              <w:t>产生大额费用的50%以下</w:t>
            </w:r>
          </w:p>
        </w:tc>
        <w:tc>
          <w:tcPr>
            <w:tcW w:w="1276" w:type="dxa"/>
            <w:vAlign w:val="center"/>
          </w:tcPr>
          <w:p>
            <w:pPr>
              <w:pStyle w:val="12"/>
            </w:pPr>
            <w:r>
              <w:t>及时足额发放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优先解决困难人员</w:t>
            </w:r>
          </w:p>
        </w:tc>
        <w:tc>
          <w:tcPr>
            <w:tcW w:w="5386" w:type="dxa"/>
            <w:vAlign w:val="center"/>
          </w:tcPr>
          <w:p>
            <w:pPr>
              <w:pStyle w:val="12"/>
            </w:pPr>
            <w:r>
              <w:t>应发尽发</w:t>
            </w:r>
          </w:p>
        </w:tc>
        <w:tc>
          <w:tcPr>
            <w:tcW w:w="2268" w:type="dxa"/>
            <w:vAlign w:val="center"/>
          </w:tcPr>
          <w:p>
            <w:pPr>
              <w:pStyle w:val="12"/>
            </w:pPr>
            <w:r>
              <w:t>大于、等于90%为优，80%-89%为良，60%-79%为中，小于60%为差</w:t>
            </w:r>
          </w:p>
        </w:tc>
        <w:tc>
          <w:tcPr>
            <w:tcW w:w="1276" w:type="dxa"/>
            <w:vAlign w:val="center"/>
          </w:tcPr>
          <w:p>
            <w:pPr>
              <w:pStyle w:val="12"/>
            </w:pPr>
            <w:r>
              <w:t>符合水库移民扶持条件的人口应发尽发比率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截至当年底，直补资金发放率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控制在预算内</w:t>
            </w:r>
          </w:p>
        </w:tc>
        <w:tc>
          <w:tcPr>
            <w:tcW w:w="2268" w:type="dxa"/>
            <w:vAlign w:val="center"/>
          </w:tcPr>
          <w:p>
            <w:pPr>
              <w:pStyle w:val="12"/>
            </w:pPr>
            <w:r>
              <w:t>≤3万元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补助人群生活改善情况</w:t>
            </w:r>
          </w:p>
        </w:tc>
        <w:tc>
          <w:tcPr>
            <w:tcW w:w="5386" w:type="dxa"/>
            <w:vAlign w:val="center"/>
          </w:tcPr>
          <w:p>
            <w:pPr>
              <w:pStyle w:val="12"/>
            </w:pPr>
            <w:r>
              <w:t>补助人群在生活方面的改善情况</w:t>
            </w:r>
          </w:p>
        </w:tc>
        <w:tc>
          <w:tcPr>
            <w:tcW w:w="2268" w:type="dxa"/>
            <w:vAlign w:val="center"/>
          </w:tcPr>
          <w:p>
            <w:pPr>
              <w:pStyle w:val="12"/>
            </w:pPr>
            <w:r>
              <w:t>大于、等于90%为优，80%-89%为良，60%-79%为中，小于60%为差</w:t>
            </w:r>
          </w:p>
        </w:tc>
        <w:tc>
          <w:tcPr>
            <w:tcW w:w="1276" w:type="dxa"/>
            <w:vAlign w:val="center"/>
          </w:tcPr>
          <w:p>
            <w:pPr>
              <w:pStyle w:val="12"/>
            </w:pPr>
            <w:r>
              <w:t>有效改善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提高生活质量</w:t>
            </w:r>
          </w:p>
        </w:tc>
        <w:tc>
          <w:tcPr>
            <w:tcW w:w="5386" w:type="dxa"/>
            <w:vAlign w:val="center"/>
          </w:tcPr>
          <w:p>
            <w:pPr>
              <w:pStyle w:val="12"/>
            </w:pPr>
            <w:r>
              <w:t>提高生活质量</w:t>
            </w:r>
          </w:p>
        </w:tc>
        <w:tc>
          <w:tcPr>
            <w:tcW w:w="2268" w:type="dxa"/>
            <w:vAlign w:val="center"/>
          </w:tcPr>
          <w:p>
            <w:pPr>
              <w:pStyle w:val="12"/>
            </w:pPr>
            <w:r>
              <w:t>大于、等于90%为优，80%-89%为良，60%-79%为中，小于60%为差</w:t>
            </w:r>
          </w:p>
        </w:tc>
        <w:tc>
          <w:tcPr>
            <w:tcW w:w="1276" w:type="dxa"/>
            <w:vAlign w:val="center"/>
          </w:tcPr>
          <w:p>
            <w:pPr>
              <w:pStyle w:val="12"/>
            </w:pPr>
            <w:r>
              <w:t>效率有效提高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移民对后期扶持政策实施满意度</w:t>
            </w:r>
          </w:p>
        </w:tc>
        <w:tc>
          <w:tcPr>
            <w:tcW w:w="2268" w:type="dxa"/>
            <w:vAlign w:val="center"/>
          </w:tcPr>
          <w:p>
            <w:pPr>
              <w:pStyle w:val="12"/>
            </w:pPr>
            <w:r>
              <w:t>100%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9、2024年中央水库移民后期扶持资金绩效目标表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13031324P00832510073G</w:t>
            </w:r>
          </w:p>
        </w:tc>
        <w:tc>
          <w:tcPr>
            <w:tcW w:w="2835" w:type="dxa"/>
            <w:vAlign w:val="center"/>
          </w:tcPr>
          <w:p>
            <w:pPr>
              <w:pStyle w:val="10"/>
            </w:pPr>
            <w:r>
              <w:t>项目名称</w:t>
            </w:r>
          </w:p>
        </w:tc>
        <w:tc>
          <w:tcPr>
            <w:tcW w:w="6095" w:type="dxa"/>
            <w:gridSpan w:val="3"/>
            <w:vAlign w:val="center"/>
          </w:tcPr>
          <w:p>
            <w:pPr>
              <w:pStyle w:val="12"/>
            </w:pPr>
            <w:r>
              <w:t>2024年中央水库移民后期扶持资金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0.12</w:t>
            </w:r>
          </w:p>
        </w:tc>
        <w:tc>
          <w:tcPr>
            <w:tcW w:w="2835" w:type="dxa"/>
            <w:vAlign w:val="center"/>
          </w:tcPr>
          <w:p>
            <w:pPr>
              <w:pStyle w:val="10"/>
            </w:pPr>
            <w:r>
              <w:t>其中：财政    资金</w:t>
            </w:r>
          </w:p>
        </w:tc>
        <w:tc>
          <w:tcPr>
            <w:tcW w:w="2551" w:type="dxa"/>
            <w:vAlign w:val="center"/>
          </w:tcPr>
          <w:p>
            <w:pPr>
              <w:pStyle w:val="12"/>
            </w:pPr>
            <w:r>
              <w:t>0.12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资金用于发放我辖区水库移民扶持补助，提高水库移民的生活质量。严格按照有关规定要求合理使用资金，专款专用，切实加快资金支出进度。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1.资金用于发放我辖区水库移民扶持补助，提高水库移民的生活质量。</w:t>
            </w:r>
          </w:p>
          <w:p>
            <w:pPr>
              <w:pStyle w:val="12"/>
            </w:pPr>
            <w:r>
              <w:t>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后期扶持受益移民人均标准</w:t>
            </w:r>
          </w:p>
        </w:tc>
        <w:tc>
          <w:tcPr>
            <w:tcW w:w="5386" w:type="dxa"/>
            <w:vAlign w:val="center"/>
          </w:tcPr>
          <w:p>
            <w:pPr>
              <w:pStyle w:val="12"/>
            </w:pPr>
            <w:r>
              <w:t>后期扶持受益移民人均标准</w:t>
            </w:r>
          </w:p>
        </w:tc>
        <w:tc>
          <w:tcPr>
            <w:tcW w:w="2268" w:type="dxa"/>
            <w:vAlign w:val="center"/>
          </w:tcPr>
          <w:p>
            <w:pPr>
              <w:pStyle w:val="12"/>
            </w:pPr>
            <w:r>
              <w:t>600元/人</w:t>
            </w:r>
          </w:p>
        </w:tc>
        <w:tc>
          <w:tcPr>
            <w:tcW w:w="1276" w:type="dxa"/>
            <w:vAlign w:val="center"/>
          </w:tcPr>
          <w:p>
            <w:pPr>
              <w:pStyle w:val="12"/>
            </w:pPr>
            <w:r>
              <w:t>及时足额发放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符合水库移民扶持条件的人口应发尽发比率</w:t>
            </w:r>
          </w:p>
        </w:tc>
        <w:tc>
          <w:tcPr>
            <w:tcW w:w="2268" w:type="dxa"/>
            <w:vAlign w:val="center"/>
          </w:tcPr>
          <w:p>
            <w:pPr>
              <w:pStyle w:val="12"/>
            </w:pPr>
            <w:r>
              <w:t>大于、等于90%为优，80%-89%为良，60%-79%为中，小于60%为差</w:t>
            </w:r>
          </w:p>
        </w:tc>
        <w:tc>
          <w:tcPr>
            <w:tcW w:w="1276" w:type="dxa"/>
            <w:vAlign w:val="center"/>
          </w:tcPr>
          <w:p>
            <w:pPr>
              <w:pStyle w:val="12"/>
            </w:pPr>
            <w:r>
              <w:t>符合水库移民扶持条件的人口应发尽发比率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截至当年底，直补资金发放率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控制在预算内</w:t>
            </w:r>
          </w:p>
        </w:tc>
        <w:tc>
          <w:tcPr>
            <w:tcW w:w="2268" w:type="dxa"/>
            <w:vAlign w:val="center"/>
          </w:tcPr>
          <w:p>
            <w:pPr>
              <w:pStyle w:val="12"/>
            </w:pPr>
            <w:r>
              <w:t>≤71.88万元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补助人群生活改善情况</w:t>
            </w:r>
          </w:p>
        </w:tc>
        <w:tc>
          <w:tcPr>
            <w:tcW w:w="5386" w:type="dxa"/>
            <w:vAlign w:val="center"/>
          </w:tcPr>
          <w:p>
            <w:pPr>
              <w:pStyle w:val="12"/>
            </w:pPr>
            <w:r>
              <w:t>补助人群在生活方面的改善情况</w:t>
            </w:r>
          </w:p>
        </w:tc>
        <w:tc>
          <w:tcPr>
            <w:tcW w:w="2268" w:type="dxa"/>
            <w:vAlign w:val="center"/>
          </w:tcPr>
          <w:p>
            <w:pPr>
              <w:pStyle w:val="12"/>
            </w:pPr>
            <w:r>
              <w:t>大于、等于90%为优，80%-89%为良，60%-79%为中，小于60%为差</w:t>
            </w:r>
          </w:p>
        </w:tc>
        <w:tc>
          <w:tcPr>
            <w:tcW w:w="1276" w:type="dxa"/>
            <w:vAlign w:val="center"/>
          </w:tcPr>
          <w:p>
            <w:pPr>
              <w:pStyle w:val="12"/>
            </w:pPr>
            <w:r>
              <w:t>有效改善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效率有效提高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大于、等于90%为优，80%-89%为良，60%-79%为中，小于60%为差</w:t>
            </w:r>
          </w:p>
        </w:tc>
        <w:tc>
          <w:tcPr>
            <w:tcW w:w="1276" w:type="dxa"/>
            <w:vAlign w:val="center"/>
          </w:tcPr>
          <w:p>
            <w:pPr>
              <w:pStyle w:val="12"/>
            </w:pPr>
            <w:r>
              <w:t>准确发放补助资金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10、2024年中央支持公共文化服务体系建设补助资金绩效目标表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13031324P00535811051K</w:t>
            </w:r>
          </w:p>
        </w:tc>
        <w:tc>
          <w:tcPr>
            <w:tcW w:w="2835" w:type="dxa"/>
            <w:vAlign w:val="center"/>
          </w:tcPr>
          <w:p>
            <w:pPr>
              <w:pStyle w:val="10"/>
            </w:pPr>
            <w:r>
              <w:t>项目名称</w:t>
            </w:r>
          </w:p>
        </w:tc>
        <w:tc>
          <w:tcPr>
            <w:tcW w:w="6095" w:type="dxa"/>
            <w:gridSpan w:val="3"/>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w:t>
            </w:r>
          </w:p>
        </w:tc>
        <w:tc>
          <w:tcPr>
            <w:tcW w:w="2835" w:type="dxa"/>
            <w:vAlign w:val="center"/>
          </w:tcPr>
          <w:p>
            <w:pPr>
              <w:pStyle w:val="10"/>
            </w:pPr>
            <w:r>
              <w:t>其中：财政    资金</w:t>
            </w:r>
          </w:p>
        </w:tc>
        <w:tc>
          <w:tcPr>
            <w:tcW w:w="2551" w:type="dxa"/>
            <w:vAlign w:val="center"/>
          </w:tcPr>
          <w:p>
            <w:pPr>
              <w:pStyle w:val="12"/>
            </w:pPr>
            <w:r>
              <w:t>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rPr>
                <w:rFonts w:hint="eastAsia" w:eastAsia="方正书宋_GBK"/>
                <w:lang w:eastAsia="zh-CN"/>
              </w:rPr>
            </w:pPr>
            <w:r>
              <w:t>引导和支持提供基本公共文化服务项目，改善基础公共文化体育设施条件。保障广大群众读书看报、观看电视、观赏电影、进行文化鉴赏，开展文化体育活动等</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1.引导和支持提供基本公共文化服务项目，改善基础公共文化体育设施条件</w:t>
            </w:r>
            <w:r>
              <w:rPr>
                <w:rFonts w:hint="eastAsia"/>
                <w:lang w:eastAsia="zh-CN"/>
              </w:rPr>
              <w:t>。</w:t>
            </w:r>
          </w:p>
          <w:p>
            <w:pPr>
              <w:pStyle w:val="12"/>
              <w:rPr>
                <w:rFonts w:hint="eastAsia" w:eastAsia="方正书宋_GBK"/>
                <w:lang w:eastAsia="zh-CN"/>
              </w:rPr>
            </w:pPr>
            <w:r>
              <w:t>2.保障广大群众读书看报、观看电视、观赏电影、进行文化鉴赏，开展文化体育活动等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平均每个农家书屋更新图书种数</w:t>
            </w:r>
          </w:p>
        </w:tc>
        <w:tc>
          <w:tcPr>
            <w:tcW w:w="5386" w:type="dxa"/>
            <w:vAlign w:val="center"/>
          </w:tcPr>
          <w:p>
            <w:pPr>
              <w:pStyle w:val="12"/>
            </w:pPr>
            <w:r>
              <w:t>平均每个农家书屋更新图书种数</w:t>
            </w:r>
          </w:p>
        </w:tc>
        <w:tc>
          <w:tcPr>
            <w:tcW w:w="2268" w:type="dxa"/>
            <w:vAlign w:val="center"/>
          </w:tcPr>
          <w:p>
            <w:pPr>
              <w:pStyle w:val="12"/>
            </w:pPr>
            <w:r>
              <w:t>≥3种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≥6场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及时按计划完成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≤3.64万元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≥75%</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提升城市形象，促进公共文化发展</w:t>
            </w:r>
          </w:p>
        </w:tc>
        <w:tc>
          <w:tcPr>
            <w:tcW w:w="1276" w:type="dxa"/>
            <w:vAlign w:val="center"/>
          </w:tcPr>
          <w:p>
            <w:pPr>
              <w:pStyle w:val="12"/>
            </w:pPr>
            <w:r>
              <w:t>保障广大群众享受公共文化服务的权益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13031325P00880111053U</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w:t>
            </w:r>
          </w:p>
        </w:tc>
        <w:tc>
          <w:tcPr>
            <w:tcW w:w="2835" w:type="dxa"/>
            <w:vAlign w:val="center"/>
          </w:tcPr>
          <w:p>
            <w:pPr>
              <w:pStyle w:val="10"/>
            </w:pPr>
            <w:r>
              <w:t>其中：财政    资金</w:t>
            </w:r>
          </w:p>
        </w:tc>
        <w:tc>
          <w:tcPr>
            <w:tcW w:w="2551" w:type="dxa"/>
            <w:vAlign w:val="center"/>
          </w:tcPr>
          <w:p>
            <w:pPr>
              <w:pStyle w:val="12"/>
            </w:pPr>
            <w:r>
              <w:t>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严格按照有关规定要求合理使用资金，专款专用，切实加快资金支出进度。此项资金用于村党组织运转支出，提升服务质量。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2.此项资金用于村党组织运转支出，提升服务质量。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大于、等于90%为优，80%-89%为良，60%-79%为中，小于60%为差</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≤11.3万元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服务有效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13031325P008801110501</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w:t>
            </w:r>
          </w:p>
        </w:tc>
        <w:tc>
          <w:tcPr>
            <w:tcW w:w="2835" w:type="dxa"/>
            <w:vAlign w:val="center"/>
          </w:tcPr>
          <w:p>
            <w:pPr>
              <w:pStyle w:val="10"/>
            </w:pPr>
            <w:r>
              <w:t>其中：财政    资金</w:t>
            </w:r>
          </w:p>
        </w:tc>
        <w:tc>
          <w:tcPr>
            <w:tcW w:w="2551" w:type="dxa"/>
            <w:vAlign w:val="center"/>
          </w:tcPr>
          <w:p>
            <w:pPr>
              <w:pStyle w:val="12"/>
            </w:pPr>
            <w:r>
              <w:t>6.70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严格按照有关规定要求合理使用资金，专款专用，切实加快资金支出进度。此项资金用于村级办公经费支出，提升服务质量。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2.此项资金用于村级办公经费支出，提升服务质量。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大于、等于90%为优，80%-89%为良，60%-79%为中，小于60%为差</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≤6.7万元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服务有效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13031325P00880111051L</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45.50</w:t>
            </w:r>
          </w:p>
        </w:tc>
        <w:tc>
          <w:tcPr>
            <w:tcW w:w="2835" w:type="dxa"/>
            <w:vAlign w:val="center"/>
          </w:tcPr>
          <w:p>
            <w:pPr>
              <w:pStyle w:val="10"/>
            </w:pPr>
            <w:r>
              <w:t>其中：财政    资金</w:t>
            </w:r>
          </w:p>
        </w:tc>
        <w:tc>
          <w:tcPr>
            <w:tcW w:w="2551" w:type="dxa"/>
            <w:vAlign w:val="center"/>
          </w:tcPr>
          <w:p>
            <w:pPr>
              <w:pStyle w:val="12"/>
            </w:pPr>
            <w:r>
              <w:t>45.50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严格按照有关规定要求合理使用资金，专款专用，切实加快资金支出进度。此项资金用于服务群众专项经费支出，提升服务质量。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2.此项资金用于服务群众专项经费支出，提升服务质量。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大于、等于90%为优，80%-89%为良，60%-79%为中，小于60%为差</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≤45.5万元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服务有效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14、关于提前下达2024年中央水库移民扶持基金预算的通知绩效目标表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13031324P00832510095F</w:t>
            </w:r>
          </w:p>
        </w:tc>
        <w:tc>
          <w:tcPr>
            <w:tcW w:w="2835" w:type="dxa"/>
            <w:vAlign w:val="center"/>
          </w:tcPr>
          <w:p>
            <w:pPr>
              <w:pStyle w:val="10"/>
            </w:pPr>
            <w:r>
              <w:t>项目名称</w:t>
            </w:r>
          </w:p>
        </w:tc>
        <w:tc>
          <w:tcPr>
            <w:tcW w:w="6095" w:type="dxa"/>
            <w:gridSpan w:val="3"/>
            <w:vAlign w:val="center"/>
          </w:tcPr>
          <w:p>
            <w:pPr>
              <w:pStyle w:val="12"/>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59.53</w:t>
            </w:r>
          </w:p>
        </w:tc>
        <w:tc>
          <w:tcPr>
            <w:tcW w:w="2835" w:type="dxa"/>
            <w:vAlign w:val="center"/>
          </w:tcPr>
          <w:p>
            <w:pPr>
              <w:pStyle w:val="10"/>
            </w:pPr>
            <w:r>
              <w:t>其中：财政    资金</w:t>
            </w:r>
          </w:p>
        </w:tc>
        <w:tc>
          <w:tcPr>
            <w:tcW w:w="2551" w:type="dxa"/>
            <w:vAlign w:val="center"/>
          </w:tcPr>
          <w:p>
            <w:pPr>
              <w:pStyle w:val="12"/>
            </w:pPr>
            <w:r>
              <w:t>59.53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严格按照有关规定要求合理使用资金，专款专用，切实加快自己支出进度。资金用于发放我辖区水库移民扶持补助，提高水库移民的生活质量。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1.严格按照有关规定要求合理使用资金，专款专用，切实加快自己支出进度。</w:t>
            </w:r>
          </w:p>
          <w:p>
            <w:pPr>
              <w:pStyle w:val="12"/>
            </w:pPr>
            <w:r>
              <w:t>2.资金用于发放我辖区水库移民扶持补助，提高水库移民的生活质量。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后期扶持受益移民人均标准</w:t>
            </w:r>
          </w:p>
        </w:tc>
        <w:tc>
          <w:tcPr>
            <w:tcW w:w="5386" w:type="dxa"/>
            <w:vAlign w:val="center"/>
          </w:tcPr>
          <w:p>
            <w:pPr>
              <w:pStyle w:val="12"/>
            </w:pPr>
          </w:p>
          <w:p>
            <w:pPr>
              <w:pStyle w:val="12"/>
            </w:pPr>
            <w:r>
              <w:t>后期扶持受益移民人均标准</w:t>
            </w:r>
          </w:p>
          <w:p>
            <w:pPr>
              <w:pStyle w:val="12"/>
            </w:pPr>
          </w:p>
        </w:tc>
        <w:tc>
          <w:tcPr>
            <w:tcW w:w="2268" w:type="dxa"/>
            <w:vAlign w:val="center"/>
          </w:tcPr>
          <w:p>
            <w:pPr>
              <w:pStyle w:val="12"/>
            </w:pPr>
            <w:r>
              <w:t>≤691人</w:t>
            </w:r>
          </w:p>
        </w:tc>
        <w:tc>
          <w:tcPr>
            <w:tcW w:w="1276" w:type="dxa"/>
            <w:vAlign w:val="center"/>
          </w:tcPr>
          <w:p>
            <w:pPr>
              <w:pStyle w:val="12"/>
            </w:pPr>
            <w:r>
              <w:t>及时足额发放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符合水库移民扶持条件的人口应发尽发比率</w:t>
            </w:r>
          </w:p>
        </w:tc>
        <w:tc>
          <w:tcPr>
            <w:tcW w:w="2268" w:type="dxa"/>
            <w:vAlign w:val="center"/>
          </w:tcPr>
          <w:p>
            <w:pPr>
              <w:pStyle w:val="12"/>
            </w:pPr>
            <w:r>
              <w:t>大于、等于90%为优，80%-89%为良，60%-79%为中，小于60%为差</w:t>
            </w:r>
          </w:p>
        </w:tc>
        <w:tc>
          <w:tcPr>
            <w:tcW w:w="1276" w:type="dxa"/>
            <w:vAlign w:val="center"/>
          </w:tcPr>
          <w:p>
            <w:pPr>
              <w:pStyle w:val="12"/>
            </w:pPr>
            <w:r>
              <w:t>符合水库移民扶持条件的人口应发尽发比率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截至当年底，直补资金发放率</w:t>
            </w:r>
          </w:p>
          <w:p>
            <w:pPr>
              <w:pStyle w:val="12"/>
            </w:pP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控制在预算内</w:t>
            </w:r>
          </w:p>
        </w:tc>
        <w:tc>
          <w:tcPr>
            <w:tcW w:w="2268" w:type="dxa"/>
            <w:vAlign w:val="center"/>
          </w:tcPr>
          <w:p>
            <w:pPr>
              <w:pStyle w:val="12"/>
            </w:pPr>
            <w:r>
              <w:t>≤70.53万元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补助人群生活改善情况</w:t>
            </w:r>
          </w:p>
        </w:tc>
        <w:tc>
          <w:tcPr>
            <w:tcW w:w="5386" w:type="dxa"/>
            <w:vAlign w:val="center"/>
          </w:tcPr>
          <w:p>
            <w:pPr>
              <w:pStyle w:val="12"/>
            </w:pPr>
            <w:r>
              <w:t>补助人群在生活方面的改善情况</w:t>
            </w:r>
          </w:p>
        </w:tc>
        <w:tc>
          <w:tcPr>
            <w:tcW w:w="2268" w:type="dxa"/>
            <w:vAlign w:val="center"/>
          </w:tcPr>
          <w:p>
            <w:pPr>
              <w:pStyle w:val="12"/>
            </w:pPr>
            <w:r>
              <w:t>大于、等于90%为优，80%-89%为良，60%-79%为中，小于60%为差</w:t>
            </w:r>
          </w:p>
        </w:tc>
        <w:tc>
          <w:tcPr>
            <w:tcW w:w="1276" w:type="dxa"/>
            <w:vAlign w:val="center"/>
          </w:tcPr>
          <w:p>
            <w:pPr>
              <w:pStyle w:val="12"/>
            </w:pPr>
            <w:r>
              <w:t>有效改善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效率有效提高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大于、等于90%为优，80%-89%为良，60%-79%为中，小于60%为差</w:t>
            </w:r>
          </w:p>
        </w:tc>
        <w:tc>
          <w:tcPr>
            <w:tcW w:w="1276" w:type="dxa"/>
            <w:vAlign w:val="center"/>
          </w:tcPr>
          <w:p>
            <w:pPr>
              <w:pStyle w:val="12"/>
            </w:pPr>
            <w:r>
              <w:t>准确发放补助资金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15、关于下达2024年中央水库移民扶持基金预算的通知绩效目标表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13031324P00832510099X</w:t>
            </w:r>
          </w:p>
        </w:tc>
        <w:tc>
          <w:tcPr>
            <w:tcW w:w="2835" w:type="dxa"/>
            <w:vAlign w:val="center"/>
          </w:tcPr>
          <w:p>
            <w:pPr>
              <w:pStyle w:val="10"/>
            </w:pPr>
            <w:r>
              <w:t>项目名称</w:t>
            </w:r>
          </w:p>
        </w:tc>
        <w:tc>
          <w:tcPr>
            <w:tcW w:w="6095" w:type="dxa"/>
            <w:gridSpan w:val="3"/>
            <w:vAlign w:val="center"/>
          </w:tcPr>
          <w:p>
            <w:pPr>
              <w:pStyle w:val="12"/>
            </w:pPr>
            <w:r>
              <w:t>关于下达2024年中央水库移民扶持基金预算的通知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严格按照有关规定要求合理使用资金，专款专用，切实加快资金支出进度。资金用于发放我辖区水库移民扶持补助，提高水库移民的生活质量。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2.资金用于发放我辖区水库移民扶持补助，提高水库移民的生活质量。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后期扶持受益移民人均标准</w:t>
            </w:r>
          </w:p>
        </w:tc>
        <w:tc>
          <w:tcPr>
            <w:tcW w:w="5386" w:type="dxa"/>
            <w:vAlign w:val="center"/>
          </w:tcPr>
          <w:p>
            <w:pPr>
              <w:pStyle w:val="12"/>
            </w:pPr>
          </w:p>
          <w:p>
            <w:pPr>
              <w:pStyle w:val="12"/>
            </w:pPr>
            <w:r>
              <w:t>后期扶持受益移民人均标准</w:t>
            </w:r>
          </w:p>
          <w:p>
            <w:pPr>
              <w:pStyle w:val="12"/>
            </w:pPr>
          </w:p>
        </w:tc>
        <w:tc>
          <w:tcPr>
            <w:tcW w:w="2268" w:type="dxa"/>
            <w:vAlign w:val="center"/>
          </w:tcPr>
          <w:p>
            <w:pPr>
              <w:pStyle w:val="12"/>
            </w:pPr>
            <w:r>
              <w:t>≤691人</w:t>
            </w:r>
          </w:p>
        </w:tc>
        <w:tc>
          <w:tcPr>
            <w:tcW w:w="1276" w:type="dxa"/>
            <w:vAlign w:val="center"/>
          </w:tcPr>
          <w:p>
            <w:pPr>
              <w:pStyle w:val="12"/>
            </w:pPr>
            <w:r>
              <w:t>及时足额发放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符合水库移民扶持条件的人口应发尽发比率</w:t>
            </w:r>
          </w:p>
        </w:tc>
        <w:tc>
          <w:tcPr>
            <w:tcW w:w="2268" w:type="dxa"/>
            <w:vAlign w:val="center"/>
          </w:tcPr>
          <w:p>
            <w:pPr>
              <w:pStyle w:val="12"/>
            </w:pPr>
            <w:r>
              <w:t>大于、等于90%为优，80%-89%为良，60%-79%为中，小于60%为差</w:t>
            </w:r>
          </w:p>
        </w:tc>
        <w:tc>
          <w:tcPr>
            <w:tcW w:w="1276" w:type="dxa"/>
            <w:vAlign w:val="center"/>
          </w:tcPr>
          <w:p>
            <w:pPr>
              <w:pStyle w:val="12"/>
            </w:pPr>
            <w:r>
              <w:t>符合水库移民扶持条件的人口应发尽发比率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截至当年底，直补资金发放率</w:t>
            </w:r>
          </w:p>
          <w:p>
            <w:pPr>
              <w:pStyle w:val="12"/>
            </w:pP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控制在预算内</w:t>
            </w:r>
          </w:p>
        </w:tc>
        <w:tc>
          <w:tcPr>
            <w:tcW w:w="2268" w:type="dxa"/>
            <w:vAlign w:val="center"/>
          </w:tcPr>
          <w:p>
            <w:pPr>
              <w:pStyle w:val="12"/>
            </w:pPr>
            <w:r>
              <w:t>≤70.53万元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补助人群生活改善情况</w:t>
            </w:r>
          </w:p>
        </w:tc>
        <w:tc>
          <w:tcPr>
            <w:tcW w:w="5386" w:type="dxa"/>
            <w:vAlign w:val="center"/>
          </w:tcPr>
          <w:p>
            <w:pPr>
              <w:pStyle w:val="12"/>
            </w:pPr>
            <w:r>
              <w:t>补助人群在生活方面的改善情况</w:t>
            </w:r>
          </w:p>
        </w:tc>
        <w:tc>
          <w:tcPr>
            <w:tcW w:w="2268" w:type="dxa"/>
            <w:vAlign w:val="center"/>
          </w:tcPr>
          <w:p>
            <w:pPr>
              <w:pStyle w:val="12"/>
            </w:pPr>
            <w:r>
              <w:t>大于、等于90%为优，80%-89%为良，60%-79%为中，小于60%为差</w:t>
            </w:r>
          </w:p>
        </w:tc>
        <w:tc>
          <w:tcPr>
            <w:tcW w:w="1276" w:type="dxa"/>
            <w:vAlign w:val="center"/>
          </w:tcPr>
          <w:p>
            <w:pPr>
              <w:pStyle w:val="12"/>
            </w:pPr>
            <w:r>
              <w:t>有效改善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效率有效提高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大于、等于90%为优，80%-89%为良，60%-79%为中，小于60%为差</w:t>
            </w:r>
          </w:p>
        </w:tc>
        <w:tc>
          <w:tcPr>
            <w:tcW w:w="1276" w:type="dxa"/>
            <w:vAlign w:val="center"/>
          </w:tcPr>
          <w:p>
            <w:pPr>
              <w:pStyle w:val="12"/>
            </w:pPr>
            <w:r>
              <w:t>准确发放补助资金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16、化工大学项目清算费用绩效目标表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13031325P008801110430</w:t>
            </w:r>
          </w:p>
        </w:tc>
        <w:tc>
          <w:tcPr>
            <w:tcW w:w="2835" w:type="dxa"/>
            <w:vAlign w:val="center"/>
          </w:tcPr>
          <w:p>
            <w:pPr>
              <w:pStyle w:val="10"/>
            </w:pPr>
            <w:r>
              <w:t>项目名称</w:t>
            </w:r>
          </w:p>
        </w:tc>
        <w:tc>
          <w:tcPr>
            <w:tcW w:w="6095" w:type="dxa"/>
            <w:gridSpan w:val="3"/>
            <w:vAlign w:val="center"/>
          </w:tcPr>
          <w:p>
            <w:pPr>
              <w:pStyle w:val="12"/>
            </w:pPr>
            <w:r>
              <w:t>化工大学项目清算费用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w:t>
            </w:r>
          </w:p>
        </w:tc>
        <w:tc>
          <w:tcPr>
            <w:tcW w:w="2835" w:type="dxa"/>
            <w:vAlign w:val="center"/>
          </w:tcPr>
          <w:p>
            <w:pPr>
              <w:pStyle w:val="10"/>
            </w:pPr>
            <w:r>
              <w:t>其中：财政    资金</w:t>
            </w:r>
          </w:p>
        </w:tc>
        <w:tc>
          <w:tcPr>
            <w:tcW w:w="2551" w:type="dxa"/>
            <w:vAlign w:val="center"/>
          </w:tcPr>
          <w:p>
            <w:pPr>
              <w:pStyle w:val="12"/>
            </w:pPr>
            <w:r>
              <w:t>27.60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用于辖区内化工大学地块清表费用，推进工作进展，严格遵守规章制度，公平公正、一视同仁、确保社会稳定。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1.严格遵守规章制度，公平公正、一视同仁、确保社会稳定。</w:t>
            </w:r>
          </w:p>
          <w:p>
            <w:pPr>
              <w:pStyle w:val="12"/>
            </w:pPr>
            <w:r>
              <w:t>2.用于辖区内化工大学地块清表费用，推进工作进展。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工程结算审核报告</w:t>
            </w:r>
          </w:p>
        </w:tc>
        <w:tc>
          <w:tcPr>
            <w:tcW w:w="5386" w:type="dxa"/>
            <w:vAlign w:val="center"/>
          </w:tcPr>
          <w:p>
            <w:pPr>
              <w:pStyle w:val="12"/>
            </w:pPr>
            <w:r>
              <w:t>工程结算审核报告</w:t>
            </w:r>
          </w:p>
        </w:tc>
        <w:tc>
          <w:tcPr>
            <w:tcW w:w="2268" w:type="dxa"/>
            <w:vAlign w:val="center"/>
          </w:tcPr>
          <w:p>
            <w:pPr>
              <w:pStyle w:val="12"/>
            </w:pPr>
            <w:r>
              <w:t>≥1份</w:t>
            </w:r>
          </w:p>
        </w:tc>
        <w:tc>
          <w:tcPr>
            <w:tcW w:w="1276" w:type="dxa"/>
            <w:vAlign w:val="center"/>
          </w:tcPr>
          <w:p>
            <w:pPr>
              <w:pStyle w:val="12"/>
            </w:pPr>
            <w:r>
              <w:t>评估报告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推进化工大学项目清表工作进展</w:t>
            </w:r>
          </w:p>
        </w:tc>
        <w:tc>
          <w:tcPr>
            <w:tcW w:w="5386" w:type="dxa"/>
            <w:vAlign w:val="center"/>
          </w:tcPr>
          <w:p>
            <w:pPr>
              <w:pStyle w:val="12"/>
            </w:pPr>
            <w:r>
              <w:t>各项工作有序推进，运转正常</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按照工程结算审核报告控制在预算资金内</w:t>
            </w:r>
          </w:p>
        </w:tc>
        <w:tc>
          <w:tcPr>
            <w:tcW w:w="2268" w:type="dxa"/>
            <w:vAlign w:val="center"/>
          </w:tcPr>
          <w:p>
            <w:pPr>
              <w:pStyle w:val="12"/>
            </w:pPr>
            <w:r>
              <w:t>≤27.6万元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有效保证项目顺利开展</w:t>
            </w:r>
          </w:p>
        </w:tc>
        <w:tc>
          <w:tcPr>
            <w:tcW w:w="2268" w:type="dxa"/>
            <w:vAlign w:val="center"/>
          </w:tcPr>
          <w:p>
            <w:pPr>
              <w:pStyle w:val="12"/>
            </w:pPr>
            <w:r>
              <w:t>顺利开展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改善人民生活环境</w:t>
            </w:r>
          </w:p>
        </w:tc>
        <w:tc>
          <w:tcPr>
            <w:tcW w:w="5386" w:type="dxa"/>
            <w:vAlign w:val="center"/>
          </w:tcPr>
          <w:p>
            <w:pPr>
              <w:pStyle w:val="12"/>
            </w:pPr>
            <w:r>
              <w:t>改善人民生活环境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提供可持续性服务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17、农村人居环境整治（农村保洁、河道保洁）资金绩效目标表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13031325P008801110457</w:t>
            </w:r>
          </w:p>
        </w:tc>
        <w:tc>
          <w:tcPr>
            <w:tcW w:w="2835" w:type="dxa"/>
            <w:vAlign w:val="center"/>
          </w:tcPr>
          <w:p>
            <w:pPr>
              <w:pStyle w:val="10"/>
            </w:pPr>
            <w:r>
              <w:t>项目名称</w:t>
            </w:r>
          </w:p>
        </w:tc>
        <w:tc>
          <w:tcPr>
            <w:tcW w:w="6095" w:type="dxa"/>
            <w:gridSpan w:val="3"/>
            <w:vAlign w:val="center"/>
          </w:tcPr>
          <w:p>
            <w:pPr>
              <w:pStyle w:val="12"/>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171.00</w:t>
            </w:r>
          </w:p>
        </w:tc>
        <w:tc>
          <w:tcPr>
            <w:tcW w:w="2835" w:type="dxa"/>
            <w:vAlign w:val="center"/>
          </w:tcPr>
          <w:p>
            <w:pPr>
              <w:pStyle w:val="10"/>
            </w:pPr>
            <w:r>
              <w:t>其中：财政    资金</w:t>
            </w:r>
          </w:p>
        </w:tc>
        <w:tc>
          <w:tcPr>
            <w:tcW w:w="2551" w:type="dxa"/>
            <w:vAlign w:val="center"/>
          </w:tcPr>
          <w:p>
            <w:pPr>
              <w:pStyle w:val="12"/>
            </w:pPr>
            <w:r>
              <w:t>171.00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为进一步加强我辖区农村环境卫生整治，切实改善人居环境。建立长效机制，严格按照有关规定要求合理使用资金，专款专用，切实加快资金支出进度。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1.建立长效机制，严格按照有关规定要求合理使用资金，专款专用，切实加快资金支出进度。</w:t>
            </w:r>
          </w:p>
          <w:p>
            <w:pPr>
              <w:pStyle w:val="12"/>
            </w:pPr>
            <w:r>
              <w:t>2.为进一步加强我辖区农村环境卫生整治，切实改善人居环境。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农村环卫保洁涉及范围</w:t>
            </w:r>
          </w:p>
        </w:tc>
        <w:tc>
          <w:tcPr>
            <w:tcW w:w="5386" w:type="dxa"/>
            <w:vAlign w:val="center"/>
          </w:tcPr>
          <w:p>
            <w:pPr>
              <w:pStyle w:val="12"/>
            </w:pPr>
            <w:r>
              <w:t>农村环卫保洁涉及范围十三个行政村</w:t>
            </w:r>
          </w:p>
        </w:tc>
        <w:tc>
          <w:tcPr>
            <w:tcW w:w="2268" w:type="dxa"/>
            <w:vAlign w:val="center"/>
          </w:tcPr>
          <w:p>
            <w:pPr>
              <w:pStyle w:val="12"/>
            </w:pPr>
            <w:r>
              <w:t>≤13个</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治理成效</w:t>
            </w:r>
          </w:p>
        </w:tc>
        <w:tc>
          <w:tcPr>
            <w:tcW w:w="5386" w:type="dxa"/>
            <w:vAlign w:val="center"/>
          </w:tcPr>
          <w:p>
            <w:pPr>
              <w:pStyle w:val="12"/>
            </w:pPr>
            <w:r>
              <w:t>农村环卫保洁服务质量</w:t>
            </w:r>
          </w:p>
        </w:tc>
        <w:tc>
          <w:tcPr>
            <w:tcW w:w="2268" w:type="dxa"/>
            <w:vAlign w:val="center"/>
          </w:tcPr>
          <w:p>
            <w:pPr>
              <w:pStyle w:val="12"/>
            </w:pPr>
            <w:r>
              <w:t>不低于合同约定标准</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及时对村内环境卫生进行清理</w:t>
            </w:r>
          </w:p>
        </w:tc>
        <w:tc>
          <w:tcPr>
            <w:tcW w:w="2268" w:type="dxa"/>
            <w:vAlign w:val="center"/>
          </w:tcPr>
          <w:p>
            <w:pPr>
              <w:pStyle w:val="12"/>
            </w:pPr>
            <w:r>
              <w:t>日产日清</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农村环卫保洁支出</w:t>
            </w:r>
          </w:p>
        </w:tc>
        <w:tc>
          <w:tcPr>
            <w:tcW w:w="5386" w:type="dxa"/>
            <w:vAlign w:val="center"/>
          </w:tcPr>
          <w:p>
            <w:pPr>
              <w:pStyle w:val="12"/>
            </w:pPr>
            <w:r>
              <w:t>农村环卫保洁项目支出171万元</w:t>
            </w:r>
          </w:p>
        </w:tc>
        <w:tc>
          <w:tcPr>
            <w:tcW w:w="2268" w:type="dxa"/>
            <w:vAlign w:val="center"/>
          </w:tcPr>
          <w:p>
            <w:pPr>
              <w:pStyle w:val="12"/>
            </w:pPr>
            <w:r>
              <w:t>≤171万元</w:t>
            </w:r>
          </w:p>
        </w:tc>
        <w:tc>
          <w:tcPr>
            <w:tcW w:w="1276" w:type="dxa"/>
            <w:vAlign w:val="center"/>
          </w:tcPr>
          <w:p>
            <w:pPr>
              <w:pStyle w:val="12"/>
            </w:pPr>
            <w:r>
              <w:t>合同、秦皇岛北戴河新区社会发展局秦皇岛北戴河新区城市管理和交通局关于农村垃圾治理工作的相关说明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持续美化人居环境，建立长效机制</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保持环境整洁</w:t>
            </w:r>
          </w:p>
        </w:tc>
        <w:tc>
          <w:tcPr>
            <w:tcW w:w="5386" w:type="dxa"/>
            <w:vAlign w:val="center"/>
          </w:tcPr>
          <w:p>
            <w:pPr>
              <w:pStyle w:val="12"/>
            </w:pPr>
            <w:r>
              <w:t>长效保持人居环境整洁</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p>
            <w:pPr>
              <w:pStyle w:val="12"/>
            </w:pP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受益人员满意数量占总数的比例</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18、秦财教【2024】592号-提前下达2025年中央公共图书馆、美术馆、文化馆【站】免费开放补助资金绩效目标表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13031325P008801111606</w:t>
            </w:r>
          </w:p>
        </w:tc>
        <w:tc>
          <w:tcPr>
            <w:tcW w:w="2835" w:type="dxa"/>
            <w:vAlign w:val="center"/>
          </w:tcPr>
          <w:p>
            <w:pPr>
              <w:pStyle w:val="10"/>
            </w:pPr>
            <w:r>
              <w:t>项目名称</w:t>
            </w:r>
          </w:p>
        </w:tc>
        <w:tc>
          <w:tcPr>
            <w:tcW w:w="6095" w:type="dxa"/>
            <w:gridSpan w:val="3"/>
            <w:vAlign w:val="center"/>
          </w:tcPr>
          <w:p>
            <w:pPr>
              <w:pStyle w:val="12"/>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用于"三馆一站“免费开放等支出，提升公共文化服务质量；严格按照有关规定要求合理使用资金，专款专用，切实加快资金支出进度。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1.用于"三馆一站“免费开放等支出，提升公共文化服务质量。</w:t>
            </w:r>
            <w:r>
              <w:tab/>
            </w:r>
          </w:p>
          <w:p>
            <w:pPr>
              <w:pStyle w:val="12"/>
            </w:pPr>
            <w:r>
              <w:t>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≤2.75万元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≥5场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19、秦财教【2024】598号-提前下达2025年省级公共图书馆、美术馆、文化馆【站】免费开放补助资金绩效目标表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13031325P00880111159T</w:t>
            </w:r>
          </w:p>
        </w:tc>
        <w:tc>
          <w:tcPr>
            <w:tcW w:w="2835" w:type="dxa"/>
            <w:vAlign w:val="center"/>
          </w:tcPr>
          <w:p>
            <w:pPr>
              <w:pStyle w:val="10"/>
            </w:pPr>
            <w:r>
              <w:t>项目名称</w:t>
            </w:r>
          </w:p>
        </w:tc>
        <w:tc>
          <w:tcPr>
            <w:tcW w:w="6095" w:type="dxa"/>
            <w:gridSpan w:val="3"/>
            <w:vAlign w:val="center"/>
          </w:tcPr>
          <w:p>
            <w:pPr>
              <w:pStyle w:val="12"/>
            </w:pPr>
            <w:r>
              <w:t>秦财教【2024】598号-提前下达2025年省级公共图书馆、美术馆、文化馆【站】免费开放补助资金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用于"三馆一站“免费开放等支出，提升公共文化服务质量。严格按照有关规定要求合理使用资金，专款专用，切实加快资金支出进度。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1.用于"三馆一站“免费开放等支出，提升公共文化服务质量。</w:t>
            </w:r>
          </w:p>
          <w:p>
            <w:pPr>
              <w:pStyle w:val="12"/>
            </w:pPr>
            <w:r>
              <w:t>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≥1场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20、秦财教【2024】625号-提前下达2025年省级公共文化服务体系建设补助资金【一般项目】绩效目标表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13031325P00880111162D</w:t>
            </w:r>
          </w:p>
        </w:tc>
        <w:tc>
          <w:tcPr>
            <w:tcW w:w="2835" w:type="dxa"/>
            <w:vAlign w:val="center"/>
          </w:tcPr>
          <w:p>
            <w:pPr>
              <w:pStyle w:val="10"/>
            </w:pPr>
            <w:r>
              <w:t>项目名称</w:t>
            </w:r>
          </w:p>
        </w:tc>
        <w:tc>
          <w:tcPr>
            <w:tcW w:w="6095" w:type="dxa"/>
            <w:gridSpan w:val="3"/>
            <w:vAlign w:val="center"/>
          </w:tcPr>
          <w:p>
            <w:pPr>
              <w:pStyle w:val="12"/>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0.53</w:t>
            </w:r>
          </w:p>
        </w:tc>
        <w:tc>
          <w:tcPr>
            <w:tcW w:w="2835" w:type="dxa"/>
            <w:vAlign w:val="center"/>
          </w:tcPr>
          <w:p>
            <w:pPr>
              <w:pStyle w:val="10"/>
            </w:pPr>
            <w:r>
              <w:t>其中：财政    资金</w:t>
            </w:r>
          </w:p>
        </w:tc>
        <w:tc>
          <w:tcPr>
            <w:tcW w:w="2551" w:type="dxa"/>
            <w:vAlign w:val="center"/>
          </w:tcPr>
          <w:p>
            <w:pPr>
              <w:pStyle w:val="12"/>
            </w:pPr>
            <w:r>
              <w:t>0.53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引导和支持提供基本公共文化服务项目，改善基础公共文化体育设施条件；保障广大群众读书看报、观看电视、观赏电影、进行文化鉴赏，开展文化体育活动等基本文化权益。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1.引导和支持提供基本公共文化服务项目，改善基础公共文化体育设施条件</w:t>
            </w:r>
            <w:r>
              <w:rPr>
                <w:rFonts w:hint="eastAsia"/>
                <w:lang w:eastAsia="zh-CN"/>
              </w:rPr>
              <w:t>。</w:t>
            </w:r>
          </w:p>
          <w:p>
            <w:pPr>
              <w:pStyle w:val="12"/>
            </w:pPr>
            <w:r>
              <w:t>2.保障广大群众读书看报、观看电视、观赏电影、进行文化鉴赏，开展文化体育活动等基本文化权益。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平均每个农家书屋更新图书种数</w:t>
            </w:r>
          </w:p>
        </w:tc>
        <w:tc>
          <w:tcPr>
            <w:tcW w:w="5386" w:type="dxa"/>
            <w:vAlign w:val="center"/>
          </w:tcPr>
          <w:p>
            <w:pPr>
              <w:pStyle w:val="12"/>
            </w:pPr>
            <w:r>
              <w:t>平均每个农家书屋更新图书种数</w:t>
            </w:r>
          </w:p>
        </w:tc>
        <w:tc>
          <w:tcPr>
            <w:tcW w:w="2268" w:type="dxa"/>
            <w:vAlign w:val="center"/>
          </w:tcPr>
          <w:p>
            <w:pPr>
              <w:pStyle w:val="12"/>
            </w:pPr>
            <w:r>
              <w:t>≥3种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讲座、论坛等活动数量</w:t>
            </w:r>
          </w:p>
        </w:tc>
        <w:tc>
          <w:tcPr>
            <w:tcW w:w="5386" w:type="dxa"/>
            <w:vAlign w:val="center"/>
          </w:tcPr>
          <w:p>
            <w:pPr>
              <w:pStyle w:val="12"/>
            </w:pPr>
            <w:r>
              <w:t>讲座、论坛等活动数量</w:t>
            </w:r>
          </w:p>
        </w:tc>
        <w:tc>
          <w:tcPr>
            <w:tcW w:w="2268" w:type="dxa"/>
            <w:vAlign w:val="center"/>
          </w:tcPr>
          <w:p>
            <w:pPr>
              <w:pStyle w:val="12"/>
            </w:pPr>
            <w:r>
              <w:t>≥4次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及时按计划完成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≤0.53万元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≥75%</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提升城市形象，促进公共文化发展</w:t>
            </w:r>
          </w:p>
        </w:tc>
        <w:tc>
          <w:tcPr>
            <w:tcW w:w="1276" w:type="dxa"/>
            <w:vAlign w:val="center"/>
          </w:tcPr>
          <w:p>
            <w:pPr>
              <w:pStyle w:val="12"/>
            </w:pPr>
            <w:r>
              <w:t>保障广大群众享受公共文化服务的权益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21、秦财教【2024】705号-提前下达2025年公共图书馆、美术馆、文化馆（站）免费开放市级补助资金绩效目标表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13031325P00880111178Y</w:t>
            </w:r>
          </w:p>
        </w:tc>
        <w:tc>
          <w:tcPr>
            <w:tcW w:w="2835" w:type="dxa"/>
            <w:vAlign w:val="center"/>
          </w:tcPr>
          <w:p>
            <w:pPr>
              <w:pStyle w:val="10"/>
            </w:pPr>
            <w:r>
              <w:t>项目名称</w:t>
            </w:r>
          </w:p>
        </w:tc>
        <w:tc>
          <w:tcPr>
            <w:tcW w:w="6095" w:type="dxa"/>
            <w:gridSpan w:val="3"/>
            <w:vAlign w:val="center"/>
          </w:tcPr>
          <w:p>
            <w:pPr>
              <w:pStyle w:val="12"/>
            </w:pPr>
            <w:r>
              <w:t>秦财教【2024】705号-提前下达2025年公共图书馆、美术馆、文化馆（站）免费开放市级补助资金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用于"三馆一站“免费开放等支出，提升公共文化服务质量。严格按照有关规定要求合理使用资金，专款专用，切实加快资金支出进度。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r>
              <w:tab/>
            </w:r>
          </w:p>
          <w:p>
            <w:pPr>
              <w:pStyle w:val="12"/>
            </w:pPr>
            <w:r>
              <w:t>2.用于"三馆一站“免费开放等支出，提升公共文化服务质量。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≥1场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22、秦财行【2024】652号关于提前下达2025年村级组织运转经费市级补助资金的通知（村党组织活动经费）绩效目标表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13031325P00880111171M</w:t>
            </w:r>
          </w:p>
        </w:tc>
        <w:tc>
          <w:tcPr>
            <w:tcW w:w="2835" w:type="dxa"/>
            <w:vAlign w:val="center"/>
          </w:tcPr>
          <w:p>
            <w:pPr>
              <w:pStyle w:val="10"/>
            </w:pPr>
            <w:r>
              <w:t>项目名称</w:t>
            </w:r>
          </w:p>
        </w:tc>
        <w:tc>
          <w:tcPr>
            <w:tcW w:w="6095" w:type="dxa"/>
            <w:gridSpan w:val="3"/>
            <w:vAlign w:val="center"/>
          </w:tcPr>
          <w:p>
            <w:pPr>
              <w:pStyle w:val="12"/>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此项资金用于村党组织活动的支出，维护基层组织正常运转。严格按照有关规定要求合理使用资金，专款专用，切实加快资金支出进度。</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1.此项资金用于村党组织活动的支出，维护基层组织正常运转。</w:t>
            </w:r>
            <w:r>
              <w:tab/>
            </w:r>
          </w:p>
          <w:p>
            <w:pPr>
              <w:pStyle w:val="12"/>
            </w:pPr>
            <w:r>
              <w:t>2.严格按照有关规定要求合理使用资金，专款专用，切实加快资金支出进度。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行政村保障经费数量</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发放数据的准确性</w:t>
            </w:r>
          </w:p>
        </w:tc>
        <w:tc>
          <w:tcPr>
            <w:tcW w:w="5386" w:type="dxa"/>
            <w:vAlign w:val="center"/>
          </w:tcPr>
          <w:p>
            <w:pPr>
              <w:pStyle w:val="12"/>
            </w:pPr>
            <w:r>
              <w:t>发放数据的准确性</w:t>
            </w:r>
          </w:p>
        </w:tc>
        <w:tc>
          <w:tcPr>
            <w:tcW w:w="2268" w:type="dxa"/>
            <w:vAlign w:val="center"/>
          </w:tcPr>
          <w:p>
            <w:pPr>
              <w:pStyle w:val="12"/>
            </w:pPr>
            <w:r>
              <w:t>100%</w:t>
            </w:r>
          </w:p>
        </w:tc>
        <w:tc>
          <w:tcPr>
            <w:tcW w:w="1276" w:type="dxa"/>
            <w:vAlign w:val="center"/>
          </w:tcPr>
          <w:p>
            <w:pPr>
              <w:pStyle w:val="12"/>
            </w:pPr>
            <w:r>
              <w:t>准确发放资金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≤2.6万元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23、秦财预【2024】538号关于提前下达2025年均衡性转移支付的通知（服务群众专项经费）绩效目标表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13031325P008801111702</w:t>
            </w:r>
          </w:p>
        </w:tc>
        <w:tc>
          <w:tcPr>
            <w:tcW w:w="2835" w:type="dxa"/>
            <w:vAlign w:val="center"/>
          </w:tcPr>
          <w:p>
            <w:pPr>
              <w:pStyle w:val="10"/>
            </w:pPr>
            <w:r>
              <w:t>项目名称</w:t>
            </w:r>
          </w:p>
        </w:tc>
        <w:tc>
          <w:tcPr>
            <w:tcW w:w="6095" w:type="dxa"/>
            <w:gridSpan w:val="3"/>
            <w:vAlign w:val="center"/>
          </w:tcPr>
          <w:p>
            <w:pPr>
              <w:pStyle w:val="12"/>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w:t>
            </w:r>
          </w:p>
        </w:tc>
        <w:tc>
          <w:tcPr>
            <w:tcW w:w="2835" w:type="dxa"/>
            <w:vAlign w:val="center"/>
          </w:tcPr>
          <w:p>
            <w:pPr>
              <w:pStyle w:val="10"/>
            </w:pPr>
            <w:r>
              <w:t>其中：财政    资金</w:t>
            </w:r>
          </w:p>
        </w:tc>
        <w:tc>
          <w:tcPr>
            <w:tcW w:w="2551" w:type="dxa"/>
            <w:vAlign w:val="center"/>
          </w:tcPr>
          <w:p>
            <w:pPr>
              <w:pStyle w:val="12"/>
            </w:pPr>
            <w:r>
              <w:t>19.50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此项资金用于服务群众的支出，提升服务质量。严格按照有关规定要求合理使用资金，专款专用，切实加快资金支出进度。</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1.此项资金用于服务群众的支出，提升服务质量。</w:t>
            </w:r>
            <w:r>
              <w:tab/>
            </w:r>
          </w:p>
          <w:p>
            <w:pPr>
              <w:pStyle w:val="12"/>
            </w:pPr>
            <w:r>
              <w:t>2.严格按照有关规定要求合理使用资金，专款专用，切实加快资金支出进度。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行政村保障经费数量</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发放数据的准确性</w:t>
            </w:r>
          </w:p>
        </w:tc>
        <w:tc>
          <w:tcPr>
            <w:tcW w:w="5386" w:type="dxa"/>
            <w:vAlign w:val="center"/>
          </w:tcPr>
          <w:p>
            <w:pPr>
              <w:pStyle w:val="12"/>
            </w:pPr>
            <w:r>
              <w:t>发放数据的准确性</w:t>
            </w:r>
          </w:p>
        </w:tc>
        <w:tc>
          <w:tcPr>
            <w:tcW w:w="2268" w:type="dxa"/>
            <w:vAlign w:val="center"/>
          </w:tcPr>
          <w:p>
            <w:pPr>
              <w:pStyle w:val="12"/>
            </w:pPr>
            <w:r>
              <w:t>100%</w:t>
            </w:r>
          </w:p>
        </w:tc>
        <w:tc>
          <w:tcPr>
            <w:tcW w:w="1276" w:type="dxa"/>
            <w:vAlign w:val="center"/>
          </w:tcPr>
          <w:p>
            <w:pPr>
              <w:pStyle w:val="12"/>
            </w:pPr>
            <w:r>
              <w:t>准确发放资金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≤19.5万元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24、提前下达2024年中央农村综合改革转移支付预算绩效目标表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13031324P00535811176N</w:t>
            </w:r>
          </w:p>
        </w:tc>
        <w:tc>
          <w:tcPr>
            <w:tcW w:w="2835" w:type="dxa"/>
            <w:vAlign w:val="center"/>
          </w:tcPr>
          <w:p>
            <w:pPr>
              <w:pStyle w:val="10"/>
            </w:pPr>
            <w:r>
              <w:t>项目名称</w:t>
            </w:r>
          </w:p>
        </w:tc>
        <w:tc>
          <w:tcPr>
            <w:tcW w:w="6095" w:type="dxa"/>
            <w:gridSpan w:val="3"/>
            <w:vAlign w:val="center"/>
          </w:tcPr>
          <w:p>
            <w:pPr>
              <w:pStyle w:val="12"/>
            </w:pPr>
            <w:r>
              <w:t>提前下达2024年中央农村综合改革转移支付预算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开展农村综合改革试点示范；推进农村公益事业建设</w:t>
            </w:r>
            <w:r>
              <w:rPr>
                <w:rFonts w:hint="eastAsia"/>
                <w:lang w:eastAsia="zh-CN"/>
              </w:rPr>
              <w:t>。</w:t>
            </w:r>
            <w:bookmarkStart w:id="1" w:name="_GoBack"/>
            <w:bookmarkEnd w:id="1"/>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1.开展农村综合改革试点示范</w:t>
            </w:r>
          </w:p>
          <w:p>
            <w:pPr>
              <w:pStyle w:val="12"/>
            </w:pPr>
            <w:r>
              <w:t>2.推进农村公益事业建设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支持农村公益设施建设数量</w:t>
            </w:r>
          </w:p>
        </w:tc>
        <w:tc>
          <w:tcPr>
            <w:tcW w:w="5386" w:type="dxa"/>
            <w:vAlign w:val="center"/>
          </w:tcPr>
          <w:p>
            <w:pPr>
              <w:pStyle w:val="12"/>
            </w:pPr>
            <w:r>
              <w:t>建设农村街道</w:t>
            </w:r>
          </w:p>
        </w:tc>
        <w:tc>
          <w:tcPr>
            <w:tcW w:w="2268" w:type="dxa"/>
            <w:vAlign w:val="center"/>
          </w:tcPr>
          <w:p>
            <w:pPr>
              <w:pStyle w:val="12"/>
            </w:pPr>
            <w:r>
              <w:t>≥10段</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农村公益事业建设工程验收合格率</w:t>
            </w:r>
          </w:p>
        </w:tc>
        <w:tc>
          <w:tcPr>
            <w:tcW w:w="5386" w:type="dxa"/>
            <w:vAlign w:val="center"/>
          </w:tcPr>
          <w:p>
            <w:pPr>
              <w:pStyle w:val="12"/>
            </w:pPr>
            <w:r>
              <w:t>农村公益事业建设工程验收合格率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截至2022年底，年度农村综合改革转移支付资金执行率</w:t>
            </w:r>
          </w:p>
        </w:tc>
        <w:tc>
          <w:tcPr>
            <w:tcW w:w="5386" w:type="dxa"/>
            <w:vAlign w:val="center"/>
          </w:tcPr>
          <w:p>
            <w:pPr>
              <w:pStyle w:val="12"/>
            </w:pPr>
            <w:r>
              <w:t>截至2022年底，年度农村综合改革转移支付资金执行率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转移支付资金额度</w:t>
            </w:r>
          </w:p>
        </w:tc>
        <w:tc>
          <w:tcPr>
            <w:tcW w:w="5386" w:type="dxa"/>
            <w:vAlign w:val="center"/>
          </w:tcPr>
          <w:p>
            <w:pPr>
              <w:pStyle w:val="12"/>
            </w:pPr>
            <w:r>
              <w:t>转移支付资金额度</w:t>
            </w:r>
          </w:p>
        </w:tc>
        <w:tc>
          <w:tcPr>
            <w:tcW w:w="2268" w:type="dxa"/>
            <w:vAlign w:val="center"/>
          </w:tcPr>
          <w:p>
            <w:pPr>
              <w:pStyle w:val="12"/>
            </w:pPr>
            <w:r>
              <w:t>≤20万元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农村人居环境</w:t>
            </w:r>
          </w:p>
        </w:tc>
        <w:tc>
          <w:tcPr>
            <w:tcW w:w="5386" w:type="dxa"/>
            <w:vAlign w:val="center"/>
          </w:tcPr>
          <w:p>
            <w:pPr>
              <w:pStyle w:val="12"/>
            </w:pPr>
            <w:r>
              <w:t>农村人居环境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农村公益事业滚动项目库</w:t>
            </w:r>
          </w:p>
        </w:tc>
        <w:tc>
          <w:tcPr>
            <w:tcW w:w="5386" w:type="dxa"/>
            <w:vAlign w:val="center"/>
          </w:tcPr>
          <w:p>
            <w:pPr>
              <w:pStyle w:val="12"/>
            </w:pPr>
            <w:r>
              <w:t>农村公益事业滚动项目库</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项目区农民满意度</w:t>
            </w:r>
          </w:p>
        </w:tc>
        <w:tc>
          <w:tcPr>
            <w:tcW w:w="5386" w:type="dxa"/>
            <w:vAlign w:val="center"/>
          </w:tcPr>
          <w:p>
            <w:pPr>
              <w:pStyle w:val="12"/>
            </w:pPr>
            <w:r>
              <w:t>项目区农民满意度</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项目区基层干部满意度</w:t>
            </w:r>
          </w:p>
        </w:tc>
        <w:tc>
          <w:tcPr>
            <w:tcW w:w="5386" w:type="dxa"/>
            <w:vAlign w:val="center"/>
          </w:tcPr>
          <w:p>
            <w:pPr>
              <w:pStyle w:val="12"/>
            </w:pPr>
            <w:r>
              <w:t>项目区基层干部满意度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25、下达2024年中央农村综合改革转移支付资金绩效目标表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13031324P005358111753</w:t>
            </w:r>
          </w:p>
        </w:tc>
        <w:tc>
          <w:tcPr>
            <w:tcW w:w="2835" w:type="dxa"/>
            <w:vAlign w:val="center"/>
          </w:tcPr>
          <w:p>
            <w:pPr>
              <w:pStyle w:val="10"/>
            </w:pPr>
            <w:r>
              <w:t>项目名称</w:t>
            </w:r>
          </w:p>
        </w:tc>
        <w:tc>
          <w:tcPr>
            <w:tcW w:w="6095" w:type="dxa"/>
            <w:gridSpan w:val="3"/>
            <w:vAlign w:val="center"/>
          </w:tcPr>
          <w:p>
            <w:pPr>
              <w:pStyle w:val="12"/>
            </w:pPr>
            <w:r>
              <w:t>下达2024年中央农村综合改革转移支付资金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22.64</w:t>
            </w:r>
          </w:p>
        </w:tc>
        <w:tc>
          <w:tcPr>
            <w:tcW w:w="2835" w:type="dxa"/>
            <w:vAlign w:val="center"/>
          </w:tcPr>
          <w:p>
            <w:pPr>
              <w:pStyle w:val="10"/>
            </w:pPr>
            <w:r>
              <w:t>其中：财政    资金</w:t>
            </w:r>
          </w:p>
        </w:tc>
        <w:tc>
          <w:tcPr>
            <w:tcW w:w="2551" w:type="dxa"/>
            <w:vAlign w:val="center"/>
          </w:tcPr>
          <w:p>
            <w:pPr>
              <w:pStyle w:val="12"/>
            </w:pPr>
            <w:r>
              <w:t>22.64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开展农村综合改革试点示范；推进农村公益事业建设</w:t>
            </w:r>
            <w:r>
              <w:rPr>
                <w:rFonts w:hint="eastAsia"/>
                <w:lang w:eastAsia="zh-CN"/>
              </w:rPr>
              <w:t>。</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1.开展农村综合改革试点示范</w:t>
            </w:r>
            <w:r>
              <w:rPr>
                <w:rFonts w:hint="eastAsia"/>
                <w:lang w:eastAsia="zh-CN"/>
              </w:rPr>
              <w:t>。</w:t>
            </w:r>
          </w:p>
          <w:p>
            <w:pPr>
              <w:pStyle w:val="12"/>
              <w:rPr>
                <w:rFonts w:hint="eastAsia" w:eastAsia="方正书宋_GBK"/>
                <w:lang w:eastAsia="zh-CN"/>
              </w:rPr>
            </w:pPr>
            <w:r>
              <w:t>2.推进农村公益事业建设</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支持农村公益设施建设数量</w:t>
            </w:r>
          </w:p>
        </w:tc>
        <w:tc>
          <w:tcPr>
            <w:tcW w:w="5386" w:type="dxa"/>
            <w:vAlign w:val="center"/>
          </w:tcPr>
          <w:p>
            <w:pPr>
              <w:pStyle w:val="12"/>
            </w:pPr>
            <w:r>
              <w:t>建设太阳能路灯</w:t>
            </w:r>
          </w:p>
        </w:tc>
        <w:tc>
          <w:tcPr>
            <w:tcW w:w="2268" w:type="dxa"/>
            <w:vAlign w:val="center"/>
          </w:tcPr>
          <w:p>
            <w:pPr>
              <w:pStyle w:val="12"/>
            </w:pPr>
            <w:r>
              <w:t>≥163盏</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农村公益事业建设工程验收合格率</w:t>
            </w:r>
          </w:p>
        </w:tc>
        <w:tc>
          <w:tcPr>
            <w:tcW w:w="5386" w:type="dxa"/>
            <w:vAlign w:val="center"/>
          </w:tcPr>
          <w:p>
            <w:pPr>
              <w:pStyle w:val="12"/>
            </w:pPr>
            <w:r>
              <w:t>农村公益事业建设工程验收合格率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转移支付资金额度</w:t>
            </w:r>
          </w:p>
        </w:tc>
        <w:tc>
          <w:tcPr>
            <w:tcW w:w="5386" w:type="dxa"/>
            <w:vAlign w:val="center"/>
          </w:tcPr>
          <w:p>
            <w:pPr>
              <w:pStyle w:val="12"/>
            </w:pPr>
            <w:r>
              <w:t>转移支付资金额度</w:t>
            </w:r>
          </w:p>
          <w:p>
            <w:pPr>
              <w:pStyle w:val="12"/>
            </w:pPr>
          </w:p>
        </w:tc>
        <w:tc>
          <w:tcPr>
            <w:tcW w:w="2268" w:type="dxa"/>
            <w:vAlign w:val="center"/>
          </w:tcPr>
          <w:p>
            <w:pPr>
              <w:pStyle w:val="12"/>
            </w:pPr>
            <w:r>
              <w:t>≤37万元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截至2022年底，年度农村综合改革转移支付资金执行率</w:t>
            </w:r>
          </w:p>
        </w:tc>
        <w:tc>
          <w:tcPr>
            <w:tcW w:w="5386" w:type="dxa"/>
            <w:vAlign w:val="center"/>
          </w:tcPr>
          <w:p>
            <w:pPr>
              <w:pStyle w:val="12"/>
            </w:pPr>
            <w:r>
              <w:t>截至2022年底，年度农村综合改革转移支付资金执行率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农村人居环境</w:t>
            </w:r>
          </w:p>
        </w:tc>
        <w:tc>
          <w:tcPr>
            <w:tcW w:w="5386" w:type="dxa"/>
            <w:vAlign w:val="center"/>
          </w:tcPr>
          <w:p>
            <w:pPr>
              <w:pStyle w:val="12"/>
            </w:pPr>
            <w:r>
              <w:t>农村人居环境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农村公益事业滚动项目库</w:t>
            </w:r>
          </w:p>
        </w:tc>
        <w:tc>
          <w:tcPr>
            <w:tcW w:w="5386" w:type="dxa"/>
            <w:vAlign w:val="center"/>
          </w:tcPr>
          <w:p>
            <w:pPr>
              <w:pStyle w:val="12"/>
            </w:pPr>
            <w:r>
              <w:t>农村公益事业滚动项目库</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项目区农民满意度</w:t>
            </w:r>
          </w:p>
        </w:tc>
        <w:tc>
          <w:tcPr>
            <w:tcW w:w="5386" w:type="dxa"/>
            <w:vAlign w:val="center"/>
          </w:tcPr>
          <w:p>
            <w:pPr>
              <w:pStyle w:val="12"/>
            </w:pPr>
            <w:r>
              <w:t>项目区农民满意度</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项目区基层干部满意度</w:t>
            </w:r>
          </w:p>
        </w:tc>
        <w:tc>
          <w:tcPr>
            <w:tcW w:w="5386" w:type="dxa"/>
            <w:vAlign w:val="center"/>
          </w:tcPr>
          <w:p>
            <w:pPr>
              <w:pStyle w:val="12"/>
            </w:pPr>
            <w:r>
              <w:t>项目区基层干部满意度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13031325P008801110528</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17.60</w:t>
            </w:r>
          </w:p>
        </w:tc>
        <w:tc>
          <w:tcPr>
            <w:tcW w:w="2835" w:type="dxa"/>
            <w:vAlign w:val="center"/>
          </w:tcPr>
          <w:p>
            <w:pPr>
              <w:pStyle w:val="10"/>
            </w:pPr>
            <w:r>
              <w:t>其中：财政    资金</w:t>
            </w:r>
          </w:p>
        </w:tc>
        <w:tc>
          <w:tcPr>
            <w:tcW w:w="2551" w:type="dxa"/>
            <w:vAlign w:val="center"/>
          </w:tcPr>
          <w:p>
            <w:pPr>
              <w:pStyle w:val="12"/>
            </w:pPr>
            <w:r>
              <w:t>17.60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严格按照有关规定要求合理使用资金，专款专用，切实加快资金支出进度。此项资金用于离任村干部补贴资金的发放支出，提升服务质量。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1.严格按照有关规定要求合理使用资金，专款专用，切实加快资金支出进度。</w:t>
            </w:r>
          </w:p>
          <w:p>
            <w:pPr>
              <w:pStyle w:val="12"/>
            </w:pPr>
            <w:r>
              <w:t>2.此项资金用于离任村干部补贴资金的发放支出，提升服务质量。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大于、等于90%为优，80%-89%为良，60%-79%为中，小于60%为差</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≤17.6万元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服务有效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27、中保绿都退还部分土地流转费绩效目标表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13031325P00880111047E</w:t>
            </w:r>
          </w:p>
        </w:tc>
        <w:tc>
          <w:tcPr>
            <w:tcW w:w="2835" w:type="dxa"/>
            <w:vAlign w:val="center"/>
          </w:tcPr>
          <w:p>
            <w:pPr>
              <w:pStyle w:val="10"/>
            </w:pPr>
            <w:r>
              <w:t>项目名称</w:t>
            </w:r>
          </w:p>
        </w:tc>
        <w:tc>
          <w:tcPr>
            <w:tcW w:w="6095" w:type="dxa"/>
            <w:gridSpan w:val="3"/>
            <w:vAlign w:val="center"/>
          </w:tcPr>
          <w:p>
            <w:pPr>
              <w:pStyle w:val="12"/>
            </w:pPr>
            <w:r>
              <w:t>中保绿都退还部分土地流转费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133.50</w:t>
            </w:r>
          </w:p>
        </w:tc>
        <w:tc>
          <w:tcPr>
            <w:tcW w:w="2835" w:type="dxa"/>
            <w:vAlign w:val="center"/>
          </w:tcPr>
          <w:p>
            <w:pPr>
              <w:pStyle w:val="10"/>
            </w:pPr>
            <w:r>
              <w:t>其中：财政    资金</w:t>
            </w:r>
          </w:p>
        </w:tc>
        <w:tc>
          <w:tcPr>
            <w:tcW w:w="2551" w:type="dxa"/>
            <w:vAlign w:val="center"/>
          </w:tcPr>
          <w:p>
            <w:pPr>
              <w:pStyle w:val="12"/>
            </w:pPr>
            <w:r>
              <w:t>133.50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保护农民合法权益，完成土地流转费拨付。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1.保护农民合法权益，完成土地流转费拨付。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土地流转费</w:t>
            </w:r>
          </w:p>
        </w:tc>
        <w:tc>
          <w:tcPr>
            <w:tcW w:w="5386" w:type="dxa"/>
            <w:vAlign w:val="center"/>
          </w:tcPr>
          <w:p>
            <w:pPr>
              <w:pStyle w:val="12"/>
            </w:pPr>
            <w:r>
              <w:t>完成拨付土地流转费</w:t>
            </w:r>
          </w:p>
        </w:tc>
        <w:tc>
          <w:tcPr>
            <w:tcW w:w="2268" w:type="dxa"/>
            <w:vAlign w:val="center"/>
          </w:tcPr>
          <w:p>
            <w:pPr>
              <w:pStyle w:val="12"/>
            </w:pPr>
            <w:r>
              <w:t>≤133.5万元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土地流转费及时拨付</w:t>
            </w:r>
          </w:p>
        </w:tc>
        <w:tc>
          <w:tcPr>
            <w:tcW w:w="5386" w:type="dxa"/>
            <w:vAlign w:val="center"/>
          </w:tcPr>
          <w:p>
            <w:pPr>
              <w:pStyle w:val="12"/>
            </w:pPr>
            <w:r>
              <w:t>完成拨付土地流转费</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支付标准</w:t>
            </w:r>
          </w:p>
        </w:tc>
        <w:tc>
          <w:tcPr>
            <w:tcW w:w="5386" w:type="dxa"/>
            <w:vAlign w:val="center"/>
          </w:tcPr>
          <w:p>
            <w:pPr>
              <w:pStyle w:val="12"/>
            </w:pPr>
            <w:r>
              <w:t>支付标准</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维护农民合法权益</w:t>
            </w:r>
          </w:p>
        </w:tc>
        <w:tc>
          <w:tcPr>
            <w:tcW w:w="5386" w:type="dxa"/>
            <w:vAlign w:val="center"/>
          </w:tcPr>
          <w:p>
            <w:pPr>
              <w:pStyle w:val="12"/>
            </w:pPr>
            <w:r>
              <w:t>维护农民合法权益</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降低农业面源污染</w:t>
            </w:r>
          </w:p>
        </w:tc>
        <w:tc>
          <w:tcPr>
            <w:tcW w:w="5386" w:type="dxa"/>
            <w:vAlign w:val="center"/>
          </w:tcPr>
          <w:p>
            <w:pPr>
              <w:pStyle w:val="12"/>
            </w:pPr>
            <w:r>
              <w:t>减少农药使用</w:t>
            </w:r>
          </w:p>
        </w:tc>
        <w:tc>
          <w:tcPr>
            <w:tcW w:w="2268" w:type="dxa"/>
            <w:vAlign w:val="center"/>
          </w:tcPr>
          <w:p>
            <w:pPr>
              <w:pStyle w:val="12"/>
            </w:pPr>
            <w:r>
              <w:t>≥2%</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增加农民收入</w:t>
            </w:r>
          </w:p>
        </w:tc>
        <w:tc>
          <w:tcPr>
            <w:tcW w:w="5386" w:type="dxa"/>
            <w:vAlign w:val="center"/>
          </w:tcPr>
          <w:p>
            <w:pPr>
              <w:pStyle w:val="12"/>
            </w:pPr>
            <w:r>
              <w:t>增加农民收入</w:t>
            </w:r>
          </w:p>
        </w:tc>
        <w:tc>
          <w:tcPr>
            <w:tcW w:w="2268" w:type="dxa"/>
            <w:vAlign w:val="center"/>
          </w:tcPr>
          <w:p>
            <w:pPr>
              <w:pStyle w:val="12"/>
            </w:pPr>
            <w:r>
              <w:t>≥10%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满足可持续发展</w:t>
            </w:r>
          </w:p>
        </w:tc>
        <w:tc>
          <w:tcPr>
            <w:tcW w:w="5386" w:type="dxa"/>
            <w:vAlign w:val="center"/>
          </w:tcPr>
          <w:p>
            <w:pPr>
              <w:pStyle w:val="12"/>
            </w:pPr>
            <w:r>
              <w:t>满足可持续发展</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农民群众满意度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231.89</w:t>
            </w:r>
          </w:p>
        </w:tc>
        <w:tc>
          <w:tcPr>
            <w:tcW w:w="964" w:type="dxa"/>
            <w:vAlign w:val="center"/>
          </w:tcPr>
          <w:p>
            <w:pPr>
              <w:pStyle w:val="15"/>
            </w:pPr>
            <w:r>
              <w:t>231.89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秦皇岛北戴河新区留守营管理处本级小计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231.89</w:t>
            </w:r>
          </w:p>
        </w:tc>
        <w:tc>
          <w:tcPr>
            <w:tcW w:w="964" w:type="dxa"/>
            <w:vAlign w:val="center"/>
          </w:tcPr>
          <w:p>
            <w:pPr>
              <w:pStyle w:val="15"/>
            </w:pPr>
            <w:r>
              <w:t>231.89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25.25</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4.18</w:t>
            </w:r>
          </w:p>
        </w:tc>
        <w:tc>
          <w:tcPr>
            <w:tcW w:w="964" w:type="dxa"/>
            <w:vAlign w:val="center"/>
          </w:tcPr>
          <w:p>
            <w:pPr>
              <w:pStyle w:val="11"/>
            </w:pPr>
            <w:r>
              <w:t>4.18</w:t>
            </w:r>
          </w:p>
        </w:tc>
        <w:tc>
          <w:tcPr>
            <w:tcW w:w="964" w:type="dxa"/>
            <w:vAlign w:val="center"/>
          </w:tcPr>
          <w:p>
            <w:pPr>
              <w:pStyle w:val="11"/>
            </w:pPr>
            <w:r>
              <w:t>4.18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25.25</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其他期刊</w:t>
            </w:r>
          </w:p>
        </w:tc>
        <w:tc>
          <w:tcPr>
            <w:tcW w:w="1134" w:type="dxa"/>
            <w:vAlign w:val="center"/>
          </w:tcPr>
          <w:p>
            <w:pPr>
              <w:pStyle w:val="12"/>
            </w:pPr>
            <w:r>
              <w:t>A04029900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3</w:t>
            </w:r>
          </w:p>
        </w:tc>
        <w:tc>
          <w:tcPr>
            <w:tcW w:w="850" w:type="dxa"/>
            <w:vAlign w:val="center"/>
          </w:tcPr>
          <w:p>
            <w:pPr>
              <w:pStyle w:val="11"/>
            </w:pPr>
            <w:r>
              <w:t>0.03</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组</w:t>
            </w:r>
          </w:p>
        </w:tc>
        <w:tc>
          <w:tcPr>
            <w:tcW w:w="850" w:type="dxa"/>
            <w:vAlign w:val="center"/>
          </w:tcPr>
          <w:p>
            <w:pPr>
              <w:pStyle w:val="11"/>
            </w:pPr>
            <w:r>
              <w:t>5</w:t>
            </w:r>
          </w:p>
        </w:tc>
        <w:tc>
          <w:tcPr>
            <w:tcW w:w="850" w:type="dxa"/>
            <w:vAlign w:val="center"/>
          </w:tcPr>
          <w:p>
            <w:pPr>
              <w:pStyle w:val="11"/>
            </w:pPr>
            <w:r>
              <w:t>0.05</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480</w:t>
            </w:r>
          </w:p>
        </w:tc>
        <w:tc>
          <w:tcPr>
            <w:tcW w:w="850" w:type="dxa"/>
            <w:vAlign w:val="center"/>
          </w:tcPr>
          <w:p>
            <w:pPr>
              <w:pStyle w:val="11"/>
            </w:pPr>
            <w:r>
              <w:t>0.00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件</w:t>
            </w:r>
          </w:p>
        </w:tc>
        <w:tc>
          <w:tcPr>
            <w:tcW w:w="850" w:type="dxa"/>
            <w:vAlign w:val="center"/>
          </w:tcPr>
          <w:p>
            <w:pPr>
              <w:pStyle w:val="11"/>
            </w:pPr>
            <w:r>
              <w:t>80</w:t>
            </w:r>
          </w:p>
        </w:tc>
        <w:tc>
          <w:tcPr>
            <w:tcW w:w="850" w:type="dxa"/>
            <w:vAlign w:val="center"/>
          </w:tcPr>
          <w:p>
            <w:pPr>
              <w:pStyle w:val="11"/>
            </w:pPr>
            <w:r>
              <w:t>0.01</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件</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商业饮用水</w:t>
            </w:r>
          </w:p>
        </w:tc>
        <w:tc>
          <w:tcPr>
            <w:tcW w:w="1134" w:type="dxa"/>
            <w:vAlign w:val="center"/>
          </w:tcPr>
          <w:p>
            <w:pPr>
              <w:pStyle w:val="12"/>
            </w:pPr>
            <w:r>
              <w:t>A07050502</w:t>
            </w:r>
          </w:p>
        </w:tc>
        <w:tc>
          <w:tcPr>
            <w:tcW w:w="709" w:type="dxa"/>
            <w:vAlign w:val="center"/>
          </w:tcPr>
          <w:p>
            <w:pPr>
              <w:pStyle w:val="13"/>
            </w:pPr>
            <w:r>
              <w:t>桶</w:t>
            </w:r>
          </w:p>
        </w:tc>
        <w:tc>
          <w:tcPr>
            <w:tcW w:w="850" w:type="dxa"/>
            <w:vAlign w:val="center"/>
          </w:tcPr>
          <w:p>
            <w:pPr>
              <w:pStyle w:val="11"/>
            </w:pPr>
            <w:r>
              <w:t>500</w:t>
            </w:r>
          </w:p>
        </w:tc>
        <w:tc>
          <w:tcPr>
            <w:tcW w:w="850" w:type="dxa"/>
            <w:vAlign w:val="center"/>
          </w:tcPr>
          <w:p>
            <w:pPr>
              <w:pStyle w:val="11"/>
            </w:pPr>
            <w:r>
              <w:t>0.00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水的生产和分配</w:t>
            </w:r>
          </w:p>
        </w:tc>
        <w:tc>
          <w:tcPr>
            <w:tcW w:w="1134" w:type="dxa"/>
            <w:vAlign w:val="center"/>
          </w:tcPr>
          <w:p>
            <w:pPr>
              <w:pStyle w:val="12"/>
            </w:pPr>
            <w:r>
              <w:t>C08040000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财务报表编制服务</w:t>
            </w:r>
          </w:p>
        </w:tc>
        <w:tc>
          <w:tcPr>
            <w:tcW w:w="1134" w:type="dxa"/>
            <w:vAlign w:val="center"/>
          </w:tcPr>
          <w:p>
            <w:pPr>
              <w:pStyle w:val="12"/>
            </w:pPr>
            <w:r>
              <w:t>C23020100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其他会计服务</w:t>
            </w:r>
          </w:p>
        </w:tc>
        <w:tc>
          <w:tcPr>
            <w:tcW w:w="1134" w:type="dxa"/>
            <w:vAlign w:val="center"/>
          </w:tcPr>
          <w:p>
            <w:pPr>
              <w:pStyle w:val="12"/>
            </w:pPr>
            <w:r>
              <w:t>C23029900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1.72</w:t>
            </w:r>
          </w:p>
        </w:tc>
        <w:tc>
          <w:tcPr>
            <w:tcW w:w="964" w:type="dxa"/>
            <w:vAlign w:val="center"/>
          </w:tcPr>
          <w:p>
            <w:pPr>
              <w:pStyle w:val="11"/>
            </w:pPr>
            <w:r>
              <w:t>1.72</w:t>
            </w:r>
          </w:p>
        </w:tc>
        <w:tc>
          <w:tcPr>
            <w:tcW w:w="964" w:type="dxa"/>
            <w:vAlign w:val="center"/>
          </w:tcPr>
          <w:p>
            <w:pPr>
              <w:pStyle w:val="11"/>
            </w:pPr>
            <w:r>
              <w:t>1.72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0.51</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58.79</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4.55</w:t>
            </w:r>
          </w:p>
        </w:tc>
        <w:tc>
          <w:tcPr>
            <w:tcW w:w="964" w:type="dxa"/>
            <w:vAlign w:val="center"/>
          </w:tcPr>
          <w:p>
            <w:pPr>
              <w:pStyle w:val="11"/>
            </w:pPr>
            <w:r>
              <w:t>4.55</w:t>
            </w:r>
          </w:p>
        </w:tc>
        <w:tc>
          <w:tcPr>
            <w:tcW w:w="964" w:type="dxa"/>
            <w:vAlign w:val="center"/>
          </w:tcPr>
          <w:p>
            <w:pPr>
              <w:pStyle w:val="11"/>
            </w:pPr>
            <w:r>
              <w:t>4.55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农村人居环境整治（农村保洁、河道保洁）资金</w:t>
            </w:r>
          </w:p>
        </w:tc>
        <w:tc>
          <w:tcPr>
            <w:tcW w:w="964" w:type="dxa"/>
            <w:vAlign w:val="center"/>
          </w:tcPr>
          <w:p>
            <w:pPr>
              <w:pStyle w:val="11"/>
            </w:pPr>
            <w:r>
              <w:t>171.00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秦皇岛北戴河新区留守营管理处本级上年末固定资产金额为</w:t>
      </w:r>
      <w:r>
        <w:rPr>
          <w:rFonts w:hint="eastAsia" w:eastAsia="方正仿宋_GBK" w:cs="Times New Roman"/>
          <w:b w:val="0"/>
          <w:color w:val="000000"/>
          <w:sz w:val="28"/>
          <w:lang w:val="en-US" w:eastAsia="zh-CN"/>
        </w:rPr>
        <w:t>348.68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348.68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407</w:t>
            </w:r>
          </w:p>
        </w:tc>
        <w:tc>
          <w:tcPr>
            <w:tcW w:w="2835" w:type="dxa"/>
            <w:vAlign w:val="center"/>
          </w:tcPr>
          <w:p>
            <w:pPr>
              <w:pStyle w:val="11"/>
              <w:rPr>
                <w:rFonts w:hint="default" w:eastAsia="方正书宋_GBK"/>
                <w:lang w:val="en-US" w:eastAsia="zh-CN"/>
              </w:rPr>
            </w:pPr>
            <w:r>
              <w:rPr>
                <w:rFonts w:hint="eastAsia"/>
                <w:lang w:val="en-US" w:eastAsia="zh-CN"/>
              </w:rPr>
              <w:t>319.70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6250"/>
    <w:rsid w:val="095A5EAA"/>
    <w:rsid w:val="27C560FB"/>
    <w:rsid w:val="349A27ED"/>
    <w:rsid w:val="6009191A"/>
    <w:rsid w:val="7A2356D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9</TotalTime>
  <ScaleCrop>false</ScaleCrop>
  <LinksUpToDate>false</LinksUpToDate>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2025-02-14T16:15:00Z</dcterms:created>
  <dc:creator>Administrator</dc:creator>
  <cp:lastModifiedBy>Administrator</cp:lastModifiedBy>
  <dcterms:modified xsi:type="dcterms:W3CDTF">2025-02-17T07:50:25Z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51A07E53B7384B13B70E33C2AF2F8982</vt:lpwstr>
  </property>
</Properties>
</file>