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2210.95</w:t>
            </w:r>
          </w:p>
        </w:tc>
        <w:tc>
          <w:tcPr>
            <w:tcW w:w="4535" w:type="dxa"/>
            <w:vAlign w:val="center"/>
          </w:tcPr>
          <w:p>
            <w:pPr>
              <w:pStyle w:val="13"/>
            </w:pPr>
            <w:r>
              <w:t>一、一般公共服务支出</w:t>
            </w:r>
          </w:p>
        </w:tc>
        <w:tc>
          <w:tcPr>
            <w:tcW w:w="2126" w:type="dxa"/>
            <w:vAlign w:val="center"/>
          </w:tcPr>
          <w:p>
            <w:pPr>
              <w:pStyle w:val="12"/>
            </w:pPr>
            <w:r>
              <w:t>1043.10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2210.95</w:t>
            </w:r>
          </w:p>
        </w:tc>
        <w:tc>
          <w:tcPr>
            <w:tcW w:w="4535" w:type="dxa"/>
            <w:vAlign w:val="center"/>
          </w:tcPr>
          <w:p>
            <w:pPr>
              <w:pStyle w:val="15"/>
            </w:pPr>
            <w:r>
              <w:t>本年支出合计</w:t>
            </w:r>
          </w:p>
        </w:tc>
        <w:tc>
          <w:tcPr>
            <w:tcW w:w="2126" w:type="dxa"/>
            <w:vAlign w:val="center"/>
          </w:tcPr>
          <w:p>
            <w:pPr>
              <w:pStyle w:val="16"/>
            </w:pPr>
            <w:r>
              <w:t>2210.95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2210.95</w:t>
            </w:r>
          </w:p>
        </w:tc>
        <w:tc>
          <w:tcPr>
            <w:tcW w:w="4535" w:type="dxa"/>
            <w:vAlign w:val="center"/>
          </w:tcPr>
          <w:p>
            <w:pPr>
              <w:pStyle w:val="15"/>
            </w:pPr>
            <w:r>
              <w:t>支出总计</w:t>
            </w:r>
          </w:p>
        </w:tc>
        <w:tc>
          <w:tcPr>
            <w:tcW w:w="2126" w:type="dxa"/>
            <w:vAlign w:val="center"/>
          </w:tcPr>
          <w:p>
            <w:pPr>
              <w:pStyle w:val="16"/>
            </w:pPr>
            <w:r>
              <w:t>2210.95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2210.95</w:t>
            </w:r>
          </w:p>
        </w:tc>
        <w:tc>
          <w:tcPr>
            <w:tcW w:w="1134" w:type="dxa"/>
            <w:vAlign w:val="center"/>
          </w:tcPr>
          <w:p>
            <w:pPr>
              <w:pStyle w:val="16"/>
            </w:pPr>
            <w:r>
              <w:t>2210.95</w:t>
            </w:r>
          </w:p>
        </w:tc>
        <w:tc>
          <w:tcPr>
            <w:tcW w:w="1134" w:type="dxa"/>
            <w:vAlign w:val="center"/>
          </w:tcPr>
          <w:p>
            <w:pPr>
              <w:pStyle w:val="16"/>
            </w:pPr>
            <w:r>
              <w:t>2210.95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1043.10</w:t>
            </w:r>
          </w:p>
        </w:tc>
        <w:tc>
          <w:tcPr>
            <w:tcW w:w="1134" w:type="dxa"/>
            <w:vAlign w:val="center"/>
          </w:tcPr>
          <w:p>
            <w:pPr>
              <w:pStyle w:val="12"/>
            </w:pPr>
            <w:r>
              <w:t>1043.10</w:t>
            </w:r>
          </w:p>
        </w:tc>
        <w:tc>
          <w:tcPr>
            <w:tcW w:w="1134" w:type="dxa"/>
            <w:vAlign w:val="center"/>
          </w:tcPr>
          <w:p>
            <w:pPr>
              <w:pStyle w:val="12"/>
            </w:pPr>
            <w:r>
              <w:t>1043.10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632.10</w:t>
            </w:r>
          </w:p>
        </w:tc>
        <w:tc>
          <w:tcPr>
            <w:tcW w:w="1134" w:type="dxa"/>
            <w:vAlign w:val="center"/>
          </w:tcPr>
          <w:p>
            <w:pPr>
              <w:pStyle w:val="12"/>
            </w:pPr>
            <w:r>
              <w:t>632.10</w:t>
            </w:r>
          </w:p>
        </w:tc>
        <w:tc>
          <w:tcPr>
            <w:tcW w:w="1134" w:type="dxa"/>
            <w:vAlign w:val="center"/>
          </w:tcPr>
          <w:p>
            <w:pPr>
              <w:pStyle w:val="12"/>
            </w:pPr>
            <w:r>
              <w:t>632.10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502.10</w:t>
            </w:r>
          </w:p>
        </w:tc>
        <w:tc>
          <w:tcPr>
            <w:tcW w:w="1134" w:type="dxa"/>
            <w:vAlign w:val="center"/>
          </w:tcPr>
          <w:p>
            <w:pPr>
              <w:pStyle w:val="12"/>
            </w:pPr>
            <w:r>
              <w:t>502.10</w:t>
            </w:r>
          </w:p>
        </w:tc>
        <w:tc>
          <w:tcPr>
            <w:tcW w:w="1134" w:type="dxa"/>
            <w:vAlign w:val="center"/>
          </w:tcPr>
          <w:p>
            <w:pPr>
              <w:pStyle w:val="12"/>
            </w:pPr>
            <w:r>
              <w:t>502.10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2010499</w:t>
            </w:r>
          </w:p>
        </w:tc>
        <w:tc>
          <w:tcPr>
            <w:tcW w:w="1559" w:type="dxa"/>
            <w:vAlign w:val="center"/>
          </w:tcPr>
          <w:p>
            <w:pPr>
              <w:pStyle w:val="13"/>
            </w:pPr>
            <w:r>
              <w:t>其他发展与改革事务支出</w:t>
            </w:r>
          </w:p>
        </w:tc>
        <w:tc>
          <w:tcPr>
            <w:tcW w:w="1134" w:type="dxa"/>
            <w:vAlign w:val="center"/>
          </w:tcPr>
          <w:p>
            <w:pPr>
              <w:pStyle w:val="12"/>
            </w:pPr>
            <w:r>
              <w:t>130.00</w:t>
            </w:r>
          </w:p>
        </w:tc>
        <w:tc>
          <w:tcPr>
            <w:tcW w:w="1134" w:type="dxa"/>
            <w:vAlign w:val="center"/>
          </w:tcPr>
          <w:p>
            <w:pPr>
              <w:pStyle w:val="12"/>
            </w:pPr>
            <w:r>
              <w:t>130.00</w:t>
            </w:r>
          </w:p>
        </w:tc>
        <w:tc>
          <w:tcPr>
            <w:tcW w:w="1134" w:type="dxa"/>
            <w:vAlign w:val="center"/>
          </w:tcPr>
          <w:p>
            <w:pPr>
              <w:pStyle w:val="12"/>
            </w:pPr>
            <w:r>
              <w:t>130.00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20105</w:t>
            </w:r>
          </w:p>
        </w:tc>
        <w:tc>
          <w:tcPr>
            <w:tcW w:w="1559" w:type="dxa"/>
            <w:vAlign w:val="center"/>
          </w:tcPr>
          <w:p>
            <w:pPr>
              <w:pStyle w:val="13"/>
            </w:pPr>
            <w:r>
              <w:t>统计信息事务</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2010507</w:t>
            </w:r>
          </w:p>
        </w:tc>
        <w:tc>
          <w:tcPr>
            <w:tcW w:w="1559" w:type="dxa"/>
            <w:vAlign w:val="center"/>
          </w:tcPr>
          <w:p>
            <w:pPr>
              <w:pStyle w:val="13"/>
            </w:pPr>
            <w:r>
              <w:t>专项普查活动</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6.95</w:t>
            </w:r>
          </w:p>
        </w:tc>
        <w:tc>
          <w:tcPr>
            <w:tcW w:w="1134" w:type="dxa"/>
            <w:vAlign w:val="center"/>
          </w:tcPr>
          <w:p>
            <w:pPr>
              <w:pStyle w:val="12"/>
            </w:pPr>
            <w:r>
              <w:t>6.95</w:t>
            </w:r>
          </w:p>
        </w:tc>
        <w:tc>
          <w:tcPr>
            <w:tcW w:w="1134" w:type="dxa"/>
            <w:vAlign w:val="center"/>
          </w:tcPr>
          <w:p>
            <w:pPr>
              <w:pStyle w:val="12"/>
            </w:pPr>
            <w:r>
              <w:t>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58.92</w:t>
            </w:r>
          </w:p>
        </w:tc>
        <w:tc>
          <w:tcPr>
            <w:tcW w:w="1134" w:type="dxa"/>
            <w:vAlign w:val="center"/>
          </w:tcPr>
          <w:p>
            <w:pPr>
              <w:pStyle w:val="12"/>
            </w:pPr>
            <w:r>
              <w:t>58.92</w:t>
            </w:r>
          </w:p>
        </w:tc>
        <w:tc>
          <w:tcPr>
            <w:tcW w:w="1134" w:type="dxa"/>
            <w:vAlign w:val="center"/>
          </w:tcPr>
          <w:p>
            <w:pPr>
              <w:pStyle w:val="12"/>
            </w:pPr>
            <w:r>
              <w:t>58.92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5.81</w:t>
            </w:r>
          </w:p>
        </w:tc>
        <w:tc>
          <w:tcPr>
            <w:tcW w:w="1134" w:type="dxa"/>
            <w:vAlign w:val="center"/>
          </w:tcPr>
          <w:p>
            <w:pPr>
              <w:pStyle w:val="12"/>
            </w:pPr>
            <w:r>
              <w:t>5.81</w:t>
            </w:r>
          </w:p>
        </w:tc>
        <w:tc>
          <w:tcPr>
            <w:tcW w:w="1134" w:type="dxa"/>
            <w:vAlign w:val="center"/>
          </w:tcPr>
          <w:p>
            <w:pPr>
              <w:pStyle w:val="12"/>
            </w:pPr>
            <w:r>
              <w:t>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r>
              <w:t>47.90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21502</w:t>
            </w:r>
          </w:p>
        </w:tc>
        <w:tc>
          <w:tcPr>
            <w:tcW w:w="1559" w:type="dxa"/>
            <w:vAlign w:val="center"/>
          </w:tcPr>
          <w:p>
            <w:pPr>
              <w:pStyle w:val="13"/>
            </w:pPr>
            <w:r>
              <w:t>制造业</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2150205</w:t>
            </w:r>
          </w:p>
        </w:tc>
        <w:tc>
          <w:tcPr>
            <w:tcW w:w="1559" w:type="dxa"/>
            <w:vAlign w:val="center"/>
          </w:tcPr>
          <w:p>
            <w:pPr>
              <w:pStyle w:val="13"/>
            </w:pPr>
            <w:r>
              <w:t>医药制造业</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r>
              <w:t>48.27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2210.95</w:t>
            </w:r>
          </w:p>
        </w:tc>
        <w:tc>
          <w:tcPr>
            <w:tcW w:w="1361" w:type="dxa"/>
            <w:vAlign w:val="center"/>
          </w:tcPr>
          <w:p>
            <w:pPr>
              <w:pStyle w:val="16"/>
            </w:pPr>
            <w:r>
              <w:t>642.95</w:t>
            </w:r>
          </w:p>
        </w:tc>
        <w:tc>
          <w:tcPr>
            <w:tcW w:w="1361" w:type="dxa"/>
            <w:vAlign w:val="center"/>
          </w:tcPr>
          <w:p>
            <w:pPr>
              <w:pStyle w:val="16"/>
            </w:pPr>
            <w:r>
              <w:t>1568.00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1043.10</w:t>
            </w:r>
          </w:p>
        </w:tc>
        <w:tc>
          <w:tcPr>
            <w:tcW w:w="1361" w:type="dxa"/>
            <w:vAlign w:val="center"/>
          </w:tcPr>
          <w:p>
            <w:pPr>
              <w:pStyle w:val="12"/>
            </w:pPr>
            <w:r>
              <w:t>475.10</w:t>
            </w:r>
          </w:p>
        </w:tc>
        <w:tc>
          <w:tcPr>
            <w:tcW w:w="1361" w:type="dxa"/>
            <w:vAlign w:val="center"/>
          </w:tcPr>
          <w:p>
            <w:pPr>
              <w:pStyle w:val="12"/>
            </w:pPr>
            <w:r>
              <w:t>568.00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632.10</w:t>
            </w:r>
          </w:p>
        </w:tc>
        <w:tc>
          <w:tcPr>
            <w:tcW w:w="1361" w:type="dxa"/>
            <w:vAlign w:val="center"/>
          </w:tcPr>
          <w:p>
            <w:pPr>
              <w:pStyle w:val="12"/>
            </w:pPr>
            <w:r>
              <w:t>475.10</w:t>
            </w:r>
          </w:p>
        </w:tc>
        <w:tc>
          <w:tcPr>
            <w:tcW w:w="1361" w:type="dxa"/>
            <w:vAlign w:val="center"/>
          </w:tcPr>
          <w:p>
            <w:pPr>
              <w:pStyle w:val="12"/>
            </w:pPr>
            <w:r>
              <w:t>157.00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502.10</w:t>
            </w:r>
          </w:p>
        </w:tc>
        <w:tc>
          <w:tcPr>
            <w:tcW w:w="1361" w:type="dxa"/>
            <w:vAlign w:val="center"/>
          </w:tcPr>
          <w:p>
            <w:pPr>
              <w:pStyle w:val="12"/>
            </w:pPr>
            <w:r>
              <w:t>475.10</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2010499</w:t>
            </w:r>
          </w:p>
        </w:tc>
        <w:tc>
          <w:tcPr>
            <w:tcW w:w="4535" w:type="dxa"/>
            <w:vAlign w:val="center"/>
          </w:tcPr>
          <w:p>
            <w:pPr>
              <w:pStyle w:val="13"/>
            </w:pPr>
            <w:r>
              <w:t>其他发展与改革事务支出</w:t>
            </w:r>
          </w:p>
        </w:tc>
        <w:tc>
          <w:tcPr>
            <w:tcW w:w="1361" w:type="dxa"/>
            <w:vAlign w:val="center"/>
          </w:tcPr>
          <w:p>
            <w:pPr>
              <w:pStyle w:val="12"/>
            </w:pPr>
            <w:r>
              <w:t>130.00</w:t>
            </w:r>
          </w:p>
        </w:tc>
        <w:tc>
          <w:tcPr>
            <w:tcW w:w="1361" w:type="dxa"/>
            <w:vAlign w:val="center"/>
          </w:tcPr>
          <w:p>
            <w:pPr>
              <w:pStyle w:val="12"/>
            </w:pPr>
          </w:p>
        </w:tc>
        <w:tc>
          <w:tcPr>
            <w:tcW w:w="1361" w:type="dxa"/>
            <w:vAlign w:val="center"/>
          </w:tcPr>
          <w:p>
            <w:pPr>
              <w:pStyle w:val="12"/>
            </w:pPr>
            <w:r>
              <w:t>130.00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20105</w:t>
            </w:r>
          </w:p>
        </w:tc>
        <w:tc>
          <w:tcPr>
            <w:tcW w:w="4535" w:type="dxa"/>
            <w:vAlign w:val="center"/>
          </w:tcPr>
          <w:p>
            <w:pPr>
              <w:pStyle w:val="13"/>
            </w:pPr>
            <w:r>
              <w:t>统计信息事务</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2010507</w:t>
            </w:r>
          </w:p>
        </w:tc>
        <w:tc>
          <w:tcPr>
            <w:tcW w:w="4535" w:type="dxa"/>
            <w:vAlign w:val="center"/>
          </w:tcPr>
          <w:p>
            <w:pPr>
              <w:pStyle w:val="13"/>
            </w:pPr>
            <w:r>
              <w:t>专项普查活动</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71.68</w:t>
            </w: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71.68</w:t>
            </w: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6.95</w:t>
            </w:r>
          </w:p>
        </w:tc>
        <w:tc>
          <w:tcPr>
            <w:tcW w:w="1361" w:type="dxa"/>
            <w:vAlign w:val="center"/>
          </w:tcPr>
          <w:p>
            <w:pPr>
              <w:pStyle w:val="12"/>
            </w:pPr>
            <w:r>
              <w:t>6.95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58.92</w:t>
            </w:r>
          </w:p>
        </w:tc>
        <w:tc>
          <w:tcPr>
            <w:tcW w:w="1361" w:type="dxa"/>
            <w:vAlign w:val="center"/>
          </w:tcPr>
          <w:p>
            <w:pPr>
              <w:pStyle w:val="12"/>
            </w:pPr>
            <w:r>
              <w:t>58.92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5.81</w:t>
            </w:r>
          </w:p>
        </w:tc>
        <w:tc>
          <w:tcPr>
            <w:tcW w:w="1361" w:type="dxa"/>
            <w:vAlign w:val="center"/>
          </w:tcPr>
          <w:p>
            <w:pPr>
              <w:pStyle w:val="12"/>
            </w:pPr>
            <w:r>
              <w:t>5.81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47.90</w:t>
            </w:r>
          </w:p>
        </w:tc>
        <w:tc>
          <w:tcPr>
            <w:tcW w:w="1361" w:type="dxa"/>
            <w:vAlign w:val="center"/>
          </w:tcPr>
          <w:p>
            <w:pPr>
              <w:pStyle w:val="12"/>
            </w:pPr>
            <w:r>
              <w:t>47.90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47.90</w:t>
            </w:r>
          </w:p>
        </w:tc>
        <w:tc>
          <w:tcPr>
            <w:tcW w:w="1361" w:type="dxa"/>
            <w:vAlign w:val="center"/>
          </w:tcPr>
          <w:p>
            <w:pPr>
              <w:pStyle w:val="12"/>
            </w:pPr>
            <w:r>
              <w:t>47.90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47.90</w:t>
            </w:r>
          </w:p>
        </w:tc>
        <w:tc>
          <w:tcPr>
            <w:tcW w:w="1361" w:type="dxa"/>
            <w:vAlign w:val="center"/>
          </w:tcPr>
          <w:p>
            <w:pPr>
              <w:pStyle w:val="12"/>
            </w:pPr>
            <w:r>
              <w:t>47.90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21502</w:t>
            </w:r>
          </w:p>
        </w:tc>
        <w:tc>
          <w:tcPr>
            <w:tcW w:w="4535" w:type="dxa"/>
            <w:vAlign w:val="center"/>
          </w:tcPr>
          <w:p>
            <w:pPr>
              <w:pStyle w:val="13"/>
            </w:pPr>
            <w:r>
              <w:t>制造业</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2150205</w:t>
            </w:r>
          </w:p>
        </w:tc>
        <w:tc>
          <w:tcPr>
            <w:tcW w:w="4535" w:type="dxa"/>
            <w:vAlign w:val="center"/>
          </w:tcPr>
          <w:p>
            <w:pPr>
              <w:pStyle w:val="13"/>
            </w:pPr>
            <w:r>
              <w:t>医药制造业</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48.27</w:t>
            </w:r>
          </w:p>
        </w:tc>
        <w:tc>
          <w:tcPr>
            <w:tcW w:w="1361" w:type="dxa"/>
            <w:vAlign w:val="center"/>
          </w:tcPr>
          <w:p>
            <w:pPr>
              <w:pStyle w:val="12"/>
            </w:pPr>
            <w:r>
              <w:t>48.27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48.27</w:t>
            </w:r>
          </w:p>
        </w:tc>
        <w:tc>
          <w:tcPr>
            <w:tcW w:w="1361" w:type="dxa"/>
            <w:vAlign w:val="center"/>
          </w:tcPr>
          <w:p>
            <w:pPr>
              <w:pStyle w:val="12"/>
            </w:pPr>
            <w:r>
              <w:t>48.27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48.27</w:t>
            </w:r>
          </w:p>
        </w:tc>
        <w:tc>
          <w:tcPr>
            <w:tcW w:w="1361" w:type="dxa"/>
            <w:vAlign w:val="center"/>
          </w:tcPr>
          <w:p>
            <w:pPr>
              <w:pStyle w:val="12"/>
            </w:pPr>
            <w:r>
              <w:t>48.27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2210.95</w:t>
            </w:r>
          </w:p>
        </w:tc>
        <w:tc>
          <w:tcPr>
            <w:tcW w:w="3402" w:type="dxa"/>
            <w:vAlign w:val="center"/>
          </w:tcPr>
          <w:p>
            <w:pPr>
              <w:pStyle w:val="13"/>
            </w:pPr>
            <w:r>
              <w:t>一、一般公共服务支出</w:t>
            </w:r>
          </w:p>
        </w:tc>
        <w:tc>
          <w:tcPr>
            <w:tcW w:w="1474" w:type="dxa"/>
            <w:vAlign w:val="center"/>
          </w:tcPr>
          <w:p>
            <w:pPr>
              <w:pStyle w:val="12"/>
            </w:pPr>
            <w:r>
              <w:t>1043.10</w:t>
            </w:r>
          </w:p>
        </w:tc>
        <w:tc>
          <w:tcPr>
            <w:tcW w:w="1474" w:type="dxa"/>
            <w:vAlign w:val="center"/>
          </w:tcPr>
          <w:p>
            <w:pPr>
              <w:pStyle w:val="12"/>
            </w:pPr>
            <w:r>
              <w:t>1043.10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71.68</w:t>
            </w:r>
          </w:p>
        </w:tc>
        <w:tc>
          <w:tcPr>
            <w:tcW w:w="1474" w:type="dxa"/>
            <w:vAlign w:val="center"/>
          </w:tcPr>
          <w:p>
            <w:pPr>
              <w:pStyle w:val="12"/>
            </w:pPr>
            <w:r>
              <w:t>71.68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47.90</w:t>
            </w:r>
          </w:p>
        </w:tc>
        <w:tc>
          <w:tcPr>
            <w:tcW w:w="1474" w:type="dxa"/>
            <w:vAlign w:val="center"/>
          </w:tcPr>
          <w:p>
            <w:pPr>
              <w:pStyle w:val="12"/>
            </w:pPr>
            <w:r>
              <w:t>47.90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1000.00</w:t>
            </w:r>
          </w:p>
        </w:tc>
        <w:tc>
          <w:tcPr>
            <w:tcW w:w="1474" w:type="dxa"/>
            <w:vAlign w:val="center"/>
          </w:tcPr>
          <w:p>
            <w:pPr>
              <w:pStyle w:val="12"/>
            </w:pPr>
            <w:r>
              <w:t>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48.27</w:t>
            </w:r>
          </w:p>
        </w:tc>
        <w:tc>
          <w:tcPr>
            <w:tcW w:w="1474" w:type="dxa"/>
            <w:vAlign w:val="center"/>
          </w:tcPr>
          <w:p>
            <w:pPr>
              <w:pStyle w:val="12"/>
            </w:pPr>
            <w:r>
              <w:t>48.27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2210.95</w:t>
            </w:r>
          </w:p>
        </w:tc>
        <w:tc>
          <w:tcPr>
            <w:tcW w:w="3402" w:type="dxa"/>
            <w:vAlign w:val="center"/>
          </w:tcPr>
          <w:p>
            <w:pPr>
              <w:pStyle w:val="15"/>
            </w:pPr>
            <w:r>
              <w:t>本年支出合计</w:t>
            </w:r>
          </w:p>
        </w:tc>
        <w:tc>
          <w:tcPr>
            <w:tcW w:w="1474" w:type="dxa"/>
            <w:vAlign w:val="center"/>
          </w:tcPr>
          <w:p>
            <w:pPr>
              <w:pStyle w:val="16"/>
            </w:pPr>
            <w:r>
              <w:t>2210.95</w:t>
            </w:r>
          </w:p>
        </w:tc>
        <w:tc>
          <w:tcPr>
            <w:tcW w:w="1474" w:type="dxa"/>
            <w:vAlign w:val="center"/>
          </w:tcPr>
          <w:p>
            <w:pPr>
              <w:pStyle w:val="16"/>
            </w:pPr>
            <w:r>
              <w:t>2210.95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2210.95</w:t>
            </w:r>
          </w:p>
        </w:tc>
        <w:tc>
          <w:tcPr>
            <w:tcW w:w="3402" w:type="dxa"/>
            <w:vAlign w:val="center"/>
          </w:tcPr>
          <w:p>
            <w:pPr>
              <w:pStyle w:val="15"/>
            </w:pPr>
            <w:r>
              <w:t>支出总计</w:t>
            </w:r>
          </w:p>
        </w:tc>
        <w:tc>
          <w:tcPr>
            <w:tcW w:w="1474" w:type="dxa"/>
            <w:vAlign w:val="center"/>
          </w:tcPr>
          <w:p>
            <w:pPr>
              <w:pStyle w:val="16"/>
            </w:pPr>
            <w:r>
              <w:t>2210.95</w:t>
            </w:r>
          </w:p>
        </w:tc>
        <w:tc>
          <w:tcPr>
            <w:tcW w:w="1474" w:type="dxa"/>
            <w:vAlign w:val="center"/>
          </w:tcPr>
          <w:p>
            <w:pPr>
              <w:pStyle w:val="16"/>
            </w:pPr>
            <w:r>
              <w:t>2210.95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2210.95</w:t>
            </w:r>
          </w:p>
        </w:tc>
        <w:tc>
          <w:tcPr>
            <w:tcW w:w="2551" w:type="dxa"/>
            <w:vAlign w:val="center"/>
          </w:tcPr>
          <w:p>
            <w:pPr>
              <w:pStyle w:val="16"/>
            </w:pPr>
            <w:r>
              <w:t>642.95</w:t>
            </w:r>
          </w:p>
        </w:tc>
        <w:tc>
          <w:tcPr>
            <w:tcW w:w="2551" w:type="dxa"/>
            <w:vAlign w:val="center"/>
          </w:tcPr>
          <w:p>
            <w:pPr>
              <w:pStyle w:val="16"/>
            </w:pPr>
            <w:r>
              <w:t>1568.00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1043.10</w:t>
            </w:r>
          </w:p>
        </w:tc>
        <w:tc>
          <w:tcPr>
            <w:tcW w:w="2551" w:type="dxa"/>
            <w:vAlign w:val="center"/>
          </w:tcPr>
          <w:p>
            <w:pPr>
              <w:pStyle w:val="12"/>
            </w:pPr>
            <w:r>
              <w:t>475.10</w:t>
            </w:r>
          </w:p>
        </w:tc>
        <w:tc>
          <w:tcPr>
            <w:tcW w:w="2551" w:type="dxa"/>
            <w:vAlign w:val="center"/>
          </w:tcPr>
          <w:p>
            <w:pPr>
              <w:pStyle w:val="12"/>
            </w:pPr>
            <w:r>
              <w:t>568.00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632.10</w:t>
            </w:r>
          </w:p>
        </w:tc>
        <w:tc>
          <w:tcPr>
            <w:tcW w:w="2551" w:type="dxa"/>
            <w:vAlign w:val="center"/>
          </w:tcPr>
          <w:p>
            <w:pPr>
              <w:pStyle w:val="12"/>
            </w:pPr>
            <w:r>
              <w:t>475.10</w:t>
            </w:r>
          </w:p>
        </w:tc>
        <w:tc>
          <w:tcPr>
            <w:tcW w:w="2551" w:type="dxa"/>
            <w:vAlign w:val="center"/>
          </w:tcPr>
          <w:p>
            <w:pPr>
              <w:pStyle w:val="12"/>
            </w:pPr>
            <w:r>
              <w:t>157.00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502.10</w:t>
            </w:r>
          </w:p>
        </w:tc>
        <w:tc>
          <w:tcPr>
            <w:tcW w:w="2551" w:type="dxa"/>
            <w:vAlign w:val="center"/>
          </w:tcPr>
          <w:p>
            <w:pPr>
              <w:pStyle w:val="12"/>
            </w:pPr>
            <w:r>
              <w:t>475.10</w:t>
            </w: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2010499</w:t>
            </w:r>
          </w:p>
        </w:tc>
        <w:tc>
          <w:tcPr>
            <w:tcW w:w="4535" w:type="dxa"/>
            <w:vAlign w:val="center"/>
          </w:tcPr>
          <w:p>
            <w:pPr>
              <w:pStyle w:val="13"/>
            </w:pPr>
            <w:r>
              <w:t>其他发展与改革事务支出</w:t>
            </w:r>
          </w:p>
        </w:tc>
        <w:tc>
          <w:tcPr>
            <w:tcW w:w="2551" w:type="dxa"/>
            <w:vAlign w:val="center"/>
          </w:tcPr>
          <w:p>
            <w:pPr>
              <w:pStyle w:val="12"/>
            </w:pPr>
            <w:r>
              <w:t>130.00</w:t>
            </w:r>
          </w:p>
        </w:tc>
        <w:tc>
          <w:tcPr>
            <w:tcW w:w="2551" w:type="dxa"/>
            <w:vAlign w:val="center"/>
          </w:tcPr>
          <w:p>
            <w:pPr>
              <w:pStyle w:val="12"/>
            </w:pPr>
          </w:p>
        </w:tc>
        <w:tc>
          <w:tcPr>
            <w:tcW w:w="2551"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20105</w:t>
            </w:r>
          </w:p>
        </w:tc>
        <w:tc>
          <w:tcPr>
            <w:tcW w:w="4535" w:type="dxa"/>
            <w:vAlign w:val="center"/>
          </w:tcPr>
          <w:p>
            <w:pPr>
              <w:pStyle w:val="13"/>
            </w:pPr>
            <w:r>
              <w:t>统计信息事务</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2010507</w:t>
            </w:r>
          </w:p>
        </w:tc>
        <w:tc>
          <w:tcPr>
            <w:tcW w:w="4535" w:type="dxa"/>
            <w:vAlign w:val="center"/>
          </w:tcPr>
          <w:p>
            <w:pPr>
              <w:pStyle w:val="13"/>
            </w:pPr>
            <w:r>
              <w:t>专项普查活动</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400.00</w:t>
            </w:r>
          </w:p>
        </w:tc>
        <w:tc>
          <w:tcPr>
            <w:tcW w:w="2551" w:type="dxa"/>
            <w:vAlign w:val="center"/>
          </w:tcPr>
          <w:p>
            <w:pPr>
              <w:pStyle w:val="12"/>
            </w:pPr>
          </w:p>
        </w:tc>
        <w:tc>
          <w:tcPr>
            <w:tcW w:w="2551" w:type="dxa"/>
            <w:vAlign w:val="center"/>
          </w:tcPr>
          <w:p>
            <w:pPr>
              <w:pStyle w:val="12"/>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400.00</w:t>
            </w:r>
          </w:p>
        </w:tc>
        <w:tc>
          <w:tcPr>
            <w:tcW w:w="2551" w:type="dxa"/>
            <w:vAlign w:val="center"/>
          </w:tcPr>
          <w:p>
            <w:pPr>
              <w:pStyle w:val="12"/>
            </w:pPr>
          </w:p>
        </w:tc>
        <w:tc>
          <w:tcPr>
            <w:tcW w:w="2551" w:type="dxa"/>
            <w:vAlign w:val="center"/>
          </w:tcPr>
          <w:p>
            <w:pPr>
              <w:pStyle w:val="12"/>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71.68</w:t>
            </w:r>
          </w:p>
        </w:tc>
        <w:tc>
          <w:tcPr>
            <w:tcW w:w="2551" w:type="dxa"/>
            <w:vAlign w:val="center"/>
          </w:tcPr>
          <w:p>
            <w:pPr>
              <w:pStyle w:val="12"/>
            </w:pPr>
            <w:r>
              <w:t>71.68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71.68</w:t>
            </w:r>
          </w:p>
        </w:tc>
        <w:tc>
          <w:tcPr>
            <w:tcW w:w="2551" w:type="dxa"/>
            <w:vAlign w:val="center"/>
          </w:tcPr>
          <w:p>
            <w:pPr>
              <w:pStyle w:val="12"/>
            </w:pPr>
            <w:r>
              <w:t>71.68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6.95</w:t>
            </w:r>
          </w:p>
        </w:tc>
        <w:tc>
          <w:tcPr>
            <w:tcW w:w="2551" w:type="dxa"/>
            <w:vAlign w:val="center"/>
          </w:tcPr>
          <w:p>
            <w:pPr>
              <w:pStyle w:val="12"/>
            </w:pPr>
            <w:r>
              <w:t>6.95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58.92</w:t>
            </w:r>
          </w:p>
        </w:tc>
        <w:tc>
          <w:tcPr>
            <w:tcW w:w="2551" w:type="dxa"/>
            <w:vAlign w:val="center"/>
          </w:tcPr>
          <w:p>
            <w:pPr>
              <w:pStyle w:val="12"/>
            </w:pPr>
            <w:r>
              <w:t>58.92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5.81</w:t>
            </w:r>
          </w:p>
        </w:tc>
        <w:tc>
          <w:tcPr>
            <w:tcW w:w="2551" w:type="dxa"/>
            <w:vAlign w:val="center"/>
          </w:tcPr>
          <w:p>
            <w:pPr>
              <w:pStyle w:val="12"/>
            </w:pPr>
            <w:r>
              <w:t>5.81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47.90</w:t>
            </w:r>
          </w:p>
        </w:tc>
        <w:tc>
          <w:tcPr>
            <w:tcW w:w="2551" w:type="dxa"/>
            <w:vAlign w:val="center"/>
          </w:tcPr>
          <w:p>
            <w:pPr>
              <w:pStyle w:val="12"/>
            </w:pPr>
            <w:r>
              <w:t>47.90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47.90</w:t>
            </w:r>
          </w:p>
        </w:tc>
        <w:tc>
          <w:tcPr>
            <w:tcW w:w="2551" w:type="dxa"/>
            <w:vAlign w:val="center"/>
          </w:tcPr>
          <w:p>
            <w:pPr>
              <w:pStyle w:val="12"/>
            </w:pPr>
            <w:r>
              <w:t>47.90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47.90</w:t>
            </w:r>
          </w:p>
        </w:tc>
        <w:tc>
          <w:tcPr>
            <w:tcW w:w="2551" w:type="dxa"/>
            <w:vAlign w:val="center"/>
          </w:tcPr>
          <w:p>
            <w:pPr>
              <w:pStyle w:val="12"/>
            </w:pPr>
            <w:r>
              <w:t>47.90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21502</w:t>
            </w:r>
          </w:p>
        </w:tc>
        <w:tc>
          <w:tcPr>
            <w:tcW w:w="4535" w:type="dxa"/>
            <w:vAlign w:val="center"/>
          </w:tcPr>
          <w:p>
            <w:pPr>
              <w:pStyle w:val="13"/>
            </w:pPr>
            <w:r>
              <w:t>制造业</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2150205</w:t>
            </w:r>
          </w:p>
        </w:tc>
        <w:tc>
          <w:tcPr>
            <w:tcW w:w="4535" w:type="dxa"/>
            <w:vAlign w:val="center"/>
          </w:tcPr>
          <w:p>
            <w:pPr>
              <w:pStyle w:val="13"/>
            </w:pPr>
            <w:r>
              <w:t>医药制造业</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48.27</w:t>
            </w:r>
          </w:p>
        </w:tc>
        <w:tc>
          <w:tcPr>
            <w:tcW w:w="2551" w:type="dxa"/>
            <w:vAlign w:val="center"/>
          </w:tcPr>
          <w:p>
            <w:pPr>
              <w:pStyle w:val="12"/>
            </w:pPr>
            <w:r>
              <w:t>48.27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48.27</w:t>
            </w:r>
          </w:p>
        </w:tc>
        <w:tc>
          <w:tcPr>
            <w:tcW w:w="2551" w:type="dxa"/>
            <w:vAlign w:val="center"/>
          </w:tcPr>
          <w:p>
            <w:pPr>
              <w:pStyle w:val="12"/>
            </w:pPr>
            <w:r>
              <w:t>48.27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48.27</w:t>
            </w:r>
          </w:p>
        </w:tc>
        <w:tc>
          <w:tcPr>
            <w:tcW w:w="2551" w:type="dxa"/>
            <w:vAlign w:val="center"/>
          </w:tcPr>
          <w:p>
            <w:pPr>
              <w:pStyle w:val="12"/>
            </w:pPr>
            <w:r>
              <w:t>48.27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642.95</w:t>
            </w:r>
          </w:p>
        </w:tc>
        <w:tc>
          <w:tcPr>
            <w:tcW w:w="2551" w:type="dxa"/>
            <w:vAlign w:val="center"/>
          </w:tcPr>
          <w:p>
            <w:pPr>
              <w:pStyle w:val="16"/>
            </w:pPr>
            <w:r>
              <w:t>598.62</w:t>
            </w:r>
          </w:p>
        </w:tc>
        <w:tc>
          <w:tcPr>
            <w:tcW w:w="2551" w:type="dxa"/>
            <w:vAlign w:val="center"/>
          </w:tcPr>
          <w:p>
            <w:pPr>
              <w:pStyle w:val="16"/>
            </w:pPr>
            <w:r>
              <w:t>44.33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592.06</w:t>
            </w:r>
          </w:p>
        </w:tc>
        <w:tc>
          <w:tcPr>
            <w:tcW w:w="2551" w:type="dxa"/>
            <w:vAlign w:val="center"/>
          </w:tcPr>
          <w:p>
            <w:pPr>
              <w:pStyle w:val="12"/>
            </w:pPr>
            <w:r>
              <w:t>592.06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202.05</w:t>
            </w:r>
          </w:p>
        </w:tc>
        <w:tc>
          <w:tcPr>
            <w:tcW w:w="2551" w:type="dxa"/>
            <w:vAlign w:val="center"/>
          </w:tcPr>
          <w:p>
            <w:pPr>
              <w:pStyle w:val="12"/>
            </w:pPr>
            <w:r>
              <w:t>202.05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49.61</w:t>
            </w:r>
          </w:p>
        </w:tc>
        <w:tc>
          <w:tcPr>
            <w:tcW w:w="2551" w:type="dxa"/>
            <w:vAlign w:val="center"/>
          </w:tcPr>
          <w:p>
            <w:pPr>
              <w:pStyle w:val="12"/>
            </w:pPr>
            <w:r>
              <w:t>49.61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23.89</w:t>
            </w:r>
          </w:p>
        </w:tc>
        <w:tc>
          <w:tcPr>
            <w:tcW w:w="2551" w:type="dxa"/>
            <w:vAlign w:val="center"/>
          </w:tcPr>
          <w:p>
            <w:pPr>
              <w:pStyle w:val="12"/>
            </w:pPr>
            <w:r>
              <w:t>23.89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152.39</w:t>
            </w:r>
          </w:p>
        </w:tc>
        <w:tc>
          <w:tcPr>
            <w:tcW w:w="2551" w:type="dxa"/>
            <w:vAlign w:val="center"/>
          </w:tcPr>
          <w:p>
            <w:pPr>
              <w:pStyle w:val="12"/>
            </w:pPr>
            <w:r>
              <w:t>152.39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58.92</w:t>
            </w:r>
          </w:p>
        </w:tc>
        <w:tc>
          <w:tcPr>
            <w:tcW w:w="2551" w:type="dxa"/>
            <w:vAlign w:val="center"/>
          </w:tcPr>
          <w:p>
            <w:pPr>
              <w:pStyle w:val="12"/>
            </w:pPr>
            <w:r>
              <w:t>58.92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5.81</w:t>
            </w:r>
          </w:p>
        </w:tc>
        <w:tc>
          <w:tcPr>
            <w:tcW w:w="2551" w:type="dxa"/>
            <w:vAlign w:val="center"/>
          </w:tcPr>
          <w:p>
            <w:pPr>
              <w:pStyle w:val="12"/>
            </w:pPr>
            <w:r>
              <w:t>5.81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24.71</w:t>
            </w:r>
          </w:p>
        </w:tc>
        <w:tc>
          <w:tcPr>
            <w:tcW w:w="2551" w:type="dxa"/>
            <w:vAlign w:val="center"/>
          </w:tcPr>
          <w:p>
            <w:pPr>
              <w:pStyle w:val="12"/>
            </w:pPr>
            <w:r>
              <w:t>24.71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23.19</w:t>
            </w:r>
          </w:p>
        </w:tc>
        <w:tc>
          <w:tcPr>
            <w:tcW w:w="2551" w:type="dxa"/>
            <w:vAlign w:val="center"/>
          </w:tcPr>
          <w:p>
            <w:pPr>
              <w:pStyle w:val="12"/>
            </w:pPr>
            <w:r>
              <w:t>23.19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3.22</w:t>
            </w:r>
          </w:p>
        </w:tc>
        <w:tc>
          <w:tcPr>
            <w:tcW w:w="2551" w:type="dxa"/>
            <w:vAlign w:val="center"/>
          </w:tcPr>
          <w:p>
            <w:pPr>
              <w:pStyle w:val="12"/>
            </w:pPr>
            <w:r>
              <w:t>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48.27</w:t>
            </w:r>
          </w:p>
        </w:tc>
        <w:tc>
          <w:tcPr>
            <w:tcW w:w="2551" w:type="dxa"/>
            <w:vAlign w:val="center"/>
          </w:tcPr>
          <w:p>
            <w:pPr>
              <w:pStyle w:val="12"/>
            </w:pPr>
            <w:r>
              <w:t>48.27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42.97</w:t>
            </w:r>
          </w:p>
        </w:tc>
        <w:tc>
          <w:tcPr>
            <w:tcW w:w="2551" w:type="dxa"/>
            <w:vAlign w:val="center"/>
          </w:tcPr>
          <w:p>
            <w:pPr>
              <w:pStyle w:val="12"/>
            </w:pPr>
          </w:p>
        </w:tc>
        <w:tc>
          <w:tcPr>
            <w:tcW w:w="2551" w:type="dxa"/>
            <w:vAlign w:val="center"/>
          </w:tcPr>
          <w:p>
            <w:pPr>
              <w:pStyle w:val="12"/>
            </w:pPr>
            <w:r>
              <w:t>42.97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9.86</w:t>
            </w:r>
          </w:p>
        </w:tc>
        <w:tc>
          <w:tcPr>
            <w:tcW w:w="2551" w:type="dxa"/>
            <w:vAlign w:val="center"/>
          </w:tcPr>
          <w:p>
            <w:pPr>
              <w:pStyle w:val="12"/>
            </w:pPr>
          </w:p>
        </w:tc>
        <w:tc>
          <w:tcPr>
            <w:tcW w:w="2551" w:type="dxa"/>
            <w:vAlign w:val="center"/>
          </w:tcPr>
          <w:p>
            <w:pPr>
              <w:pStyle w:val="12"/>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3.66</w:t>
            </w:r>
          </w:p>
        </w:tc>
        <w:tc>
          <w:tcPr>
            <w:tcW w:w="2551" w:type="dxa"/>
            <w:vAlign w:val="center"/>
          </w:tcPr>
          <w:p>
            <w:pPr>
              <w:pStyle w:val="12"/>
            </w:pPr>
          </w:p>
        </w:tc>
        <w:tc>
          <w:tcPr>
            <w:tcW w:w="2551" w:type="dxa"/>
            <w:vAlign w:val="center"/>
          </w:tcPr>
          <w:p>
            <w:pPr>
              <w:pStyle w:val="12"/>
            </w:pPr>
            <w: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4.88</w:t>
            </w:r>
          </w:p>
        </w:tc>
        <w:tc>
          <w:tcPr>
            <w:tcW w:w="2551" w:type="dxa"/>
            <w:vAlign w:val="center"/>
          </w:tcPr>
          <w:p>
            <w:pPr>
              <w:pStyle w:val="12"/>
            </w:pPr>
          </w:p>
        </w:tc>
        <w:tc>
          <w:tcPr>
            <w:tcW w:w="2551" w:type="dxa"/>
            <w:vAlign w:val="center"/>
          </w:tcPr>
          <w:p>
            <w:pPr>
              <w:pStyle w:val="12"/>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3.17</w:t>
            </w:r>
          </w:p>
        </w:tc>
        <w:tc>
          <w:tcPr>
            <w:tcW w:w="2551" w:type="dxa"/>
            <w:vAlign w:val="center"/>
          </w:tcPr>
          <w:p>
            <w:pPr>
              <w:pStyle w:val="12"/>
            </w:pPr>
          </w:p>
        </w:tc>
        <w:tc>
          <w:tcPr>
            <w:tcW w:w="2551" w:type="dxa"/>
            <w:vAlign w:val="center"/>
          </w:tcPr>
          <w:p>
            <w:pPr>
              <w:pStyle w:val="12"/>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3.42</w:t>
            </w:r>
          </w:p>
        </w:tc>
        <w:tc>
          <w:tcPr>
            <w:tcW w:w="2551" w:type="dxa"/>
            <w:vAlign w:val="center"/>
          </w:tcPr>
          <w:p>
            <w:pPr>
              <w:pStyle w:val="12"/>
            </w:pPr>
          </w:p>
        </w:tc>
        <w:tc>
          <w:tcPr>
            <w:tcW w:w="2551" w:type="dxa"/>
            <w:vAlign w:val="center"/>
          </w:tcPr>
          <w:p>
            <w:pPr>
              <w:pStyle w:val="12"/>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0.39</w:t>
            </w:r>
          </w:p>
        </w:tc>
        <w:tc>
          <w:tcPr>
            <w:tcW w:w="2551" w:type="dxa"/>
            <w:vAlign w:val="center"/>
          </w:tcPr>
          <w:p>
            <w:pPr>
              <w:pStyle w:val="12"/>
            </w:pPr>
          </w:p>
        </w:tc>
        <w:tc>
          <w:tcPr>
            <w:tcW w:w="2551" w:type="dxa"/>
            <w:vAlign w:val="center"/>
          </w:tcPr>
          <w:p>
            <w:pPr>
              <w:pStyle w:val="12"/>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6.56</w:t>
            </w:r>
          </w:p>
        </w:tc>
        <w:tc>
          <w:tcPr>
            <w:tcW w:w="2551" w:type="dxa"/>
            <w:vAlign w:val="center"/>
          </w:tcPr>
          <w:p>
            <w:pPr>
              <w:pStyle w:val="12"/>
            </w:pPr>
            <w:r>
              <w:t>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6.56</w:t>
            </w:r>
          </w:p>
        </w:tc>
        <w:tc>
          <w:tcPr>
            <w:tcW w:w="2551" w:type="dxa"/>
            <w:vAlign w:val="center"/>
          </w:tcPr>
          <w:p>
            <w:pPr>
              <w:pStyle w:val="12"/>
            </w:pPr>
            <w:r>
              <w:t>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2.75</w:t>
            </w:r>
          </w:p>
        </w:tc>
        <w:tc>
          <w:tcPr>
            <w:tcW w:w="2381" w:type="dxa"/>
            <w:vAlign w:val="center"/>
          </w:tcPr>
          <w:p>
            <w:pPr>
              <w:pStyle w:val="16"/>
            </w:pPr>
            <w:r>
              <w:t>2.75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2.75</w:t>
            </w:r>
          </w:p>
        </w:tc>
        <w:tc>
          <w:tcPr>
            <w:tcW w:w="2381" w:type="dxa"/>
            <w:vAlign w:val="center"/>
          </w:tcPr>
          <w:p>
            <w:pPr>
              <w:pStyle w:val="12"/>
            </w:pPr>
            <w:r>
              <w:t>2.75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秦皇岛北戴河新区发展改革局2025年部门预算信息公开情况说明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秦皇岛北戴河新区发展改革局2025年部门预算信息公开情况说明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按照《中华人民共和国预算法》、《地方预决算公开操作规程》和《关于进一步推进预算公开工作的实施意见》规定，现将秦皇岛北戴河新区发展改革局2025年部门预算公开如下：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（一）负责拟订并组织实施经济和社会发展战略、中长期规划和年度计划。</w:t>
      </w:r>
    </w:p>
    <w:p>
      <w:pPr>
        <w:pStyle w:val="26"/>
      </w:pPr>
      <w:r>
        <w:t>（二）贯彻落实国家和省市宏观调控政策，统筹提出新区国民经济和社会发展主要目标，监测预测预警宏观经济和社会发展态势趋势，提出经济调节政策和应对措施的建议。调节经济运行，协调解决经济运行中的重大问题。</w:t>
      </w:r>
    </w:p>
    <w:p>
      <w:pPr>
        <w:pStyle w:val="26"/>
      </w:pPr>
      <w:r>
        <w:t>（三）在产业规划框架内，结合新区重点项目建设和谋划，推进落实新区产业布局和区域经济功能定位，并对规划实施情况进行监测与评估；负责贯彻执行国家、省、市产业政策，协调一、二、三产业发展重大问题并统筹衔接相关发展规划和重大政策。</w:t>
      </w:r>
    </w:p>
    <w:p>
      <w:pPr>
        <w:pStyle w:val="26"/>
      </w:pPr>
      <w:r>
        <w:t>（四）负责新区社会发展和国民经济发展的政策衔接，协调有关重大问题。组织拟定社会发展战略、总体规划，统筹推进基本公共服务体系建设与经济协调发展的政策建议。</w:t>
      </w:r>
    </w:p>
    <w:p>
      <w:pPr>
        <w:pStyle w:val="26"/>
      </w:pPr>
      <w:r>
        <w:t>（五）负责新区投资综合管理。拟定新区固定资产投资总规模、结构调控目标和政策。组织推动重点项目建设，负责配合市有关部门做好新区相关考核，组织新区相关考核工作。</w:t>
      </w:r>
    </w:p>
    <w:p>
      <w:pPr>
        <w:pStyle w:val="26"/>
      </w:pPr>
      <w:r>
        <w:t>（六）负责根据国家、省、市经济体制改革的总体部署，研究提出经济体制改革的实施意见，指导市场体系建设。</w:t>
      </w:r>
    </w:p>
    <w:p>
      <w:pPr>
        <w:pStyle w:val="26"/>
      </w:pPr>
      <w:r>
        <w:t>（七）推进实施融入京津冀协同发展等区域发展战略。</w:t>
      </w:r>
    </w:p>
    <w:p>
      <w:pPr>
        <w:pStyle w:val="26"/>
      </w:pPr>
      <w:r>
        <w:t>（八）负责对接承办市重点项目建设领导小组办公室、市推动京津冀协同发展工作领导小组、市沿海地区率先发展领导小组办公室有关具体工作。</w:t>
      </w:r>
    </w:p>
    <w:p>
      <w:pPr>
        <w:pStyle w:val="26"/>
      </w:pPr>
      <w:r>
        <w:t>（九）贯彻落实全市创新驱动发展战略。推动实施高技术产业和战略性新兴产业发展规划政策，协调产业升级、重大技术装备推广应用等方面的重大问题。</w:t>
      </w:r>
    </w:p>
    <w:p>
      <w:pPr>
        <w:pStyle w:val="26"/>
      </w:pPr>
      <w:r>
        <w:t>（十）负责落实国家统计政策、制度，依法开展统计工作，依法组织开展大型普查活动，分析新区国民经济运行态势，核算新区GDP，指导新区各部门统计工作。</w:t>
      </w:r>
    </w:p>
    <w:p>
      <w:pPr>
        <w:pStyle w:val="26"/>
      </w:pPr>
      <w:r>
        <w:t>（十一）负责监测、分析工业经济运行，推进工业企业转型升级，推进信息化和工业化融合，促进中小企业和民营经济发展。</w:t>
      </w:r>
    </w:p>
    <w:p>
      <w:pPr>
        <w:pStyle w:val="26"/>
      </w:pPr>
      <w:r>
        <w:t>（十二）负责推进市场体系建设，培育发展城乡市场。负责进出口贸易相关工作，推进进出口贸易标准化建设。</w:t>
      </w:r>
    </w:p>
    <w:p>
      <w:pPr>
        <w:pStyle w:val="26"/>
      </w:pPr>
      <w:r>
        <w:t>（十三）负责对外经济工作，依法管理和监督对外经济合作业务。</w:t>
      </w:r>
    </w:p>
    <w:p>
      <w:pPr>
        <w:pStyle w:val="26"/>
      </w:pPr>
      <w:r>
        <w:t>（十四）负责新区国防动员（含人民防空）相关工作。</w:t>
      </w:r>
    </w:p>
    <w:p>
      <w:pPr>
        <w:pStyle w:val="26"/>
      </w:pPr>
      <w:r>
        <w:t>（十五）承办新区党工委、管委会和新区党工委财经委员会、外事工作委员会交办的其他事项。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秦皇岛北戴河新区发展改革局本级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按照预算管理有关规定，目前部门预算的编制实行综合预算管理，即全部收入和支出都反映在预算中。秦皇岛北戴河新区发展改革局机关及所属事业单位的收支包含在部门预算中。</w:t>
      </w:r>
    </w:p>
    <w:p>
      <w:pPr>
        <w:pStyle w:val="19"/>
      </w:pPr>
      <w:r>
        <w:t>1、收入说明</w:t>
      </w:r>
    </w:p>
    <w:p>
      <w:pPr>
        <w:pStyle w:val="19"/>
      </w:pPr>
      <w:r>
        <w:t>反映本部门当年全部收入。2025年预算收入2210.95万元，其中：一般公共预算收入2210.95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发展改革局年度部门预算中支出预算的总体情况。2025年支出预算2210.95万元，其中基本支出642.95万元，包括人员经费598.62万元和日常公用经费44.33万元；项目支出1568.00万元，主要为创新十条奖励资金400万元、2025年生物医药产业奖励资金1000万元、项目管理经费100万元、第五次全国经济普查经费11万、发改工作经费27万元、项目落地工作经费30万元。</w:t>
      </w:r>
    </w:p>
    <w:p>
      <w:pPr>
        <w:pStyle w:val="19"/>
      </w:pPr>
      <w:r>
        <w:t>3、比上年增减情况</w:t>
      </w:r>
    </w:p>
    <w:p>
      <w:pPr>
        <w:pStyle w:val="19"/>
      </w:pPr>
      <w:r>
        <w:t>2025年预算收支安排2210.95万元，较2024年预算增加868.88万元，其中：基本支出减少92.13万元，主要为人员调动，日常公用经费及人员经费减少。项目支出增加961.01万元，主要为2025年生物医药产业奖励资金、项目落地工作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eastAsia="方正仿宋_GBK"/>
          <w:lang w:val="en-US" w:eastAsia="zh-CN"/>
        </w:rPr>
      </w:pPr>
      <w:r>
        <w:rPr>
          <w:rFonts w:hint="eastAsia"/>
          <w:lang w:val="en-US" w:eastAsia="zh-CN"/>
        </w:rPr>
        <w:t>2025年，我单位机关运行经费共计安排44.33万元，主要用于日常维修、办公用房水电费、办公用房取暖费、办公用房物业管理费等日常运行支出。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2.75万元，其中因公出国（境）费0.00万元；公务用车购置及运维费2.30万元（其中：公务用车购置费为0.00万元，公务用车运维费2.30万元)；公务接待费0.45万元。与2024年相比增加0.01万元，增减变化的主要原因是公务接待标准提高。</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发展改革局坚持以习近平新时代中国特色社会主义思想为引领，深入学习宣传贯彻党的二十大精神，按照高质量发展要求，着力加强经济运行调度，着力加快重点项目建设，着力推动产业转型升级，紧扣全面建成小康社会目标任务，坚持稳中求进工作总基调，坚持新发展理念，坚持以供给侧结构性改革为主线，坚持以改革开放为动力，紧紧围绕工管委中心工作，竭心尽力谋发展、稳增长、调结构、抓项目、促投资、争资金、惠民生，着力推动全区经济社会高质量发展，加快新区建设现代化经济体系。</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聚力抓发展拼经济</w:t>
      </w:r>
    </w:p>
    <w:p>
      <w:pPr>
        <w:pStyle w:val="23"/>
      </w:pPr>
      <w:r>
        <w:t>绩效目标：一是强化经济运行监测分析。加强经济运行指标监测分析和预警研判，全面客观反映全区经济社会发展成效。二是抓好投资入库纳统。狠抓项目进度，确保重点项目投资完成考核任务；细化目标和措施，确保对各类投资项目做到应统尽统，落实各项扶持企业的政策措施，加快项目审批流程，促进有效投资。三是加大企业培育和挖潜力度。梳理有望达到规上标准的企业，完善重点企业培育库，对达到入统条件的尽快入统。四是启动“十五五”规划编制前期工作。</w:t>
      </w:r>
    </w:p>
    <w:p>
      <w:pPr>
        <w:pStyle w:val="23"/>
      </w:pPr>
      <w:r>
        <w:t>绩效指标：全年地区生产总值完成72亿元，同比增长7%</w:t>
      </w:r>
      <w:r>
        <w:rPr>
          <w:rFonts w:hint="eastAsia"/>
          <w:lang w:eastAsia="zh-CN"/>
        </w:rPr>
        <w:t>。</w:t>
      </w:r>
      <w:bookmarkStart w:id="20" w:name="_GoBack"/>
      <w:bookmarkEnd w:id="20"/>
    </w:p>
    <w:p>
      <w:pPr>
        <w:pStyle w:val="23"/>
      </w:pPr>
      <w:r>
        <w:rPr>
          <w:rFonts w:hint="eastAsia"/>
          <w:lang w:val="en-US" w:eastAsia="zh-CN"/>
        </w:rPr>
        <w:t>2.</w:t>
      </w:r>
      <w:r>
        <w:t>聚力抓投资扩项目</w:t>
      </w:r>
    </w:p>
    <w:p>
      <w:pPr>
        <w:pStyle w:val="23"/>
      </w:pPr>
      <w:r>
        <w:t>绩效目标：全力做好项目谋划、论证、争取，确保项目储备有效接续、滚动推进，持续做好北戴河新区燃机，北戴河新区燃机电厂+新能源多能互补一体化项目、阿那亚北岸文体产业园区等重大项目的实质性开工。</w:t>
      </w:r>
    </w:p>
    <w:p>
      <w:pPr>
        <w:pStyle w:val="23"/>
      </w:pPr>
      <w:r>
        <w:t>绩效指标：初步梳理推进重点项目147个，总投资411.77亿元。力争全年完成固定资产投资完成55亿元，增长10%。全年推进省重点建设项目10个，总投资148.46亿元，年计划投资26.63亿元；力争每季度申报获批省重点前期项目2个以上。推进市重点建设项目35个，总投资209.65亿元，年计划投资41.37亿元。市重点前期项目21个，总投资163.03亿元。</w:t>
      </w:r>
    </w:p>
    <w:p>
      <w:pPr>
        <w:pStyle w:val="23"/>
      </w:pPr>
      <w:r>
        <w:rPr>
          <w:rFonts w:hint="eastAsia"/>
          <w:lang w:val="en-US" w:eastAsia="zh-CN"/>
        </w:rPr>
        <w:t>3.</w:t>
      </w:r>
      <w:r>
        <w:t>聚力抓产能提能级</w:t>
      </w:r>
    </w:p>
    <w:p>
      <w:pPr>
        <w:pStyle w:val="23"/>
      </w:pPr>
      <w:r>
        <w:t xml:space="preserve">绩效目标：一是积极抢抓全国生物制造产业爆发的难得机遇和示范区“7+6”国家级支持政策出台“窗口期”，瞄准生物制造新质生产力、地下管网等重要领域，主动作为，把多重叠加的重大机遇转化为发展资源、发展优势和发展动力。二是围绕重点领域，关注国家、省市动态，主动捕捉资金扶持政策，谋划储备争资项目，加强业务指导和对上跑办，协助各申报单位全力开展上级支持资金争取工作，助力项目建设。 </w:t>
      </w:r>
    </w:p>
    <w:p>
      <w:pPr>
        <w:pStyle w:val="23"/>
      </w:pPr>
      <w:r>
        <w:t>绩效指标：固定资产投资完成55亿元，同比增长10%</w:t>
      </w:r>
      <w:r>
        <w:rPr>
          <w:rFonts w:hint="eastAsia"/>
          <w:lang w:eastAsia="zh-CN"/>
        </w:rPr>
        <w:t>。</w:t>
      </w:r>
    </w:p>
    <w:p>
      <w:pPr>
        <w:pStyle w:val="23"/>
      </w:pPr>
      <w:r>
        <w:rPr>
          <w:rFonts w:hint="eastAsia"/>
          <w:lang w:val="en-US" w:eastAsia="zh-CN"/>
        </w:rPr>
        <w:t>4.</w:t>
      </w:r>
      <w:r>
        <w:t>聚力抓创新增动能</w:t>
      </w:r>
    </w:p>
    <w:p>
      <w:pPr>
        <w:pStyle w:val="23"/>
      </w:pPr>
      <w:r>
        <w:t>绩效目标：一是全力培育生命科学园、医疗器械产业港、合成生物产业园等创新载体的入驻企业和创新创业团队，进一步提升科技型企业的数量和质量。围绕新区重点企业和创新团队人才技术需求，推进企业与京津高校、科研院所开展产学研战略技术合作，推荐申报一批具有较强带动作用的科技项目。二是积极组织企业参加技术合同登记、科技型企业申报、研发费用的归集等各类业务培训，不断提升企业研发投入水平，吸纳京津先进技术成果。加强对重点企业和项目进行走访调研，最大限度释放科技惠企政策效应。</w:t>
      </w:r>
    </w:p>
    <w:p>
      <w:pPr>
        <w:pStyle w:val="23"/>
      </w:pPr>
      <w:r>
        <w:t>绩效指标：经济发展绩效评价等各项考核中力争上游，增比进位</w:t>
      </w:r>
      <w:r>
        <w:rPr>
          <w:rFonts w:hint="eastAsia"/>
          <w:lang w:eastAsia="zh-CN"/>
        </w:rPr>
        <w:t>。</w:t>
      </w:r>
    </w:p>
    <w:p>
      <w:pPr>
        <w:pStyle w:val="23"/>
      </w:pPr>
      <w:r>
        <w:rPr>
          <w:rFonts w:hint="eastAsia"/>
          <w:lang w:val="en-US" w:eastAsia="zh-CN"/>
        </w:rPr>
        <w:t>5.</w:t>
      </w:r>
      <w:r>
        <w:t>聚力抓转型提质效</w:t>
      </w:r>
    </w:p>
    <w:p>
      <w:pPr>
        <w:pStyle w:val="23"/>
      </w:pPr>
      <w:r>
        <w:t>绩效目标：一是充分发挥领导包联制度作用，着重做好企业上规入库工作，提升工业发展质量。二是引导传统工业企业加大技改投入，抓好关键环节的技术改革，推动企业发展提质增效。三是集中人力和财力对重点企业进行扶持，特别是扶持产值在亿元以上制造业企业做大做强。分类指导重点产业，加快推进水产园区建设，努力形成具有新区特色的水产品加工产业集群。四是积极搭建企业发展平台，组织企业参加产学研活动，开阔企业发展理念，鼓励企业引进高端管理和技术人才。</w:t>
      </w:r>
    </w:p>
    <w:p>
      <w:pPr>
        <w:pStyle w:val="23"/>
      </w:pPr>
      <w:r>
        <w:t>绩效指标：规上工业增加值完成3.3亿元，同比增长6%</w:t>
      </w:r>
      <w:r>
        <w:rPr>
          <w:rFonts w:hint="eastAsia"/>
          <w:lang w:eastAsia="zh-CN"/>
        </w:rPr>
        <w:t>。</w:t>
      </w:r>
    </w:p>
    <w:p>
      <w:pPr>
        <w:pStyle w:val="23"/>
      </w:pPr>
      <w:r>
        <w:rPr>
          <w:rFonts w:hint="eastAsia"/>
          <w:lang w:val="en-US" w:eastAsia="zh-CN"/>
        </w:rPr>
        <w:t>6.</w:t>
      </w:r>
      <w:r>
        <w:t>聚力抓商务，促消费</w:t>
      </w:r>
    </w:p>
    <w:p>
      <w:pPr>
        <w:pStyle w:val="23"/>
      </w:pPr>
      <w:r>
        <w:t>绩效目标：一是培育消费新增长点，抓好2025年五一、暑期、十一、元旦等一系列活动筹备工作，大力促进热点消费。持续做好消费品以旧换新工作，多渠道鼓励企业促销，释放消费活力。二是打造消费聚集区，积极培育消费新业态，支持阿那亚、蔚蓝海岸等龙头企业开展活动，引导阿那亚、蔚蓝海岸、南戴河等主要商圈拓宽消费体验场景，丰富文旅业态。三是做好批零住餐企业入统工作。摸清新区批零住餐企业底数，动态管理新区入统企业后备库，确保企业达到纳统标准及时入统。</w:t>
      </w:r>
    </w:p>
    <w:p>
      <w:pPr>
        <w:pStyle w:val="23"/>
      </w:pPr>
      <w:r>
        <w:t>绩效指标：限额以上消费品零售额完成4.6亿元，同比增长7%</w:t>
      </w:r>
      <w:r>
        <w:rPr>
          <w:rFonts w:hint="eastAsia"/>
          <w:lang w:eastAsia="zh-CN"/>
        </w:rPr>
        <w:t>。</w:t>
      </w:r>
    </w:p>
    <w:p>
      <w:pPr>
        <w:pStyle w:val="23"/>
      </w:pPr>
      <w:r>
        <w:rPr>
          <w:rFonts w:hint="eastAsia"/>
          <w:lang w:val="en-US" w:eastAsia="zh-CN"/>
        </w:rPr>
        <w:t>7.</w:t>
      </w:r>
      <w:r>
        <w:t>聚力抓安全，强国防</w:t>
      </w:r>
    </w:p>
    <w:p>
      <w:pPr>
        <w:pStyle w:val="23"/>
      </w:pPr>
      <w:r>
        <w:t>绩效目标：一是不断丰富国防教育和宣传形式，加大对国防政策和国防建设的宣传力度。二是做好人防使用证年检、7.7警报鸣响等日常工作。三是加强人防工程点位巡查，完成人防工程安全生产专项整治，完善应急机制，加强应急准备，提高应急处置和防范能力。四是组织编制完善《人防工程转换实施方案》、《人防工程人员疏散方案》等实施方案，确保在紧急情况下迅速、有效地从平时状态转换为战时状态。</w:t>
      </w:r>
    </w:p>
    <w:p>
      <w:pPr>
        <w:pStyle w:val="23"/>
      </w:pPr>
      <w:r>
        <w:t>绩效指标：加大对国防政策和国防建设的宣传力度。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为加快发改发展，增强发展动力，拓宽发展空间，我们主要采取以下措施：</w:t>
      </w:r>
    </w:p>
    <w:p>
      <w:pPr>
        <w:pStyle w:val="24"/>
      </w:pPr>
      <w:r>
        <w:rPr>
          <w:rFonts w:hint="eastAsia"/>
          <w:lang w:val="en-US" w:eastAsia="zh-CN"/>
        </w:rPr>
        <w:t>1.</w:t>
      </w:r>
      <w:r>
        <w:t>加强组织领导，明确工作责任。</w:t>
      </w:r>
    </w:p>
    <w:p>
      <w:pPr>
        <w:pStyle w:val="24"/>
      </w:pPr>
      <w:r>
        <w:t>高度重视预算绩效各项工作，切实加强领导，增强责任意识，召开专题会议精心谋划，周密部署，明确责任分工，重点工作成立工作专班，扎实推动，确保落实。</w:t>
      </w:r>
    </w:p>
    <w:p>
      <w:pPr>
        <w:pStyle w:val="24"/>
      </w:pPr>
      <w:r>
        <w:rPr>
          <w:rFonts w:hint="eastAsia"/>
          <w:lang w:val="en-US" w:eastAsia="zh-CN"/>
        </w:rPr>
        <w:t>2.</w:t>
      </w:r>
      <w:r>
        <w:t>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rPr>
          <w:rFonts w:hint="eastAsia"/>
          <w:lang w:val="en-US" w:eastAsia="zh-CN"/>
        </w:rPr>
        <w:t>3.</w:t>
      </w:r>
      <w:r>
        <w:t>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rPr>
          <w:rFonts w:hint="eastAsia"/>
          <w:lang w:val="en-US" w:eastAsia="zh-CN"/>
        </w:rPr>
        <w:t>4.</w:t>
      </w:r>
      <w:r>
        <w:t>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rPr>
          <w:rFonts w:hint="eastAsia"/>
          <w:lang w:val="en-US" w:eastAsia="zh-CN"/>
        </w:rPr>
        <w:t>5.</w:t>
      </w:r>
      <w:r>
        <w:t>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rPr>
          <w:rFonts w:hint="eastAsia"/>
          <w:lang w:val="en-US" w:eastAsia="zh-CN"/>
        </w:rPr>
        <w:t>6.</w:t>
      </w:r>
      <w:r>
        <w:t>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rPr>
          <w:rFonts w:hint="eastAsia"/>
          <w:lang w:val="en-US" w:eastAsia="zh-CN"/>
        </w:rPr>
        <w:t>7.</w:t>
      </w:r>
      <w:r>
        <w:t>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rPr>
          <w:rFonts w:hint="eastAsia"/>
          <w:lang w:val="en-US" w:eastAsia="zh-CN"/>
        </w:rPr>
        <w:t>8.</w:t>
      </w:r>
      <w:r>
        <w:t>加强宣传培训调研等</w:t>
      </w:r>
    </w:p>
    <w:p>
      <w:pPr>
        <w:pStyle w:val="24"/>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pStyle w:val="24"/>
      </w:pPr>
      <w:r>
        <w:rPr>
          <w:rFonts w:hint="eastAsia"/>
          <w:lang w:val="en-US" w:eastAsia="zh-CN"/>
        </w:rPr>
        <w:t>9.</w:t>
      </w:r>
      <w:r>
        <w:t>做好项目日常管理。一是坚持重点项目月调度、周督导工作机制，加大跟进力度，积极破解企业发展难题，确保续建项目保投产、开工项目保进度、前期项目保开工，促进扩大投资、投产达效。二是提前筹备，做好全年集开工和集中观摩活动准备工作。加快项目前期推进，争取更多产业、社会民生项目落地开工，推动区域经济发展。加快项目建设进度，争取更多项目投产运营，完善区域产业链和配套设施。三是按照《秦皇岛市重点项目和固定资产投资考核暂行办法》有关要求，做好省市重点项目年度考核工作。</w:t>
      </w:r>
    </w:p>
    <w:p>
      <w:pPr>
        <w:pStyle w:val="24"/>
      </w:pPr>
      <w:r>
        <w:rPr>
          <w:rFonts w:hint="eastAsia"/>
          <w:lang w:val="en-US" w:eastAsia="zh-CN"/>
        </w:rPr>
        <w:t>10.</w:t>
      </w:r>
      <w:r>
        <w:t>加大争取政策资金力度。一是紧抓政策动向。密切关注中央预算内、省级专项资金、债券资金的支持政策方向，提前梳理拟争取资金项目，谋划包装项目，做好资金争取申报工作。二是督促项目单位加快办理项目立项、规划、土地、环评、建设手续，及时纳入国家重大项目储备库，确保申报项目符合申报要求，做好争取资金项目的初审、申报工作。三是加强获批资金项目的日常监管工作，按月督导项目建设情况，督促获批资金项目当年开工、按期完工，确保上级资金及时支付并用于项目建设。</w:t>
      </w:r>
    </w:p>
    <w:p>
      <w:pPr>
        <w:pStyle w:val="24"/>
      </w:pPr>
      <w:r>
        <w:rPr>
          <w:rFonts w:hint="eastAsia"/>
          <w:lang w:val="en-US" w:eastAsia="zh-CN"/>
        </w:rPr>
        <w:t>11.</w:t>
      </w:r>
      <w:r>
        <w:t>做好分包项目推进工作。积极主动对接项目单位，做好日常督导和领办代办服务，通过现场调研等方式及时了解项目推进中存在问题，协助项目单位协调解决项目手续办理、落地开工、建设施工、竣工验收等问题。</w:t>
      </w:r>
    </w:p>
    <w:p>
      <w:pPr>
        <w:pStyle w:val="24"/>
      </w:pPr>
      <w:r>
        <w:rPr>
          <w:rFonts w:hint="eastAsia"/>
          <w:lang w:val="en-US" w:eastAsia="zh-CN"/>
        </w:rPr>
        <w:t>12.</w:t>
      </w:r>
      <w:r>
        <w:t>加强经济形势分析，确保实现发展目标。加强对区域经济运行和社会发展情况的监测与分析，努力保持国民经济平稳较快发展。2025年继续加大调控力度，加强对经济和社会发展重点、难点问题的研究，保证全区国民经济和社会发展呈现出又好又快的发展态势。</w:t>
      </w:r>
    </w:p>
    <w:p>
      <w:pPr>
        <w:pStyle w:val="24"/>
      </w:pPr>
      <w:r>
        <w:rPr>
          <w:rFonts w:hint="eastAsia"/>
          <w:lang w:val="en-US" w:eastAsia="zh-CN"/>
        </w:rPr>
        <w:t>13.</w:t>
      </w:r>
      <w:r>
        <w:t>持续推进县域科技创新跃升工作。按照县域创新跃升实施方案工作任务，统筹协调相关部门，扎实推进县域科技创新跃升工作；紧密对接市科技局，围绕考核工作要点，完成好县域科技创新跃升工作。</w:t>
      </w:r>
    </w:p>
    <w:p>
      <w:pPr>
        <w:pStyle w:val="24"/>
      </w:pPr>
      <w:r>
        <w:rPr>
          <w:rFonts w:hint="eastAsia"/>
          <w:lang w:val="en-US" w:eastAsia="zh-CN"/>
        </w:rPr>
        <w:t>14.</w:t>
      </w:r>
      <w:r>
        <w:t>大力培育发展科技型企业。全力培育孵化器入驻企业和创新创业团队，持续推进科技型中小企业、高新技术企业培育认定工作，争取在企业工程技术研究中心、重点实验室建设等方面取得新的突破。</w:t>
      </w:r>
    </w:p>
    <w:p>
      <w:pPr>
        <w:pStyle w:val="24"/>
      </w:pPr>
      <w:r>
        <w:rPr>
          <w:rFonts w:hint="eastAsia"/>
          <w:lang w:val="en-US" w:eastAsia="zh-CN"/>
        </w:rPr>
        <w:t>15.</w:t>
      </w:r>
      <w:r>
        <w:t>提升企业科技创新和成果转化能力。加大企业调研走访和科技政策宣传力度，围绕新区现有企业和创新团队、人才需求，推进企业与高校、科研院所开展产学研战略技术合作，组织实施一批具有较强带动作用的科技项目，引导企业提升科技含量，促进企业技术创新和科技成果转化。</w:t>
      </w:r>
    </w:p>
    <w:p>
      <w:pPr>
        <w:pStyle w:val="24"/>
      </w:pPr>
      <w:r>
        <w:rPr>
          <w:rFonts w:hint="eastAsia"/>
          <w:lang w:val="en-US" w:eastAsia="zh-CN"/>
        </w:rPr>
        <w:t>16.</w:t>
      </w:r>
      <w:r>
        <w:t>全力做好省级高新区和市级经开区相关考核。加强与上级部门沟通衔接，加大数据分析对比，了解考核动态，确保考核工作增比进位。及时完成月度、季度指标等上报工作，为年报数据统计打好基础。</w:t>
      </w:r>
    </w:p>
    <w:p>
      <w:pPr>
        <w:pStyle w:val="24"/>
      </w:pPr>
      <w:r>
        <w:rPr>
          <w:rFonts w:hint="eastAsia"/>
          <w:lang w:val="en-US" w:eastAsia="zh-CN"/>
        </w:rPr>
        <w:t>17.</w:t>
      </w:r>
      <w:r>
        <w:t>推进外资外贸量质并举。助力已实现自营出口的企业打响主品牌，加快拓展海外市场促进加工工艺加快转型，强化外贸综合争能力，努力实现量増质更优。推动更高水平的双向开放充分发挥头作用，梳理排定年度重点工作企业，推进巩固主销市场、拓展新兴市场，鼓励骨干企业积极加境内外优质货物易展会，开展面向一路线国的置易促进活动，加快拓展海外市场。三是积极推进外资外贸企业培训工作。确保企业了解最新外资外贸政策。</w:t>
      </w:r>
    </w:p>
    <w:p>
      <w:pPr>
        <w:pStyle w:val="24"/>
      </w:pPr>
      <w:r>
        <w:rPr>
          <w:rFonts w:hint="eastAsia"/>
          <w:lang w:val="en-US" w:eastAsia="zh-CN"/>
        </w:rPr>
        <w:t>18.</w:t>
      </w:r>
      <w:r>
        <w:t>加强成品油市场监管。加大非法经站点和流动油车进行日常巡查，对发现的非法加油站点和流动加油车，进行清理取缔。突出安全生产监管。高度重视安全工作，采取有效措施，加强隐患治理力度，切实保障安全生产。管促企业加强安全隐患排查和治理，制定好安全检查计划，按照时间节点要求，对辖区内加油站，加油点成品油经营企业进行检查。</w:t>
      </w:r>
    </w:p>
    <w:p>
      <w:pPr>
        <w:pStyle w:val="24"/>
      </w:pPr>
      <w:r>
        <w:rPr>
          <w:rFonts w:hint="eastAsia"/>
          <w:lang w:val="en-US" w:eastAsia="zh-CN"/>
        </w:rPr>
        <w:t>19.</w:t>
      </w:r>
      <w:r>
        <w:t>主动适应经济发展新常态，强化运行监测分析。加强对新区重点监测企业的运行监测分析，坚持旬报制度，把握我区工业经济前高后低的运行走势，确保实现首季开门红。</w:t>
      </w:r>
    </w:p>
    <w:p>
      <w:pPr>
        <w:pStyle w:val="24"/>
      </w:pPr>
      <w:r>
        <w:rPr>
          <w:rFonts w:hint="eastAsia"/>
          <w:lang w:val="en-US" w:eastAsia="zh-CN"/>
        </w:rPr>
        <w:t>20.</w:t>
      </w:r>
      <w:r>
        <w:t>加强技改项目督促工作，确保及时建设投产达效。确保企业尽快投产达效，扩大我区工业经济增量。</w:t>
      </w:r>
    </w:p>
    <w:p>
      <w:pPr>
        <w:pStyle w:val="24"/>
      </w:pPr>
      <w:r>
        <w:rPr>
          <w:rFonts w:hint="eastAsia"/>
          <w:lang w:val="en-US" w:eastAsia="zh-CN"/>
        </w:rPr>
        <w:t>21.</w:t>
      </w:r>
      <w:r>
        <w:t xml:space="preserve">加快科技成果对接转化，提升企业竞争能力。通过在装备制造、新材料等领域，加强产学研对接，对传统产业传统工艺进行改造，提升我区工业经济存量。 </w:t>
      </w:r>
    </w:p>
    <w:p>
      <w:pPr>
        <w:pStyle w:val="24"/>
      </w:pPr>
      <w:r>
        <w:rPr>
          <w:rFonts w:hint="eastAsia"/>
          <w:lang w:val="en-US" w:eastAsia="zh-CN"/>
        </w:rPr>
        <w:t>22.</w:t>
      </w:r>
      <w:r>
        <w:t>积极组织行业座谈会，分析研制相应对策。组织水产品加工等新区主导行业的座谈会，了解各行业产品、原材料价格走势，市场形势，加强企业之间的沟通和交流，共同研究制定行业应对当前困难的发展举措。</w:t>
      </w:r>
    </w:p>
    <w:p>
      <w:pPr>
        <w:pStyle w:val="24"/>
      </w:pPr>
      <w:r>
        <w:rPr>
          <w:rFonts w:hint="eastAsia"/>
          <w:lang w:val="en-US" w:eastAsia="zh-CN"/>
        </w:rPr>
        <w:t>23.</w:t>
      </w:r>
      <w:r>
        <w:t>做好项目日常管理。坚持重点项目月调度、周督导工作机制，加大跟进力度，积极破解企业发展难题，确保续建项目保投产、开工项目保进度、前期项目保开工，促进扩大投资、投产达效。提前筹备做好全市集中开工和集中观摩活动准备工作。加快项目前期推进，争取更多产业、社会民生项目落地开工，推动区域经济发展。加快项目建设进度，争取更多项目投产运营，完善区域产业链和配套设施。</w:t>
      </w:r>
    </w:p>
    <w:p>
      <w:pPr>
        <w:pStyle w:val="24"/>
        <w:sectPr>
          <w:pgSz w:w="16840" w:h="11900" w:orient="landscape"/>
          <w:pgMar w:top="1361" w:right="1020" w:bottom="1361" w:left="1020" w:header="720" w:footer="720" w:gutter="0"/>
        </w:sectPr>
      </w:pPr>
      <w:r>
        <w:rPr>
          <w:rFonts w:hint="eastAsia"/>
          <w:lang w:val="en-US" w:eastAsia="zh-CN"/>
        </w:rPr>
        <w:t>24.</w:t>
      </w:r>
      <w:r>
        <w:t>加强备案前的调研工作，更加规范停车场收费管理，尽最大努力降低投诉率。加强备案前的调研工作，保证幼儿园备案价格合理，最大程度上的维护百姓利益。加强备案前的调研工作，认真执行市政府的决定，抑制房价过快增长。加强备案前的调研工作，规范物业收费，最大程度上的维护百姓利益。</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1、第五次全国经济普查经费绩效目标表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13031325P00880510443Q</w:t>
            </w:r>
          </w:p>
        </w:tc>
        <w:tc>
          <w:tcPr>
            <w:tcW w:w="2835" w:type="dxa"/>
            <w:vAlign w:val="center"/>
          </w:tcPr>
          <w:p>
            <w:pPr>
              <w:pStyle w:val="11"/>
            </w:pPr>
            <w:r>
              <w:t>项目名称</w:t>
            </w:r>
          </w:p>
        </w:tc>
        <w:tc>
          <w:tcPr>
            <w:tcW w:w="6095" w:type="dxa"/>
            <w:gridSpan w:val="3"/>
            <w:vAlign w:val="center"/>
          </w:tcPr>
          <w:p>
            <w:pPr>
              <w:pStyle w:val="13"/>
            </w:pPr>
            <w:r>
              <w:t>第五次全国经济普查经费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开展第五次经济普查工作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1.开展第五次经济普查工作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进行第五次全国经济普查工作</w:t>
            </w:r>
          </w:p>
        </w:tc>
        <w:tc>
          <w:tcPr>
            <w:tcW w:w="5386" w:type="dxa"/>
            <w:vAlign w:val="center"/>
          </w:tcPr>
          <w:p>
            <w:pPr>
              <w:pStyle w:val="13"/>
            </w:pPr>
            <w:r>
              <w:t>完成上级安排的工作任务</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完成全区经济规模摸底</w:t>
            </w:r>
          </w:p>
        </w:tc>
        <w:tc>
          <w:tcPr>
            <w:tcW w:w="5386" w:type="dxa"/>
            <w:vAlign w:val="center"/>
          </w:tcPr>
          <w:p>
            <w:pPr>
              <w:pStyle w:val="13"/>
            </w:pPr>
            <w:r>
              <w:t>完成全区各单位摸底</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按普查时间节点及时完成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实际支出金额小于预算控制数</w:t>
            </w:r>
          </w:p>
        </w:tc>
        <w:tc>
          <w:tcPr>
            <w:tcW w:w="2268" w:type="dxa"/>
            <w:vAlign w:val="center"/>
          </w:tcPr>
          <w:p>
            <w:pPr>
              <w:pStyle w:val="13"/>
            </w:pPr>
            <w:r>
              <w:t>≤11万元</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地区生产总值</w:t>
            </w:r>
          </w:p>
          <w:p>
            <w:pPr>
              <w:pStyle w:val="13"/>
            </w:pPr>
          </w:p>
        </w:tc>
        <w:tc>
          <w:tcPr>
            <w:tcW w:w="5386" w:type="dxa"/>
            <w:vAlign w:val="center"/>
          </w:tcPr>
          <w:p>
            <w:pPr>
              <w:pStyle w:val="13"/>
            </w:pPr>
            <w:r>
              <w:t>促经济总量增长</w:t>
            </w:r>
          </w:p>
        </w:tc>
        <w:tc>
          <w:tcPr>
            <w:tcW w:w="2268" w:type="dxa"/>
            <w:vAlign w:val="center"/>
          </w:tcPr>
          <w:p>
            <w:pPr>
              <w:pStyle w:val="13"/>
            </w:pPr>
            <w:r>
              <w:t>≥52亿元</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促新区发展</w:t>
            </w:r>
          </w:p>
        </w:tc>
        <w:tc>
          <w:tcPr>
            <w:tcW w:w="5386" w:type="dxa"/>
            <w:vAlign w:val="center"/>
          </w:tcPr>
          <w:p>
            <w:pPr>
              <w:pStyle w:val="13"/>
            </w:pPr>
            <w:r>
              <w:t>摸清全区经济底数，为制定经济政策提供数据支撑</w:t>
            </w:r>
          </w:p>
        </w:tc>
        <w:tc>
          <w:tcPr>
            <w:tcW w:w="2268" w:type="dxa"/>
            <w:vAlign w:val="center"/>
          </w:tcPr>
          <w:p>
            <w:pPr>
              <w:pStyle w:val="13"/>
            </w:pPr>
            <w:r>
              <w:t>效果显著</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加强生态环境保护</w:t>
            </w:r>
          </w:p>
        </w:tc>
        <w:tc>
          <w:tcPr>
            <w:tcW w:w="5386" w:type="dxa"/>
            <w:vAlign w:val="center"/>
          </w:tcPr>
          <w:p>
            <w:pPr>
              <w:pStyle w:val="13"/>
            </w:pPr>
            <w:r>
              <w:t>加强生态环境保护，为企业注入活力</w:t>
            </w:r>
          </w:p>
        </w:tc>
        <w:tc>
          <w:tcPr>
            <w:tcW w:w="2268" w:type="dxa"/>
            <w:vAlign w:val="center"/>
          </w:tcPr>
          <w:p>
            <w:pPr>
              <w:pStyle w:val="13"/>
            </w:pPr>
            <w:r>
              <w:t>提高</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促进新区经济健康发展</w:t>
            </w:r>
          </w:p>
        </w:tc>
        <w:tc>
          <w:tcPr>
            <w:tcW w:w="5386" w:type="dxa"/>
            <w:vAlign w:val="center"/>
          </w:tcPr>
          <w:p>
            <w:pPr>
              <w:pStyle w:val="13"/>
            </w:pPr>
            <w:r>
              <w:t>摸清全区经济底数，为制定经济政策提供数据支撑</w:t>
            </w:r>
          </w:p>
        </w:tc>
        <w:tc>
          <w:tcPr>
            <w:tcW w:w="2268" w:type="dxa"/>
            <w:vAlign w:val="center"/>
          </w:tcPr>
          <w:p>
            <w:pPr>
              <w:pStyle w:val="13"/>
            </w:pPr>
            <w:r>
              <w:t>效果显著</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参与普查单位对普查工作满意度</w:t>
            </w:r>
          </w:p>
        </w:tc>
        <w:tc>
          <w:tcPr>
            <w:tcW w:w="2268" w:type="dxa"/>
            <w:vAlign w:val="center"/>
          </w:tcPr>
          <w:p>
            <w:pPr>
              <w:pStyle w:val="13"/>
            </w:pPr>
            <w:r>
              <w:t>≥90%</w:t>
            </w:r>
          </w:p>
        </w:tc>
        <w:tc>
          <w:tcPr>
            <w:tcW w:w="1276" w:type="dxa"/>
            <w:vAlign w:val="center"/>
          </w:tcPr>
          <w:p>
            <w:pPr>
              <w:pStyle w:val="13"/>
            </w:pPr>
            <w:r>
              <w:t>综合调查结果</w:t>
            </w:r>
          </w:p>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2、发改工作经费绩效目标表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13031325P008805104425</w:t>
            </w:r>
          </w:p>
        </w:tc>
        <w:tc>
          <w:tcPr>
            <w:tcW w:w="2835" w:type="dxa"/>
            <w:vAlign w:val="center"/>
          </w:tcPr>
          <w:p>
            <w:pPr>
              <w:pStyle w:val="11"/>
            </w:pPr>
            <w:r>
              <w:t>项目名称</w:t>
            </w:r>
          </w:p>
        </w:tc>
        <w:tc>
          <w:tcPr>
            <w:tcW w:w="6095" w:type="dxa"/>
            <w:gridSpan w:val="3"/>
            <w:vAlign w:val="center"/>
          </w:tcPr>
          <w:p>
            <w:pPr>
              <w:pStyle w:val="13"/>
            </w:pPr>
            <w:r>
              <w:t>发改工作经费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保障发展改革事务一般运转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1.保障发展改革事务一般运转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固定资产投资</w:t>
            </w:r>
          </w:p>
        </w:tc>
        <w:tc>
          <w:tcPr>
            <w:tcW w:w="5386" w:type="dxa"/>
            <w:vAlign w:val="center"/>
          </w:tcPr>
          <w:p>
            <w:pPr>
              <w:pStyle w:val="13"/>
            </w:pPr>
            <w:r>
              <w:t>完成全年固定资产投资</w:t>
            </w:r>
          </w:p>
        </w:tc>
        <w:tc>
          <w:tcPr>
            <w:tcW w:w="2268" w:type="dxa"/>
            <w:vAlign w:val="center"/>
          </w:tcPr>
          <w:p>
            <w:pPr>
              <w:pStyle w:val="13"/>
            </w:pPr>
            <w:r>
              <w:t>≥42亿元</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限额以上消费品零售额</w:t>
            </w:r>
          </w:p>
        </w:tc>
        <w:tc>
          <w:tcPr>
            <w:tcW w:w="5386" w:type="dxa"/>
            <w:vAlign w:val="center"/>
          </w:tcPr>
          <w:p>
            <w:pPr>
              <w:pStyle w:val="13"/>
            </w:pPr>
            <w:r>
              <w:t>完成全年限额以上消费品零售额</w:t>
            </w:r>
          </w:p>
        </w:tc>
        <w:tc>
          <w:tcPr>
            <w:tcW w:w="2268" w:type="dxa"/>
            <w:vAlign w:val="center"/>
          </w:tcPr>
          <w:p>
            <w:pPr>
              <w:pStyle w:val="13"/>
            </w:pPr>
            <w:r>
              <w:t>≥3亿元</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规上工业增加值</w:t>
            </w:r>
          </w:p>
        </w:tc>
        <w:tc>
          <w:tcPr>
            <w:tcW w:w="5386" w:type="dxa"/>
            <w:vAlign w:val="center"/>
          </w:tcPr>
          <w:p>
            <w:pPr>
              <w:pStyle w:val="13"/>
            </w:pPr>
            <w:r>
              <w:t>规上工业增加值</w:t>
            </w:r>
          </w:p>
        </w:tc>
        <w:tc>
          <w:tcPr>
            <w:tcW w:w="2268" w:type="dxa"/>
            <w:vAlign w:val="center"/>
          </w:tcPr>
          <w:p>
            <w:pPr>
              <w:pStyle w:val="13"/>
            </w:pPr>
            <w:r>
              <w:t>≥3亿元</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各项任务完成率</w:t>
            </w:r>
          </w:p>
        </w:tc>
        <w:tc>
          <w:tcPr>
            <w:tcW w:w="5386" w:type="dxa"/>
            <w:vAlign w:val="center"/>
          </w:tcPr>
          <w:p>
            <w:pPr>
              <w:pStyle w:val="13"/>
            </w:pPr>
            <w:r>
              <w:t>完成年度内任务数占计划任务数的比率</w:t>
            </w:r>
          </w:p>
        </w:tc>
        <w:tc>
          <w:tcPr>
            <w:tcW w:w="2268" w:type="dxa"/>
            <w:vAlign w:val="center"/>
          </w:tcPr>
          <w:p>
            <w:pPr>
              <w:pStyle w:val="13"/>
            </w:pPr>
            <w:r>
              <w:t>100%</w:t>
            </w:r>
          </w:p>
        </w:tc>
        <w:tc>
          <w:tcPr>
            <w:tcW w:w="1276" w:type="dxa"/>
            <w:vAlign w:val="center"/>
          </w:tcPr>
          <w:p>
            <w:pPr>
              <w:pStyle w:val="13"/>
            </w:pPr>
            <w:r>
              <w:t>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各项任务按节点及时完成</w:t>
            </w:r>
          </w:p>
        </w:tc>
        <w:tc>
          <w:tcPr>
            <w:tcW w:w="2268" w:type="dxa"/>
            <w:vAlign w:val="center"/>
          </w:tcPr>
          <w:p>
            <w:pPr>
              <w:pStyle w:val="13"/>
            </w:pPr>
            <w:r>
              <w:t>及时完成</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实际支出金额小于预算控制数</w:t>
            </w:r>
          </w:p>
        </w:tc>
        <w:tc>
          <w:tcPr>
            <w:tcW w:w="2268" w:type="dxa"/>
            <w:vAlign w:val="center"/>
          </w:tcPr>
          <w:p>
            <w:pPr>
              <w:pStyle w:val="13"/>
            </w:pPr>
            <w:r>
              <w:t>≤27万元</w:t>
            </w:r>
          </w:p>
        </w:tc>
        <w:tc>
          <w:tcPr>
            <w:tcW w:w="1276" w:type="dxa"/>
            <w:vAlign w:val="center"/>
          </w:tcPr>
          <w:p>
            <w:pPr>
              <w:pStyle w:val="13"/>
            </w:pPr>
            <w:r>
              <w:t>预算金额</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地区生产总值</w:t>
            </w:r>
          </w:p>
        </w:tc>
        <w:tc>
          <w:tcPr>
            <w:tcW w:w="5386" w:type="dxa"/>
            <w:vAlign w:val="center"/>
          </w:tcPr>
          <w:p>
            <w:pPr>
              <w:pStyle w:val="13"/>
            </w:pPr>
            <w:r>
              <w:t>地区生产总值</w:t>
            </w:r>
          </w:p>
        </w:tc>
        <w:tc>
          <w:tcPr>
            <w:tcW w:w="2268" w:type="dxa"/>
            <w:vAlign w:val="center"/>
          </w:tcPr>
          <w:p>
            <w:pPr>
              <w:pStyle w:val="13"/>
            </w:pPr>
            <w:r>
              <w:t>≥60亿元</w:t>
            </w:r>
          </w:p>
        </w:tc>
        <w:tc>
          <w:tcPr>
            <w:tcW w:w="1276" w:type="dxa"/>
            <w:vAlign w:val="center"/>
          </w:tcPr>
          <w:p>
            <w:pPr>
              <w:pStyle w:val="13"/>
            </w:pPr>
            <w:r>
              <w:t>工作计划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促新区发展</w:t>
            </w:r>
          </w:p>
        </w:tc>
        <w:tc>
          <w:tcPr>
            <w:tcW w:w="5386" w:type="dxa"/>
            <w:vAlign w:val="center"/>
          </w:tcPr>
          <w:p>
            <w:pPr>
              <w:pStyle w:val="13"/>
            </w:pPr>
            <w:r>
              <w:t>加快重点项目建设，着力推进新区产业转型升级，推动新区高质量发展</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促进新区经济健康发展</w:t>
            </w:r>
          </w:p>
        </w:tc>
        <w:tc>
          <w:tcPr>
            <w:tcW w:w="5386" w:type="dxa"/>
            <w:vAlign w:val="center"/>
          </w:tcPr>
          <w:p>
            <w:pPr>
              <w:pStyle w:val="13"/>
            </w:pPr>
            <w:r>
              <w:t>促进外资外贸企业、批零住餐行业健康发展</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3、项目落地工作经费绩效目标表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13031325P008805105046</w:t>
            </w:r>
          </w:p>
        </w:tc>
        <w:tc>
          <w:tcPr>
            <w:tcW w:w="2835" w:type="dxa"/>
            <w:vAlign w:val="center"/>
          </w:tcPr>
          <w:p>
            <w:pPr>
              <w:pStyle w:val="11"/>
            </w:pPr>
            <w:r>
              <w:t>项目名称</w:t>
            </w:r>
          </w:p>
        </w:tc>
        <w:tc>
          <w:tcPr>
            <w:tcW w:w="6095" w:type="dxa"/>
            <w:gridSpan w:val="3"/>
            <w:vAlign w:val="center"/>
          </w:tcPr>
          <w:p>
            <w:pPr>
              <w:pStyle w:val="13"/>
            </w:pPr>
            <w:r>
              <w:t>项目落地工作经费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推进不少于4个谭天伟院士团队新引荐的技术成果转化及中试项目。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1.推进不少于4个谭天伟院士团队新引荐的技术成果转化及中试项目。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洽谈项目</w:t>
            </w:r>
          </w:p>
        </w:tc>
        <w:tc>
          <w:tcPr>
            <w:tcW w:w="5386" w:type="dxa"/>
            <w:vAlign w:val="center"/>
          </w:tcPr>
          <w:p>
            <w:pPr>
              <w:pStyle w:val="13"/>
            </w:pPr>
            <w:r>
              <w:t>洽谈项目</w:t>
            </w:r>
          </w:p>
        </w:tc>
        <w:tc>
          <w:tcPr>
            <w:tcW w:w="2268" w:type="dxa"/>
            <w:vAlign w:val="center"/>
          </w:tcPr>
          <w:p>
            <w:pPr>
              <w:pStyle w:val="13"/>
            </w:pPr>
            <w:r>
              <w:t>≥10个</w:t>
            </w:r>
          </w:p>
        </w:tc>
        <w:tc>
          <w:tcPr>
            <w:tcW w:w="1276" w:type="dxa"/>
            <w:vAlign w:val="center"/>
          </w:tcPr>
          <w:p>
            <w:pPr>
              <w:pStyle w:val="13"/>
            </w:pPr>
            <w:r>
              <w:t>统计实际洽谈项目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完成工作比例</w:t>
            </w:r>
          </w:p>
        </w:tc>
        <w:tc>
          <w:tcPr>
            <w:tcW w:w="5386" w:type="dxa"/>
            <w:vAlign w:val="center"/>
          </w:tcPr>
          <w:p>
            <w:pPr>
              <w:pStyle w:val="13"/>
            </w:pPr>
            <w:r>
              <w:t>完成工作比例</w:t>
            </w:r>
          </w:p>
        </w:tc>
        <w:tc>
          <w:tcPr>
            <w:tcW w:w="2268" w:type="dxa"/>
            <w:vAlign w:val="center"/>
          </w:tcPr>
          <w:p>
            <w:pPr>
              <w:pStyle w:val="13"/>
            </w:pPr>
            <w:r>
              <w:t>≥90%</w:t>
            </w:r>
          </w:p>
        </w:tc>
        <w:tc>
          <w:tcPr>
            <w:tcW w:w="1276" w:type="dxa"/>
            <w:vAlign w:val="center"/>
          </w:tcPr>
          <w:p>
            <w:pPr>
              <w:pStyle w:val="13"/>
            </w:pPr>
            <w:r>
              <w:t>实际完成率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完成工作及时率</w:t>
            </w:r>
          </w:p>
        </w:tc>
        <w:tc>
          <w:tcPr>
            <w:tcW w:w="5386" w:type="dxa"/>
            <w:vAlign w:val="center"/>
          </w:tcPr>
          <w:p>
            <w:pPr>
              <w:pStyle w:val="13"/>
            </w:pPr>
            <w:r>
              <w:t>完成工作及时率</w:t>
            </w:r>
          </w:p>
        </w:tc>
        <w:tc>
          <w:tcPr>
            <w:tcW w:w="2268" w:type="dxa"/>
            <w:vAlign w:val="center"/>
          </w:tcPr>
          <w:p>
            <w:pPr>
              <w:pStyle w:val="13"/>
            </w:pPr>
            <w:r>
              <w:t>≥90%</w:t>
            </w:r>
          </w:p>
        </w:tc>
        <w:tc>
          <w:tcPr>
            <w:tcW w:w="1276" w:type="dxa"/>
            <w:vAlign w:val="center"/>
          </w:tcPr>
          <w:p>
            <w:pPr>
              <w:pStyle w:val="13"/>
            </w:pPr>
            <w:r>
              <w:t>实际及时率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正常运转比率</w:t>
            </w:r>
          </w:p>
        </w:tc>
        <w:tc>
          <w:tcPr>
            <w:tcW w:w="5386" w:type="dxa"/>
            <w:vAlign w:val="center"/>
          </w:tcPr>
          <w:p>
            <w:pPr>
              <w:pStyle w:val="13"/>
            </w:pPr>
            <w:r>
              <w:t>专班正常运转比率</w:t>
            </w:r>
          </w:p>
        </w:tc>
        <w:tc>
          <w:tcPr>
            <w:tcW w:w="2268" w:type="dxa"/>
            <w:vAlign w:val="center"/>
          </w:tcPr>
          <w:p>
            <w:pPr>
              <w:pStyle w:val="13"/>
            </w:pPr>
            <w:r>
              <w:t>≥90%</w:t>
            </w:r>
          </w:p>
        </w:tc>
        <w:tc>
          <w:tcPr>
            <w:tcW w:w="1276" w:type="dxa"/>
            <w:vAlign w:val="center"/>
          </w:tcPr>
          <w:p>
            <w:pPr>
              <w:pStyle w:val="13"/>
            </w:pPr>
            <w:r>
              <w:t>实际完成情况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项目落地</w:t>
            </w:r>
          </w:p>
        </w:tc>
        <w:tc>
          <w:tcPr>
            <w:tcW w:w="5386" w:type="dxa"/>
            <w:vAlign w:val="center"/>
          </w:tcPr>
          <w:p>
            <w:pPr>
              <w:pStyle w:val="13"/>
            </w:pPr>
          </w:p>
          <w:p>
            <w:pPr>
              <w:pStyle w:val="13"/>
            </w:pPr>
            <w:r>
              <w:t>谭天伟院士团队新引荐的项目签约落地</w:t>
            </w:r>
          </w:p>
        </w:tc>
        <w:tc>
          <w:tcPr>
            <w:tcW w:w="2268" w:type="dxa"/>
            <w:vAlign w:val="center"/>
          </w:tcPr>
          <w:p>
            <w:pPr>
              <w:pStyle w:val="13"/>
            </w:pPr>
            <w:r>
              <w:t>≥1项目落地情况</w:t>
            </w:r>
          </w:p>
        </w:tc>
        <w:tc>
          <w:tcPr>
            <w:tcW w:w="1276" w:type="dxa"/>
            <w:vAlign w:val="center"/>
          </w:tcPr>
          <w:p>
            <w:pPr>
              <w:pStyle w:val="13"/>
            </w:pPr>
            <w:r>
              <w:t>统计实际落地项目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提供就业岗位</w:t>
            </w:r>
          </w:p>
        </w:tc>
        <w:tc>
          <w:tcPr>
            <w:tcW w:w="2268" w:type="dxa"/>
            <w:vAlign w:val="center"/>
          </w:tcPr>
          <w:p>
            <w:pPr>
              <w:pStyle w:val="13"/>
            </w:pPr>
            <w:r>
              <w:t>≥5实际完成吧情况</w:t>
            </w:r>
          </w:p>
        </w:tc>
        <w:tc>
          <w:tcPr>
            <w:tcW w:w="1276" w:type="dxa"/>
            <w:vAlign w:val="center"/>
          </w:tcPr>
          <w:p>
            <w:pPr>
              <w:pStyle w:val="13"/>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环境保护</w:t>
            </w:r>
          </w:p>
        </w:tc>
        <w:tc>
          <w:tcPr>
            <w:tcW w:w="5386" w:type="dxa"/>
            <w:vAlign w:val="center"/>
          </w:tcPr>
          <w:p>
            <w:pPr>
              <w:pStyle w:val="13"/>
            </w:pPr>
            <w:r>
              <w:t>谭天伟院士团队新引荐的项目符合环保要求</w:t>
            </w:r>
          </w:p>
        </w:tc>
        <w:tc>
          <w:tcPr>
            <w:tcW w:w="2268" w:type="dxa"/>
            <w:vAlign w:val="center"/>
          </w:tcPr>
          <w:p>
            <w:pPr>
              <w:pStyle w:val="13"/>
            </w:pPr>
            <w:r>
              <w:t>≥100%</w:t>
            </w:r>
          </w:p>
        </w:tc>
        <w:tc>
          <w:tcPr>
            <w:tcW w:w="1276" w:type="dxa"/>
            <w:vAlign w:val="center"/>
          </w:tcPr>
          <w:p>
            <w:pPr>
              <w:pStyle w:val="13"/>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项目运营</w:t>
            </w:r>
          </w:p>
        </w:tc>
        <w:tc>
          <w:tcPr>
            <w:tcW w:w="5386" w:type="dxa"/>
            <w:vAlign w:val="center"/>
          </w:tcPr>
          <w:p>
            <w:pPr>
              <w:pStyle w:val="13"/>
            </w:pPr>
            <w:r>
              <w:t>谭天伟院士团队新引荐的项目持续运营比例</w:t>
            </w:r>
          </w:p>
        </w:tc>
        <w:tc>
          <w:tcPr>
            <w:tcW w:w="2268" w:type="dxa"/>
            <w:vAlign w:val="center"/>
          </w:tcPr>
          <w:p>
            <w:pPr>
              <w:pStyle w:val="13"/>
            </w:pPr>
            <w:r>
              <w:t>≥90%</w:t>
            </w:r>
          </w:p>
        </w:tc>
        <w:tc>
          <w:tcPr>
            <w:tcW w:w="1276" w:type="dxa"/>
            <w:vAlign w:val="center"/>
          </w:tcPr>
          <w:p>
            <w:pPr>
              <w:pStyle w:val="13"/>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满意度调查</w:t>
            </w:r>
          </w:p>
        </w:tc>
        <w:tc>
          <w:tcPr>
            <w:tcW w:w="5386" w:type="dxa"/>
            <w:vAlign w:val="center"/>
          </w:tcPr>
          <w:p>
            <w:pPr>
              <w:pStyle w:val="13"/>
            </w:pPr>
            <w:r>
              <w:t>被调查单位或群体对工作专班的满意程度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4、创新十条奖励资金绩效目标表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13031325P008801109496</w:t>
            </w:r>
          </w:p>
        </w:tc>
        <w:tc>
          <w:tcPr>
            <w:tcW w:w="2835" w:type="dxa"/>
            <w:vAlign w:val="center"/>
          </w:tcPr>
          <w:p>
            <w:pPr>
              <w:pStyle w:val="11"/>
            </w:pPr>
            <w:r>
              <w:t>项目名称</w:t>
            </w:r>
          </w:p>
        </w:tc>
        <w:tc>
          <w:tcPr>
            <w:tcW w:w="6095" w:type="dxa"/>
            <w:gridSpan w:val="3"/>
            <w:vAlign w:val="center"/>
          </w:tcPr>
          <w:p>
            <w:pPr>
              <w:pStyle w:val="13"/>
            </w:pPr>
            <w:r>
              <w:t>创新十条奖励资金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用于奖励新入统的规上工业企业、服务业企业等，为促进新区高质量发展，扩大经济总额规模和增速，确保经济长期稳定运行等。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1.激励企业自主创新，在高新技术企业认定、国科小认定、企业研发投入奖补等方面给予企业资金支持。</w:t>
            </w:r>
          </w:p>
          <w:p>
            <w:pPr>
              <w:pStyle w:val="13"/>
            </w:pPr>
            <w:r>
              <w:t>2.用于奖励新入统的规上工业企业、服务业企业等，为促进新区高质量发展，扩大经济总额规模和增速，确保经济长期稳定运行。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奖励金额</w:t>
            </w:r>
          </w:p>
        </w:tc>
        <w:tc>
          <w:tcPr>
            <w:tcW w:w="5386" w:type="dxa"/>
            <w:vAlign w:val="center"/>
          </w:tcPr>
          <w:p>
            <w:pPr>
              <w:pStyle w:val="13"/>
            </w:pPr>
            <w:r>
              <w:t>企业统计员奖励金额</w:t>
            </w:r>
          </w:p>
        </w:tc>
        <w:tc>
          <w:tcPr>
            <w:tcW w:w="2268" w:type="dxa"/>
            <w:vAlign w:val="center"/>
          </w:tcPr>
          <w:p>
            <w:pPr>
              <w:pStyle w:val="13"/>
            </w:pPr>
            <w:r>
              <w:t>≥2000元</w:t>
            </w:r>
          </w:p>
        </w:tc>
        <w:tc>
          <w:tcPr>
            <w:tcW w:w="1276" w:type="dxa"/>
            <w:vAlign w:val="center"/>
          </w:tcPr>
          <w:p>
            <w:pPr>
              <w:pStyle w:val="13"/>
            </w:pPr>
            <w:r>
              <w:t>新纳统“四上”企业暨企业创新发展奖励办法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收入费用率</w:t>
            </w:r>
          </w:p>
        </w:tc>
        <w:tc>
          <w:tcPr>
            <w:tcW w:w="5386" w:type="dxa"/>
            <w:vAlign w:val="center"/>
          </w:tcPr>
          <w:p>
            <w:pPr>
              <w:pStyle w:val="13"/>
            </w:pPr>
            <w:r>
              <w:t>研究与试验发展经费占营业收入比例</w:t>
            </w:r>
          </w:p>
        </w:tc>
        <w:tc>
          <w:tcPr>
            <w:tcW w:w="2268" w:type="dxa"/>
            <w:vAlign w:val="center"/>
          </w:tcPr>
          <w:p>
            <w:pPr>
              <w:pStyle w:val="13"/>
            </w:pPr>
            <w:r>
              <w:t>≥5%</w:t>
            </w:r>
          </w:p>
        </w:tc>
        <w:tc>
          <w:tcPr>
            <w:tcW w:w="1276" w:type="dxa"/>
            <w:vAlign w:val="center"/>
          </w:tcPr>
          <w:p>
            <w:pPr>
              <w:pStyle w:val="13"/>
            </w:pPr>
            <w:r>
              <w:t>新纳统“四上”企业暨企业创新发展奖励办法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实际拨付时间</w:t>
            </w:r>
          </w:p>
        </w:tc>
        <w:tc>
          <w:tcPr>
            <w:tcW w:w="2268" w:type="dxa"/>
            <w:vAlign w:val="center"/>
          </w:tcPr>
          <w:p>
            <w:pPr>
              <w:pStyle w:val="13"/>
            </w:pPr>
            <w:r>
              <w:t>2025年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≤400万元</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促进新区高质量发展</w:t>
            </w:r>
          </w:p>
        </w:tc>
        <w:tc>
          <w:tcPr>
            <w:tcW w:w="5386" w:type="dxa"/>
            <w:vAlign w:val="center"/>
          </w:tcPr>
          <w:p>
            <w:pPr>
              <w:pStyle w:val="13"/>
            </w:pPr>
            <w:r>
              <w:t>促进新区高质量发展，扩大经济规模总量</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优化产业结构</w:t>
            </w:r>
          </w:p>
        </w:tc>
        <w:tc>
          <w:tcPr>
            <w:tcW w:w="5386" w:type="dxa"/>
            <w:vAlign w:val="center"/>
          </w:tcPr>
          <w:p>
            <w:pPr>
              <w:pStyle w:val="13"/>
            </w:pPr>
            <w:r>
              <w:t>优化产业结构，提升发展层次</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促进新区创新发展</w:t>
            </w:r>
          </w:p>
        </w:tc>
        <w:tc>
          <w:tcPr>
            <w:tcW w:w="5386" w:type="dxa"/>
            <w:vAlign w:val="center"/>
          </w:tcPr>
          <w:p>
            <w:pPr>
              <w:pStyle w:val="13"/>
            </w:pPr>
            <w:r>
              <w:t>摸清全区经济底数，为制定经济政策提供数据支撑</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稳定科技型企业发展</w:t>
            </w:r>
          </w:p>
        </w:tc>
        <w:tc>
          <w:tcPr>
            <w:tcW w:w="5386" w:type="dxa"/>
            <w:vAlign w:val="center"/>
          </w:tcPr>
          <w:p>
            <w:pPr>
              <w:pStyle w:val="13"/>
            </w:pPr>
            <w:r>
              <w:t>稳定科技型企业发展</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促进科技型企业发展</w:t>
            </w:r>
          </w:p>
        </w:tc>
        <w:tc>
          <w:tcPr>
            <w:tcW w:w="5386" w:type="dxa"/>
            <w:vAlign w:val="center"/>
          </w:tcPr>
          <w:p>
            <w:pPr>
              <w:pStyle w:val="13"/>
            </w:pPr>
            <w:r>
              <w:t>促进科技型企业发展</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综合调查结果</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5、秦财建【2024】645号  提前下达2025年生物医药产业奖励资金绩效目标表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13031325P00880111173W</w:t>
            </w:r>
          </w:p>
        </w:tc>
        <w:tc>
          <w:tcPr>
            <w:tcW w:w="2835" w:type="dxa"/>
            <w:vAlign w:val="center"/>
          </w:tcPr>
          <w:p>
            <w:pPr>
              <w:pStyle w:val="11"/>
            </w:pPr>
            <w:r>
              <w:t>项目名称</w:t>
            </w:r>
          </w:p>
        </w:tc>
        <w:tc>
          <w:tcPr>
            <w:tcW w:w="6095" w:type="dxa"/>
            <w:gridSpan w:val="3"/>
            <w:vAlign w:val="center"/>
          </w:tcPr>
          <w:p>
            <w:pPr>
              <w:pStyle w:val="13"/>
            </w:pPr>
            <w:r>
              <w:t>秦财建【2024】645号  提前下达2025年生物医药产业奖励资金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主要用于对进入临床试验的创新药和产业化项目秦皇岛爱晖药业有限公司新建化药固体制剂建设项目进行奖补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1.主要用于对进入临床试验的创新药和产业化项目秦皇岛爱晖药业有限公司新建化药固体制剂建设项目进行奖补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奖补数量</w:t>
            </w:r>
          </w:p>
        </w:tc>
        <w:tc>
          <w:tcPr>
            <w:tcW w:w="5386" w:type="dxa"/>
            <w:vAlign w:val="center"/>
          </w:tcPr>
          <w:p>
            <w:pPr>
              <w:pStyle w:val="13"/>
            </w:pPr>
            <w:r>
              <w:t>奖补研发项目数量</w:t>
            </w:r>
          </w:p>
        </w:tc>
        <w:tc>
          <w:tcPr>
            <w:tcW w:w="2268" w:type="dxa"/>
            <w:vAlign w:val="center"/>
          </w:tcPr>
          <w:p>
            <w:pPr>
              <w:pStyle w:val="13"/>
            </w:pPr>
            <w:r>
              <w:t>≥1个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项目建设与申报内容的一致性</w:t>
            </w:r>
          </w:p>
        </w:tc>
        <w:tc>
          <w:tcPr>
            <w:tcW w:w="5386" w:type="dxa"/>
            <w:vAlign w:val="center"/>
          </w:tcPr>
          <w:p>
            <w:pPr>
              <w:pStyle w:val="13"/>
            </w:pPr>
            <w:r>
              <w:t>项目建设与申报内容的一致性</w:t>
            </w:r>
          </w:p>
        </w:tc>
        <w:tc>
          <w:tcPr>
            <w:tcW w:w="2268" w:type="dxa"/>
            <w:vAlign w:val="center"/>
          </w:tcPr>
          <w:p>
            <w:pPr>
              <w:pStyle w:val="13"/>
            </w:pPr>
            <w:r>
              <w:t>一致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拨付及时性</w:t>
            </w:r>
          </w:p>
        </w:tc>
        <w:tc>
          <w:tcPr>
            <w:tcW w:w="5386" w:type="dxa"/>
            <w:vAlign w:val="center"/>
          </w:tcPr>
          <w:p>
            <w:pPr>
              <w:pStyle w:val="13"/>
            </w:pPr>
            <w:r>
              <w:t>按照上级要求及时拨付</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实际支出数小于等于 预算数</w:t>
            </w:r>
          </w:p>
        </w:tc>
        <w:tc>
          <w:tcPr>
            <w:tcW w:w="2268" w:type="dxa"/>
            <w:vAlign w:val="center"/>
          </w:tcPr>
          <w:p>
            <w:pPr>
              <w:pStyle w:val="13"/>
            </w:pPr>
            <w:r>
              <w:t>≤1000万元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促进新区企业发展</w:t>
            </w:r>
          </w:p>
        </w:tc>
        <w:tc>
          <w:tcPr>
            <w:tcW w:w="5386" w:type="dxa"/>
            <w:vAlign w:val="center"/>
          </w:tcPr>
          <w:p>
            <w:pPr>
              <w:pStyle w:val="13"/>
            </w:pPr>
            <w:r>
              <w:t>促进新区企业发展，推进新区项目建设，提升相关指标有效增长</w:t>
            </w:r>
          </w:p>
        </w:tc>
        <w:tc>
          <w:tcPr>
            <w:tcW w:w="2268" w:type="dxa"/>
            <w:vAlign w:val="center"/>
          </w:tcPr>
          <w:p>
            <w:pPr>
              <w:pStyle w:val="13"/>
            </w:pPr>
            <w:r>
              <w:t>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促进新区医药产业发展，推动新区经济建设</w:t>
            </w:r>
          </w:p>
        </w:tc>
        <w:tc>
          <w:tcPr>
            <w:tcW w:w="5386" w:type="dxa"/>
            <w:vAlign w:val="center"/>
          </w:tcPr>
          <w:p>
            <w:pPr>
              <w:pStyle w:val="13"/>
            </w:pPr>
            <w:r>
              <w:t>促进新区医药产业发展，推动新区经济建设</w:t>
            </w:r>
          </w:p>
        </w:tc>
        <w:tc>
          <w:tcPr>
            <w:tcW w:w="2268" w:type="dxa"/>
            <w:vAlign w:val="center"/>
          </w:tcPr>
          <w:p>
            <w:pPr>
              <w:pStyle w:val="13"/>
            </w:pPr>
            <w:r>
              <w:t>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推进新区项目建设</w:t>
            </w:r>
          </w:p>
        </w:tc>
        <w:tc>
          <w:tcPr>
            <w:tcW w:w="5386" w:type="dxa"/>
            <w:vAlign w:val="center"/>
          </w:tcPr>
          <w:p>
            <w:pPr>
              <w:pStyle w:val="13"/>
            </w:pPr>
            <w:r>
              <w:t>推进新区项目建设，推动新区高质量发展</w:t>
            </w:r>
          </w:p>
        </w:tc>
        <w:tc>
          <w:tcPr>
            <w:tcW w:w="2268" w:type="dxa"/>
            <w:vAlign w:val="center"/>
          </w:tcPr>
          <w:p>
            <w:pPr>
              <w:pStyle w:val="13"/>
            </w:pPr>
            <w:r>
              <w:t>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被调查单位满意度</w:t>
            </w:r>
          </w:p>
        </w:tc>
        <w:tc>
          <w:tcPr>
            <w:tcW w:w="5386" w:type="dxa"/>
            <w:vAlign w:val="center"/>
          </w:tcPr>
          <w:p>
            <w:pPr>
              <w:pStyle w:val="13"/>
            </w:pPr>
            <w:r>
              <w:t>被调查单位满意度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6、项目管理经费绩效目标表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13031325P00880110948J</w:t>
            </w:r>
          </w:p>
        </w:tc>
        <w:tc>
          <w:tcPr>
            <w:tcW w:w="2835" w:type="dxa"/>
            <w:vAlign w:val="center"/>
          </w:tcPr>
          <w:p>
            <w:pPr>
              <w:pStyle w:val="11"/>
            </w:pPr>
            <w:r>
              <w:t>项目名称</w:t>
            </w:r>
          </w:p>
        </w:tc>
        <w:tc>
          <w:tcPr>
            <w:tcW w:w="6095" w:type="dxa"/>
            <w:gridSpan w:val="3"/>
            <w:vAlign w:val="center"/>
          </w:tcPr>
          <w:p>
            <w:pPr>
              <w:pStyle w:val="13"/>
            </w:pPr>
            <w:r>
              <w:t>项目管理经费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按照上级文件要求，谋划包装省重点项目，向上跑办，力争获批，推进项目开工建设。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1.按照上级文件要求，谋划包装省重点项目，向上跑办，力争获批，推进项目开工建设。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组织申报省重点项目</w:t>
            </w:r>
          </w:p>
        </w:tc>
        <w:tc>
          <w:tcPr>
            <w:tcW w:w="5386" w:type="dxa"/>
            <w:vAlign w:val="center"/>
          </w:tcPr>
          <w:p>
            <w:pPr>
              <w:pStyle w:val="13"/>
            </w:pPr>
            <w:r>
              <w:t>年度内完成组织申报省重点项目总次数</w:t>
            </w:r>
          </w:p>
        </w:tc>
        <w:tc>
          <w:tcPr>
            <w:tcW w:w="2268" w:type="dxa"/>
            <w:vAlign w:val="center"/>
          </w:tcPr>
          <w:p>
            <w:pPr>
              <w:pStyle w:val="13"/>
            </w:pPr>
            <w:r>
              <w:t>≥4次</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完成省重点项目材料组卷</w:t>
            </w:r>
          </w:p>
        </w:tc>
        <w:tc>
          <w:tcPr>
            <w:tcW w:w="5386" w:type="dxa"/>
            <w:vAlign w:val="center"/>
          </w:tcPr>
          <w:p>
            <w:pPr>
              <w:pStyle w:val="13"/>
            </w:pPr>
            <w:r>
              <w:t>完成组卷</w:t>
            </w:r>
          </w:p>
        </w:tc>
        <w:tc>
          <w:tcPr>
            <w:tcW w:w="2268" w:type="dxa"/>
            <w:vAlign w:val="center"/>
          </w:tcPr>
          <w:p>
            <w:pPr>
              <w:pStyle w:val="13"/>
            </w:pPr>
            <w:r>
              <w:t>提质增效</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申报获秕省重点前期函时间</w:t>
            </w:r>
          </w:p>
        </w:tc>
        <w:tc>
          <w:tcPr>
            <w:tcW w:w="5386" w:type="dxa"/>
            <w:vAlign w:val="center"/>
          </w:tcPr>
          <w:p>
            <w:pPr>
              <w:pStyle w:val="13"/>
            </w:pPr>
            <w:r>
              <w:t>年度内获批省重点前期函时间</w:t>
            </w:r>
          </w:p>
        </w:tc>
        <w:tc>
          <w:tcPr>
            <w:tcW w:w="2268" w:type="dxa"/>
            <w:vAlign w:val="center"/>
          </w:tcPr>
          <w:p>
            <w:pPr>
              <w:pStyle w:val="13"/>
            </w:pPr>
            <w:r>
              <w:t>及时完成</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组卷，向上跑办成本</w:t>
            </w:r>
          </w:p>
        </w:tc>
        <w:tc>
          <w:tcPr>
            <w:tcW w:w="5386" w:type="dxa"/>
            <w:vAlign w:val="center"/>
          </w:tcPr>
          <w:p>
            <w:pPr>
              <w:pStyle w:val="13"/>
            </w:pPr>
            <w:r>
              <w:t>省重点项目申报组卷所需成本控制数</w:t>
            </w:r>
          </w:p>
        </w:tc>
        <w:tc>
          <w:tcPr>
            <w:tcW w:w="2268" w:type="dxa"/>
            <w:vAlign w:val="center"/>
          </w:tcPr>
          <w:p>
            <w:pPr>
              <w:pStyle w:val="13"/>
            </w:pPr>
            <w:r>
              <w:t>≤20万元</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促进新区企业经济建设</w:t>
            </w:r>
          </w:p>
        </w:tc>
        <w:tc>
          <w:tcPr>
            <w:tcW w:w="5386" w:type="dxa"/>
            <w:vAlign w:val="center"/>
          </w:tcPr>
          <w:p>
            <w:pPr>
              <w:pStyle w:val="13"/>
            </w:pPr>
            <w:r>
              <w:t>促进新区行业加快发展，推动新区经济建设</w:t>
            </w:r>
          </w:p>
        </w:tc>
        <w:tc>
          <w:tcPr>
            <w:tcW w:w="2268" w:type="dxa"/>
            <w:vAlign w:val="center"/>
          </w:tcPr>
          <w:p>
            <w:pPr>
              <w:pStyle w:val="13"/>
            </w:pPr>
            <w:r>
              <w:t>效果显著</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促进新区企业发展</w:t>
            </w:r>
          </w:p>
        </w:tc>
        <w:tc>
          <w:tcPr>
            <w:tcW w:w="5386" w:type="dxa"/>
            <w:vAlign w:val="center"/>
          </w:tcPr>
          <w:p>
            <w:pPr>
              <w:pStyle w:val="13"/>
            </w:pPr>
            <w:r>
              <w:t>促进项目落地开工，提升新区相关指标有效增长</w:t>
            </w:r>
          </w:p>
        </w:tc>
        <w:tc>
          <w:tcPr>
            <w:tcW w:w="2268" w:type="dxa"/>
            <w:vAlign w:val="center"/>
          </w:tcPr>
          <w:p>
            <w:pPr>
              <w:pStyle w:val="13"/>
            </w:pPr>
            <w:r>
              <w:t>效果显著</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加强生态环境保护</w:t>
            </w:r>
          </w:p>
        </w:tc>
        <w:tc>
          <w:tcPr>
            <w:tcW w:w="5386" w:type="dxa"/>
            <w:vAlign w:val="center"/>
          </w:tcPr>
          <w:p>
            <w:pPr>
              <w:pStyle w:val="13"/>
            </w:pPr>
            <w:r>
              <w:t>减少新区企业污染，加强生态环境保护</w:t>
            </w:r>
          </w:p>
        </w:tc>
        <w:tc>
          <w:tcPr>
            <w:tcW w:w="2268" w:type="dxa"/>
            <w:vAlign w:val="center"/>
          </w:tcPr>
          <w:p>
            <w:pPr>
              <w:pStyle w:val="13"/>
            </w:pPr>
            <w:r>
              <w:t>效果显著</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推进新区项目建设</w:t>
            </w:r>
          </w:p>
        </w:tc>
        <w:tc>
          <w:tcPr>
            <w:tcW w:w="5386" w:type="dxa"/>
            <w:vAlign w:val="center"/>
          </w:tcPr>
          <w:p>
            <w:pPr>
              <w:pStyle w:val="13"/>
            </w:pPr>
            <w:r>
              <w:t>加快重点项目建设，推动新区高质量发展</w:t>
            </w:r>
          </w:p>
        </w:tc>
        <w:tc>
          <w:tcPr>
            <w:tcW w:w="2268" w:type="dxa"/>
            <w:vAlign w:val="center"/>
          </w:tcPr>
          <w:p>
            <w:pPr>
              <w:pStyle w:val="13"/>
            </w:pPr>
            <w:r>
              <w:t>效果显著</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被调查的那位或群体对本部门工作的满意程度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21.74</w:t>
            </w:r>
          </w:p>
        </w:tc>
        <w:tc>
          <w:tcPr>
            <w:tcW w:w="964" w:type="dxa"/>
            <w:vAlign w:val="center"/>
          </w:tcPr>
          <w:p>
            <w:pPr>
              <w:pStyle w:val="16"/>
            </w:pPr>
            <w:r>
              <w:t>21.74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秦皇岛北戴河新区发展改革局本级小计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21.74</w:t>
            </w:r>
          </w:p>
        </w:tc>
        <w:tc>
          <w:tcPr>
            <w:tcW w:w="964" w:type="dxa"/>
            <w:vAlign w:val="center"/>
          </w:tcPr>
          <w:p>
            <w:pPr>
              <w:pStyle w:val="16"/>
            </w:pPr>
            <w:r>
              <w:t>21.74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26.31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26.31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1.36</w:t>
            </w:r>
          </w:p>
        </w:tc>
        <w:tc>
          <w:tcPr>
            <w:tcW w:w="964" w:type="dxa"/>
            <w:vAlign w:val="center"/>
          </w:tcPr>
          <w:p>
            <w:pPr>
              <w:pStyle w:val="12"/>
            </w:pPr>
            <w:r>
              <w:t>1.36</w:t>
            </w:r>
          </w:p>
        </w:tc>
        <w:tc>
          <w:tcPr>
            <w:tcW w:w="964" w:type="dxa"/>
            <w:vAlign w:val="center"/>
          </w:tcPr>
          <w:p>
            <w:pPr>
              <w:pStyle w:val="12"/>
            </w:pPr>
            <w:r>
              <w:t>1.36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0.72</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18.02</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1.36</w:t>
            </w:r>
          </w:p>
        </w:tc>
        <w:tc>
          <w:tcPr>
            <w:tcW w:w="964" w:type="dxa"/>
            <w:vAlign w:val="center"/>
          </w:tcPr>
          <w:p>
            <w:pPr>
              <w:pStyle w:val="12"/>
            </w:pPr>
            <w:r>
              <w:t>1.36</w:t>
            </w:r>
          </w:p>
        </w:tc>
        <w:tc>
          <w:tcPr>
            <w:tcW w:w="964" w:type="dxa"/>
            <w:vAlign w:val="center"/>
          </w:tcPr>
          <w:p>
            <w:pPr>
              <w:pStyle w:val="12"/>
            </w:pPr>
            <w:r>
              <w:t>1.36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发改工作经费</w:t>
            </w:r>
          </w:p>
        </w:tc>
        <w:tc>
          <w:tcPr>
            <w:tcW w:w="964" w:type="dxa"/>
            <w:vAlign w:val="center"/>
          </w:tcPr>
          <w:p>
            <w:pPr>
              <w:pStyle w:val="12"/>
            </w:pPr>
            <w:r>
              <w:t>27.00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项目落地工作经费</w:t>
            </w:r>
          </w:p>
        </w:tc>
        <w:tc>
          <w:tcPr>
            <w:tcW w:w="964" w:type="dxa"/>
            <w:vAlign w:val="center"/>
          </w:tcPr>
          <w:p>
            <w:pPr>
              <w:pStyle w:val="12"/>
            </w:pPr>
            <w:r>
              <w:t>30.00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秦皇岛北戴河新区发展改革局（含所属单位）上年末固定资产金额为103.54万元（详见下表）。本年度拟购置固定资产总额为0.00万元，已按要求列入政府采购预算，详见政府采购预算表。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338</w:t>
            </w:r>
          </w:p>
        </w:tc>
        <w:tc>
          <w:tcPr>
            <w:tcW w:w="2835" w:type="dxa"/>
            <w:vAlign w:val="center"/>
          </w:tcPr>
          <w:p>
            <w:pPr>
              <w:pStyle w:val="12"/>
            </w:pPr>
            <w:r>
              <w:t>94.23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43E5"/>
    <w:rsid w:val="14075933"/>
    <w:rsid w:val="36A500AE"/>
    <w:rsid w:val="4DC653C4"/>
    <w:rsid w:val="57E21324"/>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2025-02-17T15:01:00Z</dcterms:created>
  <dc:creator>0000003</dc:creator>
  <cp:lastModifiedBy>0000003</cp:lastModifiedBy>
  <dcterms:modified xsi:type="dcterms:W3CDTF">2025-02-17T07:26:48Z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