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318秦皇岛北戴河新区财政局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2254.88</w:t>
            </w:r>
          </w:p>
        </w:tc>
        <w:tc>
          <w:tcPr>
            <w:tcW w:w="4535" w:type="dxa"/>
            <w:vAlign w:val="center"/>
          </w:tcPr>
          <w:p>
            <w:pPr>
              <w:pStyle w:val="13"/>
            </w:pPr>
            <w:r>
              <w:t>一、一般公共服务支出</w:t>
            </w:r>
          </w:p>
        </w:tc>
        <w:tc>
          <w:tcPr>
            <w:tcW w:w="2126" w:type="dxa"/>
            <w:vAlign w:val="center"/>
          </w:tcPr>
          <w:p>
            <w:pPr>
              <w:pStyle w:val="12"/>
            </w:pPr>
            <w:r>
              <w:t>1027.78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781.03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r>
              <w:t>280.00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2254.88</w:t>
            </w:r>
          </w:p>
        </w:tc>
        <w:tc>
          <w:tcPr>
            <w:tcW w:w="4535" w:type="dxa"/>
            <w:vAlign w:val="center"/>
          </w:tcPr>
          <w:p>
            <w:pPr>
              <w:pStyle w:val="15"/>
            </w:pPr>
            <w:r>
              <w:t>本年支出合计</w:t>
            </w:r>
          </w:p>
        </w:tc>
        <w:tc>
          <w:tcPr>
            <w:tcW w:w="2126" w:type="dxa"/>
            <w:vAlign w:val="center"/>
          </w:tcPr>
          <w:p>
            <w:pPr>
              <w:pStyle w:val="16"/>
            </w:pPr>
            <w:r>
              <w:t>2254.88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2254.88</w:t>
            </w:r>
          </w:p>
        </w:tc>
        <w:tc>
          <w:tcPr>
            <w:tcW w:w="4535" w:type="dxa"/>
            <w:vAlign w:val="center"/>
          </w:tcPr>
          <w:p>
            <w:pPr>
              <w:pStyle w:val="15"/>
            </w:pPr>
            <w:r>
              <w:t>支出总计</w:t>
            </w:r>
          </w:p>
        </w:tc>
        <w:tc>
          <w:tcPr>
            <w:tcW w:w="2126" w:type="dxa"/>
            <w:vAlign w:val="center"/>
          </w:tcPr>
          <w:p>
            <w:pPr>
              <w:pStyle w:val="16"/>
            </w:pPr>
            <w:r>
              <w:t>2254.88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318秦皇岛北戴河新区财政局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2254.88</w:t>
            </w:r>
          </w:p>
        </w:tc>
        <w:tc>
          <w:tcPr>
            <w:tcW w:w="1134" w:type="dxa"/>
            <w:vAlign w:val="center"/>
          </w:tcPr>
          <w:p>
            <w:pPr>
              <w:pStyle w:val="16"/>
            </w:pPr>
            <w:r>
              <w:t>2254.88</w:t>
            </w:r>
          </w:p>
        </w:tc>
        <w:tc>
          <w:tcPr>
            <w:tcW w:w="1134" w:type="dxa"/>
            <w:vAlign w:val="center"/>
          </w:tcPr>
          <w:p>
            <w:pPr>
              <w:pStyle w:val="16"/>
            </w:pPr>
            <w:r>
              <w:t>2254.88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1027.78</w:t>
            </w:r>
          </w:p>
        </w:tc>
        <w:tc>
          <w:tcPr>
            <w:tcW w:w="1134" w:type="dxa"/>
            <w:vAlign w:val="center"/>
          </w:tcPr>
          <w:p>
            <w:pPr>
              <w:pStyle w:val="12"/>
            </w:pPr>
            <w:r>
              <w:t>1027.78</w:t>
            </w:r>
          </w:p>
        </w:tc>
        <w:tc>
          <w:tcPr>
            <w:tcW w:w="1134" w:type="dxa"/>
            <w:vAlign w:val="center"/>
          </w:tcPr>
          <w:p>
            <w:pPr>
              <w:pStyle w:val="12"/>
            </w:pPr>
            <w:r>
              <w:t>1027.78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1027.78</w:t>
            </w:r>
          </w:p>
        </w:tc>
        <w:tc>
          <w:tcPr>
            <w:tcW w:w="1134" w:type="dxa"/>
            <w:vAlign w:val="center"/>
          </w:tcPr>
          <w:p>
            <w:pPr>
              <w:pStyle w:val="12"/>
            </w:pPr>
            <w:r>
              <w:t>1027.78</w:t>
            </w:r>
          </w:p>
        </w:tc>
        <w:tc>
          <w:tcPr>
            <w:tcW w:w="1134" w:type="dxa"/>
            <w:vAlign w:val="center"/>
          </w:tcPr>
          <w:p>
            <w:pPr>
              <w:pStyle w:val="12"/>
            </w:pPr>
            <w:r>
              <w:t>1027.78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992.78</w:t>
            </w:r>
          </w:p>
        </w:tc>
        <w:tc>
          <w:tcPr>
            <w:tcW w:w="1134" w:type="dxa"/>
            <w:vAlign w:val="center"/>
          </w:tcPr>
          <w:p>
            <w:pPr>
              <w:pStyle w:val="12"/>
            </w:pPr>
            <w:r>
              <w:t>992.78</w:t>
            </w:r>
          </w:p>
        </w:tc>
        <w:tc>
          <w:tcPr>
            <w:tcW w:w="1134" w:type="dxa"/>
            <w:vAlign w:val="center"/>
          </w:tcPr>
          <w:p>
            <w:pPr>
              <w:pStyle w:val="12"/>
            </w:pPr>
            <w:r>
              <w:t>992.78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2010607</w:t>
            </w:r>
          </w:p>
        </w:tc>
        <w:tc>
          <w:tcPr>
            <w:tcW w:w="1559" w:type="dxa"/>
            <w:vAlign w:val="center"/>
          </w:tcPr>
          <w:p>
            <w:pPr>
              <w:pStyle w:val="13"/>
            </w:pPr>
            <w:r>
              <w:t>信息化建设</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54.91</w:t>
            </w:r>
          </w:p>
        </w:tc>
        <w:tc>
          <w:tcPr>
            <w:tcW w:w="1134" w:type="dxa"/>
            <w:vAlign w:val="center"/>
          </w:tcPr>
          <w:p>
            <w:pPr>
              <w:pStyle w:val="12"/>
            </w:pPr>
            <w:r>
              <w:t>54.91</w:t>
            </w:r>
          </w:p>
        </w:tc>
        <w:tc>
          <w:tcPr>
            <w:tcW w:w="1134" w:type="dxa"/>
            <w:vAlign w:val="center"/>
          </w:tcPr>
          <w:p>
            <w:pPr>
              <w:pStyle w:val="12"/>
            </w:pPr>
            <w:r>
              <w:t>54.91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54.91</w:t>
            </w:r>
          </w:p>
        </w:tc>
        <w:tc>
          <w:tcPr>
            <w:tcW w:w="1134" w:type="dxa"/>
            <w:vAlign w:val="center"/>
          </w:tcPr>
          <w:p>
            <w:pPr>
              <w:pStyle w:val="12"/>
            </w:pPr>
            <w:r>
              <w:t>54.91</w:t>
            </w:r>
          </w:p>
        </w:tc>
        <w:tc>
          <w:tcPr>
            <w:tcW w:w="1134" w:type="dxa"/>
            <w:vAlign w:val="center"/>
          </w:tcPr>
          <w:p>
            <w:pPr>
              <w:pStyle w:val="12"/>
            </w:pPr>
            <w:r>
              <w:t>54.91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7.47</w:t>
            </w:r>
          </w:p>
        </w:tc>
        <w:tc>
          <w:tcPr>
            <w:tcW w:w="1134" w:type="dxa"/>
            <w:vAlign w:val="center"/>
          </w:tcPr>
          <w:p>
            <w:pPr>
              <w:pStyle w:val="12"/>
            </w:pPr>
            <w:r>
              <w:t>7.47</w:t>
            </w:r>
          </w:p>
        </w:tc>
        <w:tc>
          <w:tcPr>
            <w:tcW w:w="1134" w:type="dxa"/>
            <w:vAlign w:val="center"/>
          </w:tcPr>
          <w:p>
            <w:pPr>
              <w:pStyle w:val="12"/>
            </w:pPr>
            <w:r>
              <w:t>7.47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46.11</w:t>
            </w:r>
          </w:p>
        </w:tc>
        <w:tc>
          <w:tcPr>
            <w:tcW w:w="1134" w:type="dxa"/>
            <w:vAlign w:val="center"/>
          </w:tcPr>
          <w:p>
            <w:pPr>
              <w:pStyle w:val="12"/>
            </w:pPr>
            <w:r>
              <w:t>46.11</w:t>
            </w:r>
          </w:p>
        </w:tc>
        <w:tc>
          <w:tcPr>
            <w:tcW w:w="1134" w:type="dxa"/>
            <w:vAlign w:val="center"/>
          </w:tcPr>
          <w:p>
            <w:pPr>
              <w:pStyle w:val="12"/>
            </w:pPr>
            <w:r>
              <w:t>46.11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1.34</w:t>
            </w:r>
          </w:p>
        </w:tc>
        <w:tc>
          <w:tcPr>
            <w:tcW w:w="1134" w:type="dxa"/>
            <w:vAlign w:val="center"/>
          </w:tcPr>
          <w:p>
            <w:pPr>
              <w:pStyle w:val="12"/>
            </w:pPr>
            <w:r>
              <w:t>1.34</w:t>
            </w:r>
          </w:p>
        </w:tc>
        <w:tc>
          <w:tcPr>
            <w:tcW w:w="1134" w:type="dxa"/>
            <w:vAlign w:val="center"/>
          </w:tcPr>
          <w:p>
            <w:pPr>
              <w:pStyle w:val="12"/>
            </w:pPr>
            <w:r>
              <w:t>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38.10</w:t>
            </w:r>
          </w:p>
        </w:tc>
        <w:tc>
          <w:tcPr>
            <w:tcW w:w="1134" w:type="dxa"/>
            <w:vAlign w:val="center"/>
          </w:tcPr>
          <w:p>
            <w:pPr>
              <w:pStyle w:val="12"/>
            </w:pPr>
            <w:r>
              <w:t>38.10</w:t>
            </w:r>
          </w:p>
        </w:tc>
        <w:tc>
          <w:tcPr>
            <w:tcW w:w="1134" w:type="dxa"/>
            <w:vAlign w:val="center"/>
          </w:tcPr>
          <w:p>
            <w:pPr>
              <w:pStyle w:val="12"/>
            </w:pPr>
            <w:r>
              <w:t>38.10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38.10</w:t>
            </w:r>
          </w:p>
        </w:tc>
        <w:tc>
          <w:tcPr>
            <w:tcW w:w="1134" w:type="dxa"/>
            <w:vAlign w:val="center"/>
          </w:tcPr>
          <w:p>
            <w:pPr>
              <w:pStyle w:val="12"/>
            </w:pPr>
            <w:r>
              <w:t>38.10</w:t>
            </w:r>
          </w:p>
        </w:tc>
        <w:tc>
          <w:tcPr>
            <w:tcW w:w="1134" w:type="dxa"/>
            <w:vAlign w:val="center"/>
          </w:tcPr>
          <w:p>
            <w:pPr>
              <w:pStyle w:val="12"/>
            </w:pPr>
            <w:r>
              <w:t>38.10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38.10</w:t>
            </w:r>
          </w:p>
        </w:tc>
        <w:tc>
          <w:tcPr>
            <w:tcW w:w="1134" w:type="dxa"/>
            <w:vAlign w:val="center"/>
          </w:tcPr>
          <w:p>
            <w:pPr>
              <w:pStyle w:val="12"/>
            </w:pPr>
            <w:r>
              <w:t>38.10</w:t>
            </w:r>
          </w:p>
        </w:tc>
        <w:tc>
          <w:tcPr>
            <w:tcW w:w="1134" w:type="dxa"/>
            <w:vAlign w:val="center"/>
          </w:tcPr>
          <w:p>
            <w:pPr>
              <w:pStyle w:val="12"/>
            </w:pPr>
            <w:r>
              <w:t>38.10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781.03</w:t>
            </w:r>
          </w:p>
        </w:tc>
        <w:tc>
          <w:tcPr>
            <w:tcW w:w="1134" w:type="dxa"/>
            <w:vAlign w:val="center"/>
          </w:tcPr>
          <w:p>
            <w:pPr>
              <w:pStyle w:val="12"/>
            </w:pPr>
            <w:r>
              <w:t>781.03</w:t>
            </w:r>
          </w:p>
        </w:tc>
        <w:tc>
          <w:tcPr>
            <w:tcW w:w="1134" w:type="dxa"/>
            <w:vAlign w:val="center"/>
          </w:tcPr>
          <w:p>
            <w:pPr>
              <w:pStyle w:val="12"/>
            </w:pPr>
            <w:r>
              <w:t>781.03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293.00</w:t>
            </w:r>
          </w:p>
        </w:tc>
        <w:tc>
          <w:tcPr>
            <w:tcW w:w="1134" w:type="dxa"/>
            <w:vAlign w:val="center"/>
          </w:tcPr>
          <w:p>
            <w:pPr>
              <w:pStyle w:val="12"/>
            </w:pPr>
            <w:r>
              <w:t>293.00</w:t>
            </w:r>
          </w:p>
        </w:tc>
        <w:tc>
          <w:tcPr>
            <w:tcW w:w="1134" w:type="dxa"/>
            <w:vAlign w:val="center"/>
          </w:tcPr>
          <w:p>
            <w:pPr>
              <w:pStyle w:val="12"/>
            </w:pPr>
            <w:r>
              <w:t>293.00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2130142</w:t>
            </w:r>
          </w:p>
        </w:tc>
        <w:tc>
          <w:tcPr>
            <w:tcW w:w="1559" w:type="dxa"/>
            <w:vAlign w:val="center"/>
          </w:tcPr>
          <w:p>
            <w:pPr>
              <w:pStyle w:val="13"/>
            </w:pPr>
            <w:r>
              <w:t>乡村道路建设</w:t>
            </w:r>
          </w:p>
        </w:tc>
        <w:tc>
          <w:tcPr>
            <w:tcW w:w="1134" w:type="dxa"/>
            <w:vAlign w:val="center"/>
          </w:tcPr>
          <w:p>
            <w:pPr>
              <w:pStyle w:val="12"/>
            </w:pPr>
            <w:r>
              <w:t>293.00</w:t>
            </w:r>
          </w:p>
        </w:tc>
        <w:tc>
          <w:tcPr>
            <w:tcW w:w="1134" w:type="dxa"/>
            <w:vAlign w:val="center"/>
          </w:tcPr>
          <w:p>
            <w:pPr>
              <w:pStyle w:val="12"/>
            </w:pPr>
            <w:r>
              <w:t>293.00</w:t>
            </w:r>
          </w:p>
        </w:tc>
        <w:tc>
          <w:tcPr>
            <w:tcW w:w="1134" w:type="dxa"/>
            <w:vAlign w:val="center"/>
          </w:tcPr>
          <w:p>
            <w:pPr>
              <w:pStyle w:val="12"/>
            </w:pPr>
            <w:r>
              <w:t>293.00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142.00</w:t>
            </w:r>
          </w:p>
        </w:tc>
        <w:tc>
          <w:tcPr>
            <w:tcW w:w="1134" w:type="dxa"/>
            <w:vAlign w:val="center"/>
          </w:tcPr>
          <w:p>
            <w:pPr>
              <w:pStyle w:val="12"/>
            </w:pPr>
            <w:r>
              <w:t>142.00</w:t>
            </w:r>
          </w:p>
        </w:tc>
        <w:tc>
          <w:tcPr>
            <w:tcW w:w="1134" w:type="dxa"/>
            <w:vAlign w:val="center"/>
          </w:tcPr>
          <w:p>
            <w:pPr>
              <w:pStyle w:val="12"/>
            </w:pPr>
            <w:r>
              <w:t>142.00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142.00</w:t>
            </w:r>
          </w:p>
        </w:tc>
        <w:tc>
          <w:tcPr>
            <w:tcW w:w="1134" w:type="dxa"/>
            <w:vAlign w:val="center"/>
          </w:tcPr>
          <w:p>
            <w:pPr>
              <w:pStyle w:val="12"/>
            </w:pPr>
            <w:r>
              <w:t>142.00</w:t>
            </w:r>
          </w:p>
        </w:tc>
        <w:tc>
          <w:tcPr>
            <w:tcW w:w="1134" w:type="dxa"/>
            <w:vAlign w:val="center"/>
          </w:tcPr>
          <w:p>
            <w:pPr>
              <w:pStyle w:val="12"/>
            </w:pPr>
            <w:r>
              <w:t>142.00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21308</w:t>
            </w:r>
          </w:p>
        </w:tc>
        <w:tc>
          <w:tcPr>
            <w:tcW w:w="1559" w:type="dxa"/>
            <w:vAlign w:val="center"/>
          </w:tcPr>
          <w:p>
            <w:pPr>
              <w:pStyle w:val="13"/>
            </w:pPr>
            <w:r>
              <w:t>普惠金融发展支出</w:t>
            </w:r>
          </w:p>
        </w:tc>
        <w:tc>
          <w:tcPr>
            <w:tcW w:w="1134" w:type="dxa"/>
            <w:vAlign w:val="center"/>
          </w:tcPr>
          <w:p>
            <w:pPr>
              <w:pStyle w:val="12"/>
            </w:pPr>
            <w:r>
              <w:t>346.03</w:t>
            </w:r>
          </w:p>
        </w:tc>
        <w:tc>
          <w:tcPr>
            <w:tcW w:w="1134" w:type="dxa"/>
            <w:vAlign w:val="center"/>
          </w:tcPr>
          <w:p>
            <w:pPr>
              <w:pStyle w:val="12"/>
            </w:pPr>
            <w:r>
              <w:t>346.03</w:t>
            </w:r>
          </w:p>
        </w:tc>
        <w:tc>
          <w:tcPr>
            <w:tcW w:w="1134" w:type="dxa"/>
            <w:vAlign w:val="center"/>
          </w:tcPr>
          <w:p>
            <w:pPr>
              <w:pStyle w:val="12"/>
            </w:pPr>
            <w:r>
              <w:t>346.03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2130803</w:t>
            </w:r>
          </w:p>
        </w:tc>
        <w:tc>
          <w:tcPr>
            <w:tcW w:w="1559" w:type="dxa"/>
            <w:vAlign w:val="center"/>
          </w:tcPr>
          <w:p>
            <w:pPr>
              <w:pStyle w:val="13"/>
            </w:pPr>
            <w:r>
              <w:t>农业保险保费补贴</w:t>
            </w:r>
          </w:p>
        </w:tc>
        <w:tc>
          <w:tcPr>
            <w:tcW w:w="1134" w:type="dxa"/>
            <w:vAlign w:val="center"/>
          </w:tcPr>
          <w:p>
            <w:pPr>
              <w:pStyle w:val="12"/>
            </w:pPr>
            <w:r>
              <w:t>346.03</w:t>
            </w:r>
          </w:p>
        </w:tc>
        <w:tc>
          <w:tcPr>
            <w:tcW w:w="1134" w:type="dxa"/>
            <w:vAlign w:val="center"/>
          </w:tcPr>
          <w:p>
            <w:pPr>
              <w:pStyle w:val="12"/>
            </w:pPr>
            <w:r>
              <w:t>346.03</w:t>
            </w:r>
          </w:p>
        </w:tc>
        <w:tc>
          <w:tcPr>
            <w:tcW w:w="1134" w:type="dxa"/>
            <w:vAlign w:val="center"/>
          </w:tcPr>
          <w:p>
            <w:pPr>
              <w:pStyle w:val="12"/>
            </w:pPr>
            <w:r>
              <w:t>346.03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21507</w:t>
            </w:r>
          </w:p>
        </w:tc>
        <w:tc>
          <w:tcPr>
            <w:tcW w:w="1559" w:type="dxa"/>
            <w:vAlign w:val="center"/>
          </w:tcPr>
          <w:p>
            <w:pPr>
              <w:pStyle w:val="13"/>
            </w:pPr>
            <w:r>
              <w:t>国有资产监管</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2150701</w:t>
            </w:r>
          </w:p>
        </w:tc>
        <w:tc>
          <w:tcPr>
            <w:tcW w:w="1559" w:type="dxa"/>
            <w:vAlign w:val="center"/>
          </w:tcPr>
          <w:p>
            <w:pPr>
              <w:pStyle w:val="13"/>
            </w:pPr>
            <w:r>
              <w:t>行政运行</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217</w:t>
            </w:r>
          </w:p>
        </w:tc>
        <w:tc>
          <w:tcPr>
            <w:tcW w:w="1559" w:type="dxa"/>
            <w:vAlign w:val="center"/>
          </w:tcPr>
          <w:p>
            <w:pPr>
              <w:pStyle w:val="13"/>
            </w:pPr>
            <w:r>
              <w:t>金融支出</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21701</w:t>
            </w:r>
          </w:p>
        </w:tc>
        <w:tc>
          <w:tcPr>
            <w:tcW w:w="1559" w:type="dxa"/>
            <w:vAlign w:val="center"/>
          </w:tcPr>
          <w:p>
            <w:pPr>
              <w:pStyle w:val="13"/>
            </w:pPr>
            <w:r>
              <w:t>金融部门行政支出</w:t>
            </w:r>
          </w:p>
        </w:tc>
        <w:tc>
          <w:tcPr>
            <w:tcW w:w="1134" w:type="dxa"/>
            <w:vAlign w:val="center"/>
          </w:tcPr>
          <w:p>
            <w:pPr>
              <w:pStyle w:val="12"/>
            </w:pPr>
            <w:r>
              <w:t>190.00</w:t>
            </w:r>
          </w:p>
        </w:tc>
        <w:tc>
          <w:tcPr>
            <w:tcW w:w="1134" w:type="dxa"/>
            <w:vAlign w:val="center"/>
          </w:tcPr>
          <w:p>
            <w:pPr>
              <w:pStyle w:val="12"/>
            </w:pPr>
            <w:r>
              <w:t>190.00</w:t>
            </w:r>
          </w:p>
        </w:tc>
        <w:tc>
          <w:tcPr>
            <w:tcW w:w="1134" w:type="dxa"/>
            <w:vAlign w:val="center"/>
          </w:tcPr>
          <w:p>
            <w:pPr>
              <w:pStyle w:val="12"/>
            </w:pPr>
            <w:r>
              <w:t>190.00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2170101</w:t>
            </w:r>
          </w:p>
        </w:tc>
        <w:tc>
          <w:tcPr>
            <w:tcW w:w="1559" w:type="dxa"/>
            <w:vAlign w:val="center"/>
          </w:tcPr>
          <w:p>
            <w:pPr>
              <w:pStyle w:val="13"/>
            </w:pPr>
            <w:r>
              <w:t>行政运行</w:t>
            </w:r>
          </w:p>
        </w:tc>
        <w:tc>
          <w:tcPr>
            <w:tcW w:w="1134" w:type="dxa"/>
            <w:vAlign w:val="center"/>
          </w:tcPr>
          <w:p>
            <w:pPr>
              <w:pStyle w:val="12"/>
            </w:pPr>
            <w:r>
              <w:t>190.00</w:t>
            </w:r>
          </w:p>
        </w:tc>
        <w:tc>
          <w:tcPr>
            <w:tcW w:w="1134" w:type="dxa"/>
            <w:vAlign w:val="center"/>
          </w:tcPr>
          <w:p>
            <w:pPr>
              <w:pStyle w:val="12"/>
            </w:pPr>
            <w:r>
              <w:t>190.00</w:t>
            </w:r>
          </w:p>
        </w:tc>
        <w:tc>
          <w:tcPr>
            <w:tcW w:w="1134" w:type="dxa"/>
            <w:vAlign w:val="center"/>
          </w:tcPr>
          <w:p>
            <w:pPr>
              <w:pStyle w:val="12"/>
            </w:pPr>
            <w:r>
              <w:t>190.00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21799</w:t>
            </w:r>
          </w:p>
        </w:tc>
        <w:tc>
          <w:tcPr>
            <w:tcW w:w="1559" w:type="dxa"/>
            <w:vAlign w:val="center"/>
          </w:tcPr>
          <w:p>
            <w:pPr>
              <w:pStyle w:val="13"/>
            </w:pPr>
            <w:r>
              <w:t>其他金融支出</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2179999</w:t>
            </w:r>
          </w:p>
        </w:tc>
        <w:tc>
          <w:tcPr>
            <w:tcW w:w="1559" w:type="dxa"/>
            <w:vAlign w:val="center"/>
          </w:tcPr>
          <w:p>
            <w:pPr>
              <w:pStyle w:val="13"/>
            </w:pPr>
            <w:r>
              <w:t>其他金融支出</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38.06</w:t>
            </w:r>
          </w:p>
        </w:tc>
        <w:tc>
          <w:tcPr>
            <w:tcW w:w="1134" w:type="dxa"/>
            <w:vAlign w:val="center"/>
          </w:tcPr>
          <w:p>
            <w:pPr>
              <w:pStyle w:val="12"/>
            </w:pPr>
            <w:r>
              <w:t>38.06</w:t>
            </w:r>
          </w:p>
        </w:tc>
        <w:tc>
          <w:tcPr>
            <w:tcW w:w="1134" w:type="dxa"/>
            <w:vAlign w:val="center"/>
          </w:tcPr>
          <w:p>
            <w:pPr>
              <w:pStyle w:val="12"/>
            </w:pPr>
            <w:r>
              <w:t>38.06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38.06</w:t>
            </w:r>
          </w:p>
        </w:tc>
        <w:tc>
          <w:tcPr>
            <w:tcW w:w="1134" w:type="dxa"/>
            <w:vAlign w:val="center"/>
          </w:tcPr>
          <w:p>
            <w:pPr>
              <w:pStyle w:val="12"/>
            </w:pPr>
            <w:r>
              <w:t>38.06</w:t>
            </w:r>
          </w:p>
        </w:tc>
        <w:tc>
          <w:tcPr>
            <w:tcW w:w="1134" w:type="dxa"/>
            <w:vAlign w:val="center"/>
          </w:tcPr>
          <w:p>
            <w:pPr>
              <w:pStyle w:val="12"/>
            </w:pPr>
            <w:r>
              <w:t>38.06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38.06</w:t>
            </w:r>
          </w:p>
        </w:tc>
        <w:tc>
          <w:tcPr>
            <w:tcW w:w="1134" w:type="dxa"/>
            <w:vAlign w:val="center"/>
          </w:tcPr>
          <w:p>
            <w:pPr>
              <w:pStyle w:val="12"/>
            </w:pPr>
            <w:r>
              <w:t>38.06</w:t>
            </w:r>
          </w:p>
        </w:tc>
        <w:tc>
          <w:tcPr>
            <w:tcW w:w="1134" w:type="dxa"/>
            <w:vAlign w:val="center"/>
          </w:tcPr>
          <w:p>
            <w:pPr>
              <w:pStyle w:val="12"/>
            </w:pPr>
            <w:r>
              <w:t>38.06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318秦皇岛北戴河新区财政局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2254.88</w:t>
            </w:r>
          </w:p>
        </w:tc>
        <w:tc>
          <w:tcPr>
            <w:tcW w:w="1361" w:type="dxa"/>
            <w:vAlign w:val="center"/>
          </w:tcPr>
          <w:p>
            <w:pPr>
              <w:pStyle w:val="16"/>
            </w:pPr>
            <w:r>
              <w:t>507.00</w:t>
            </w:r>
          </w:p>
        </w:tc>
        <w:tc>
          <w:tcPr>
            <w:tcW w:w="1361" w:type="dxa"/>
            <w:vAlign w:val="center"/>
          </w:tcPr>
          <w:p>
            <w:pPr>
              <w:pStyle w:val="16"/>
            </w:pPr>
            <w:r>
              <w:t>1747.88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1027.78</w:t>
            </w:r>
          </w:p>
        </w:tc>
        <w:tc>
          <w:tcPr>
            <w:tcW w:w="1361" w:type="dxa"/>
            <w:vAlign w:val="center"/>
          </w:tcPr>
          <w:p>
            <w:pPr>
              <w:pStyle w:val="12"/>
            </w:pPr>
            <w:r>
              <w:t>375.93</w:t>
            </w:r>
          </w:p>
        </w:tc>
        <w:tc>
          <w:tcPr>
            <w:tcW w:w="1361" w:type="dxa"/>
            <w:vAlign w:val="center"/>
          </w:tcPr>
          <w:p>
            <w:pPr>
              <w:pStyle w:val="12"/>
            </w:pPr>
            <w:r>
              <w:t>651.85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1027.78</w:t>
            </w:r>
          </w:p>
        </w:tc>
        <w:tc>
          <w:tcPr>
            <w:tcW w:w="1361" w:type="dxa"/>
            <w:vAlign w:val="center"/>
          </w:tcPr>
          <w:p>
            <w:pPr>
              <w:pStyle w:val="12"/>
            </w:pPr>
            <w:r>
              <w:t>375.93</w:t>
            </w:r>
          </w:p>
        </w:tc>
        <w:tc>
          <w:tcPr>
            <w:tcW w:w="1361" w:type="dxa"/>
            <w:vAlign w:val="center"/>
          </w:tcPr>
          <w:p>
            <w:pPr>
              <w:pStyle w:val="12"/>
            </w:pPr>
            <w:r>
              <w:t>651.85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992.78</w:t>
            </w:r>
          </w:p>
        </w:tc>
        <w:tc>
          <w:tcPr>
            <w:tcW w:w="1361" w:type="dxa"/>
            <w:vAlign w:val="center"/>
          </w:tcPr>
          <w:p>
            <w:pPr>
              <w:pStyle w:val="12"/>
            </w:pPr>
            <w:r>
              <w:t>375.93</w:t>
            </w:r>
          </w:p>
        </w:tc>
        <w:tc>
          <w:tcPr>
            <w:tcW w:w="1361" w:type="dxa"/>
            <w:vAlign w:val="center"/>
          </w:tcPr>
          <w:p>
            <w:pPr>
              <w:pStyle w:val="12"/>
            </w:pPr>
            <w:r>
              <w:t>616.85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2010607</w:t>
            </w:r>
          </w:p>
        </w:tc>
        <w:tc>
          <w:tcPr>
            <w:tcW w:w="4535" w:type="dxa"/>
            <w:vAlign w:val="center"/>
          </w:tcPr>
          <w:p>
            <w:pPr>
              <w:pStyle w:val="13"/>
            </w:pPr>
            <w:r>
              <w:t>信息化建设</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54.91</w:t>
            </w:r>
          </w:p>
        </w:tc>
        <w:tc>
          <w:tcPr>
            <w:tcW w:w="1361" w:type="dxa"/>
            <w:vAlign w:val="center"/>
          </w:tcPr>
          <w:p>
            <w:pPr>
              <w:pStyle w:val="12"/>
            </w:pPr>
            <w:r>
              <w:t>54.91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54.91</w:t>
            </w:r>
          </w:p>
        </w:tc>
        <w:tc>
          <w:tcPr>
            <w:tcW w:w="1361" w:type="dxa"/>
            <w:vAlign w:val="center"/>
          </w:tcPr>
          <w:p>
            <w:pPr>
              <w:pStyle w:val="12"/>
            </w:pPr>
            <w:r>
              <w:t>54.91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7.47</w:t>
            </w:r>
          </w:p>
        </w:tc>
        <w:tc>
          <w:tcPr>
            <w:tcW w:w="1361" w:type="dxa"/>
            <w:vAlign w:val="center"/>
          </w:tcPr>
          <w:p>
            <w:pPr>
              <w:pStyle w:val="12"/>
            </w:pPr>
            <w:r>
              <w:t>7.47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46.11</w:t>
            </w:r>
          </w:p>
        </w:tc>
        <w:tc>
          <w:tcPr>
            <w:tcW w:w="1361" w:type="dxa"/>
            <w:vAlign w:val="center"/>
          </w:tcPr>
          <w:p>
            <w:pPr>
              <w:pStyle w:val="12"/>
            </w:pPr>
            <w:r>
              <w:t>46.11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1.34</w:t>
            </w:r>
          </w:p>
        </w:tc>
        <w:tc>
          <w:tcPr>
            <w:tcW w:w="1361" w:type="dxa"/>
            <w:vAlign w:val="center"/>
          </w:tcPr>
          <w:p>
            <w:pPr>
              <w:pStyle w:val="12"/>
            </w:pPr>
            <w:r>
              <w:t>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38.10</w:t>
            </w:r>
          </w:p>
        </w:tc>
        <w:tc>
          <w:tcPr>
            <w:tcW w:w="1361" w:type="dxa"/>
            <w:vAlign w:val="center"/>
          </w:tcPr>
          <w:p>
            <w:pPr>
              <w:pStyle w:val="12"/>
            </w:pPr>
            <w:r>
              <w:t>38.10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38.10</w:t>
            </w:r>
          </w:p>
        </w:tc>
        <w:tc>
          <w:tcPr>
            <w:tcW w:w="1361" w:type="dxa"/>
            <w:vAlign w:val="center"/>
          </w:tcPr>
          <w:p>
            <w:pPr>
              <w:pStyle w:val="12"/>
            </w:pPr>
            <w:r>
              <w:t>38.10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38.10</w:t>
            </w:r>
          </w:p>
        </w:tc>
        <w:tc>
          <w:tcPr>
            <w:tcW w:w="1361" w:type="dxa"/>
            <w:vAlign w:val="center"/>
          </w:tcPr>
          <w:p>
            <w:pPr>
              <w:pStyle w:val="12"/>
            </w:pPr>
            <w:r>
              <w:t>38.10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781.03</w:t>
            </w:r>
          </w:p>
        </w:tc>
        <w:tc>
          <w:tcPr>
            <w:tcW w:w="1361" w:type="dxa"/>
            <w:vAlign w:val="center"/>
          </w:tcPr>
          <w:p>
            <w:pPr>
              <w:pStyle w:val="12"/>
            </w:pPr>
          </w:p>
        </w:tc>
        <w:tc>
          <w:tcPr>
            <w:tcW w:w="1361" w:type="dxa"/>
            <w:vAlign w:val="center"/>
          </w:tcPr>
          <w:p>
            <w:pPr>
              <w:pStyle w:val="12"/>
            </w:pPr>
            <w:r>
              <w:t>781.03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293.00</w:t>
            </w:r>
          </w:p>
        </w:tc>
        <w:tc>
          <w:tcPr>
            <w:tcW w:w="1361" w:type="dxa"/>
            <w:vAlign w:val="center"/>
          </w:tcPr>
          <w:p>
            <w:pPr>
              <w:pStyle w:val="12"/>
            </w:pPr>
          </w:p>
        </w:tc>
        <w:tc>
          <w:tcPr>
            <w:tcW w:w="1361" w:type="dxa"/>
            <w:vAlign w:val="center"/>
          </w:tcPr>
          <w:p>
            <w:pPr>
              <w:pStyle w:val="12"/>
            </w:pPr>
            <w:r>
              <w:t>293.00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2130142</w:t>
            </w:r>
          </w:p>
        </w:tc>
        <w:tc>
          <w:tcPr>
            <w:tcW w:w="4535" w:type="dxa"/>
            <w:vAlign w:val="center"/>
          </w:tcPr>
          <w:p>
            <w:pPr>
              <w:pStyle w:val="13"/>
            </w:pPr>
            <w:r>
              <w:t>乡村道路建设</w:t>
            </w:r>
          </w:p>
        </w:tc>
        <w:tc>
          <w:tcPr>
            <w:tcW w:w="1361" w:type="dxa"/>
            <w:vAlign w:val="center"/>
          </w:tcPr>
          <w:p>
            <w:pPr>
              <w:pStyle w:val="12"/>
            </w:pPr>
            <w:r>
              <w:t>293.00</w:t>
            </w:r>
          </w:p>
        </w:tc>
        <w:tc>
          <w:tcPr>
            <w:tcW w:w="1361" w:type="dxa"/>
            <w:vAlign w:val="center"/>
          </w:tcPr>
          <w:p>
            <w:pPr>
              <w:pStyle w:val="12"/>
            </w:pPr>
          </w:p>
        </w:tc>
        <w:tc>
          <w:tcPr>
            <w:tcW w:w="1361" w:type="dxa"/>
            <w:vAlign w:val="center"/>
          </w:tcPr>
          <w:p>
            <w:pPr>
              <w:pStyle w:val="12"/>
            </w:pPr>
            <w:r>
              <w:t>293.00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142.00</w:t>
            </w:r>
          </w:p>
        </w:tc>
        <w:tc>
          <w:tcPr>
            <w:tcW w:w="1361" w:type="dxa"/>
            <w:vAlign w:val="center"/>
          </w:tcPr>
          <w:p>
            <w:pPr>
              <w:pStyle w:val="12"/>
            </w:pPr>
          </w:p>
        </w:tc>
        <w:tc>
          <w:tcPr>
            <w:tcW w:w="1361" w:type="dxa"/>
            <w:vAlign w:val="center"/>
          </w:tcPr>
          <w:p>
            <w:pPr>
              <w:pStyle w:val="12"/>
            </w:pPr>
            <w:r>
              <w:t>142.00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142.00</w:t>
            </w:r>
          </w:p>
        </w:tc>
        <w:tc>
          <w:tcPr>
            <w:tcW w:w="1361" w:type="dxa"/>
            <w:vAlign w:val="center"/>
          </w:tcPr>
          <w:p>
            <w:pPr>
              <w:pStyle w:val="12"/>
            </w:pPr>
          </w:p>
        </w:tc>
        <w:tc>
          <w:tcPr>
            <w:tcW w:w="1361" w:type="dxa"/>
            <w:vAlign w:val="center"/>
          </w:tcPr>
          <w:p>
            <w:pPr>
              <w:pStyle w:val="12"/>
            </w:pPr>
            <w:r>
              <w:t>142.00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21308</w:t>
            </w:r>
          </w:p>
        </w:tc>
        <w:tc>
          <w:tcPr>
            <w:tcW w:w="4535" w:type="dxa"/>
            <w:vAlign w:val="center"/>
          </w:tcPr>
          <w:p>
            <w:pPr>
              <w:pStyle w:val="13"/>
            </w:pPr>
            <w:r>
              <w:t>普惠金融发展支出</w:t>
            </w:r>
          </w:p>
        </w:tc>
        <w:tc>
          <w:tcPr>
            <w:tcW w:w="1361" w:type="dxa"/>
            <w:vAlign w:val="center"/>
          </w:tcPr>
          <w:p>
            <w:pPr>
              <w:pStyle w:val="12"/>
            </w:pPr>
            <w:r>
              <w:t>346.03</w:t>
            </w:r>
          </w:p>
        </w:tc>
        <w:tc>
          <w:tcPr>
            <w:tcW w:w="1361" w:type="dxa"/>
            <w:vAlign w:val="center"/>
          </w:tcPr>
          <w:p>
            <w:pPr>
              <w:pStyle w:val="12"/>
            </w:pPr>
          </w:p>
        </w:tc>
        <w:tc>
          <w:tcPr>
            <w:tcW w:w="1361" w:type="dxa"/>
            <w:vAlign w:val="center"/>
          </w:tcPr>
          <w:p>
            <w:pPr>
              <w:pStyle w:val="12"/>
            </w:pPr>
            <w:r>
              <w:t>346.03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2130803</w:t>
            </w:r>
          </w:p>
        </w:tc>
        <w:tc>
          <w:tcPr>
            <w:tcW w:w="4535" w:type="dxa"/>
            <w:vAlign w:val="center"/>
          </w:tcPr>
          <w:p>
            <w:pPr>
              <w:pStyle w:val="13"/>
            </w:pPr>
            <w:r>
              <w:t>农业保险保费补贴</w:t>
            </w:r>
          </w:p>
        </w:tc>
        <w:tc>
          <w:tcPr>
            <w:tcW w:w="1361" w:type="dxa"/>
            <w:vAlign w:val="center"/>
          </w:tcPr>
          <w:p>
            <w:pPr>
              <w:pStyle w:val="12"/>
            </w:pPr>
            <w:r>
              <w:t>346.03</w:t>
            </w:r>
          </w:p>
        </w:tc>
        <w:tc>
          <w:tcPr>
            <w:tcW w:w="1361" w:type="dxa"/>
            <w:vAlign w:val="center"/>
          </w:tcPr>
          <w:p>
            <w:pPr>
              <w:pStyle w:val="12"/>
            </w:pPr>
          </w:p>
        </w:tc>
        <w:tc>
          <w:tcPr>
            <w:tcW w:w="1361" w:type="dxa"/>
            <w:vAlign w:val="center"/>
          </w:tcPr>
          <w:p>
            <w:pPr>
              <w:pStyle w:val="12"/>
            </w:pPr>
            <w:r>
              <w:t>346.03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21507</w:t>
            </w:r>
          </w:p>
        </w:tc>
        <w:tc>
          <w:tcPr>
            <w:tcW w:w="4535" w:type="dxa"/>
            <w:vAlign w:val="center"/>
          </w:tcPr>
          <w:p>
            <w:pPr>
              <w:pStyle w:val="13"/>
            </w:pPr>
            <w:r>
              <w:t>国有资产监管</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2150701</w:t>
            </w:r>
          </w:p>
        </w:tc>
        <w:tc>
          <w:tcPr>
            <w:tcW w:w="4535" w:type="dxa"/>
            <w:vAlign w:val="center"/>
          </w:tcPr>
          <w:p>
            <w:pPr>
              <w:pStyle w:val="13"/>
            </w:pPr>
            <w:r>
              <w:t>行政运行</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217</w:t>
            </w:r>
          </w:p>
        </w:tc>
        <w:tc>
          <w:tcPr>
            <w:tcW w:w="4535" w:type="dxa"/>
            <w:vAlign w:val="center"/>
          </w:tcPr>
          <w:p>
            <w:pPr>
              <w:pStyle w:val="13"/>
            </w:pPr>
            <w:r>
              <w:t>金融支出</w:t>
            </w: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21701</w:t>
            </w:r>
          </w:p>
        </w:tc>
        <w:tc>
          <w:tcPr>
            <w:tcW w:w="4535" w:type="dxa"/>
            <w:vAlign w:val="center"/>
          </w:tcPr>
          <w:p>
            <w:pPr>
              <w:pStyle w:val="13"/>
            </w:pPr>
            <w:r>
              <w:t>金融部门行政支出</w:t>
            </w: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2170101</w:t>
            </w:r>
          </w:p>
        </w:tc>
        <w:tc>
          <w:tcPr>
            <w:tcW w:w="4535" w:type="dxa"/>
            <w:vAlign w:val="center"/>
          </w:tcPr>
          <w:p>
            <w:pPr>
              <w:pStyle w:val="13"/>
            </w:pPr>
            <w:r>
              <w:t>行政运行</w:t>
            </w: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21799</w:t>
            </w:r>
          </w:p>
        </w:tc>
        <w:tc>
          <w:tcPr>
            <w:tcW w:w="4535" w:type="dxa"/>
            <w:vAlign w:val="center"/>
          </w:tcPr>
          <w:p>
            <w:pPr>
              <w:pStyle w:val="13"/>
            </w:pPr>
            <w:r>
              <w:t>其他金融支出</w:t>
            </w: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2179999</w:t>
            </w:r>
          </w:p>
        </w:tc>
        <w:tc>
          <w:tcPr>
            <w:tcW w:w="4535" w:type="dxa"/>
            <w:vAlign w:val="center"/>
          </w:tcPr>
          <w:p>
            <w:pPr>
              <w:pStyle w:val="13"/>
            </w:pPr>
            <w:r>
              <w:t>其他金融支出</w:t>
            </w: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38.06</w:t>
            </w:r>
          </w:p>
        </w:tc>
        <w:tc>
          <w:tcPr>
            <w:tcW w:w="1361" w:type="dxa"/>
            <w:vAlign w:val="center"/>
          </w:tcPr>
          <w:p>
            <w:pPr>
              <w:pStyle w:val="12"/>
            </w:pPr>
            <w:r>
              <w:t>38.06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38.06</w:t>
            </w:r>
          </w:p>
        </w:tc>
        <w:tc>
          <w:tcPr>
            <w:tcW w:w="1361" w:type="dxa"/>
            <w:vAlign w:val="center"/>
          </w:tcPr>
          <w:p>
            <w:pPr>
              <w:pStyle w:val="12"/>
            </w:pPr>
            <w:r>
              <w:t>38.06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38.06</w:t>
            </w:r>
          </w:p>
        </w:tc>
        <w:tc>
          <w:tcPr>
            <w:tcW w:w="1361" w:type="dxa"/>
            <w:vAlign w:val="center"/>
          </w:tcPr>
          <w:p>
            <w:pPr>
              <w:pStyle w:val="12"/>
            </w:pPr>
            <w:r>
              <w:t>38.06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318秦皇岛北戴河新区财政局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2254.88</w:t>
            </w:r>
          </w:p>
        </w:tc>
        <w:tc>
          <w:tcPr>
            <w:tcW w:w="3402" w:type="dxa"/>
            <w:vAlign w:val="center"/>
          </w:tcPr>
          <w:p>
            <w:pPr>
              <w:pStyle w:val="13"/>
            </w:pPr>
            <w:r>
              <w:t>一、一般公共服务支出</w:t>
            </w:r>
          </w:p>
        </w:tc>
        <w:tc>
          <w:tcPr>
            <w:tcW w:w="1474" w:type="dxa"/>
            <w:vAlign w:val="center"/>
          </w:tcPr>
          <w:p>
            <w:pPr>
              <w:pStyle w:val="12"/>
            </w:pPr>
            <w:r>
              <w:t>1027.78</w:t>
            </w:r>
          </w:p>
        </w:tc>
        <w:tc>
          <w:tcPr>
            <w:tcW w:w="1474" w:type="dxa"/>
            <w:vAlign w:val="center"/>
          </w:tcPr>
          <w:p>
            <w:pPr>
              <w:pStyle w:val="12"/>
            </w:pPr>
            <w:r>
              <w:t>1027.78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54.91</w:t>
            </w:r>
          </w:p>
        </w:tc>
        <w:tc>
          <w:tcPr>
            <w:tcW w:w="1474" w:type="dxa"/>
            <w:vAlign w:val="center"/>
          </w:tcPr>
          <w:p>
            <w:pPr>
              <w:pStyle w:val="12"/>
            </w:pPr>
            <w:r>
              <w:t>54.91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38.10</w:t>
            </w:r>
          </w:p>
        </w:tc>
        <w:tc>
          <w:tcPr>
            <w:tcW w:w="1474" w:type="dxa"/>
            <w:vAlign w:val="center"/>
          </w:tcPr>
          <w:p>
            <w:pPr>
              <w:pStyle w:val="12"/>
            </w:pPr>
            <w:r>
              <w:t>38.10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781.03</w:t>
            </w:r>
          </w:p>
        </w:tc>
        <w:tc>
          <w:tcPr>
            <w:tcW w:w="1474" w:type="dxa"/>
            <w:vAlign w:val="center"/>
          </w:tcPr>
          <w:p>
            <w:pPr>
              <w:pStyle w:val="12"/>
            </w:pPr>
            <w:r>
              <w:t>781.03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35.00</w:t>
            </w:r>
          </w:p>
        </w:tc>
        <w:tc>
          <w:tcPr>
            <w:tcW w:w="1474" w:type="dxa"/>
            <w:vAlign w:val="center"/>
          </w:tcPr>
          <w:p>
            <w:pPr>
              <w:pStyle w:val="12"/>
            </w:pPr>
            <w:r>
              <w:t>35.00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r>
              <w:t>280.00</w:t>
            </w:r>
          </w:p>
        </w:tc>
        <w:tc>
          <w:tcPr>
            <w:tcW w:w="1474" w:type="dxa"/>
            <w:vAlign w:val="center"/>
          </w:tcPr>
          <w:p>
            <w:pPr>
              <w:pStyle w:val="12"/>
            </w:pPr>
            <w:r>
              <w:t>280.00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38.06</w:t>
            </w:r>
          </w:p>
        </w:tc>
        <w:tc>
          <w:tcPr>
            <w:tcW w:w="1474" w:type="dxa"/>
            <w:vAlign w:val="center"/>
          </w:tcPr>
          <w:p>
            <w:pPr>
              <w:pStyle w:val="12"/>
            </w:pPr>
            <w:r>
              <w:t>38.06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2254.88</w:t>
            </w:r>
          </w:p>
        </w:tc>
        <w:tc>
          <w:tcPr>
            <w:tcW w:w="3402" w:type="dxa"/>
            <w:vAlign w:val="center"/>
          </w:tcPr>
          <w:p>
            <w:pPr>
              <w:pStyle w:val="15"/>
            </w:pPr>
            <w:r>
              <w:t>本年支出合计</w:t>
            </w:r>
          </w:p>
        </w:tc>
        <w:tc>
          <w:tcPr>
            <w:tcW w:w="1474" w:type="dxa"/>
            <w:vAlign w:val="center"/>
          </w:tcPr>
          <w:p>
            <w:pPr>
              <w:pStyle w:val="16"/>
            </w:pPr>
            <w:r>
              <w:t>2254.88</w:t>
            </w:r>
          </w:p>
        </w:tc>
        <w:tc>
          <w:tcPr>
            <w:tcW w:w="1474" w:type="dxa"/>
            <w:vAlign w:val="center"/>
          </w:tcPr>
          <w:p>
            <w:pPr>
              <w:pStyle w:val="16"/>
            </w:pPr>
            <w:r>
              <w:t>2254.88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2254.88</w:t>
            </w:r>
          </w:p>
        </w:tc>
        <w:tc>
          <w:tcPr>
            <w:tcW w:w="3402" w:type="dxa"/>
            <w:vAlign w:val="center"/>
          </w:tcPr>
          <w:p>
            <w:pPr>
              <w:pStyle w:val="15"/>
            </w:pPr>
            <w:r>
              <w:t>支出总计</w:t>
            </w:r>
          </w:p>
        </w:tc>
        <w:tc>
          <w:tcPr>
            <w:tcW w:w="1474" w:type="dxa"/>
            <w:vAlign w:val="center"/>
          </w:tcPr>
          <w:p>
            <w:pPr>
              <w:pStyle w:val="16"/>
            </w:pPr>
            <w:r>
              <w:t>2254.88</w:t>
            </w:r>
          </w:p>
        </w:tc>
        <w:tc>
          <w:tcPr>
            <w:tcW w:w="1474" w:type="dxa"/>
            <w:vAlign w:val="center"/>
          </w:tcPr>
          <w:p>
            <w:pPr>
              <w:pStyle w:val="16"/>
            </w:pPr>
            <w:r>
              <w:t>2254.88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318秦皇岛北戴河新区财政局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2254.88</w:t>
            </w:r>
          </w:p>
        </w:tc>
        <w:tc>
          <w:tcPr>
            <w:tcW w:w="2551" w:type="dxa"/>
            <w:vAlign w:val="center"/>
          </w:tcPr>
          <w:p>
            <w:pPr>
              <w:pStyle w:val="16"/>
            </w:pPr>
            <w:r>
              <w:t>507.00</w:t>
            </w:r>
          </w:p>
        </w:tc>
        <w:tc>
          <w:tcPr>
            <w:tcW w:w="2551" w:type="dxa"/>
            <w:vAlign w:val="center"/>
          </w:tcPr>
          <w:p>
            <w:pPr>
              <w:pStyle w:val="16"/>
            </w:pPr>
            <w:r>
              <w:t>1747.88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1027.78</w:t>
            </w:r>
          </w:p>
        </w:tc>
        <w:tc>
          <w:tcPr>
            <w:tcW w:w="2551" w:type="dxa"/>
            <w:vAlign w:val="center"/>
          </w:tcPr>
          <w:p>
            <w:pPr>
              <w:pStyle w:val="12"/>
            </w:pPr>
            <w:r>
              <w:t>375.93</w:t>
            </w:r>
          </w:p>
        </w:tc>
        <w:tc>
          <w:tcPr>
            <w:tcW w:w="2551" w:type="dxa"/>
            <w:vAlign w:val="center"/>
          </w:tcPr>
          <w:p>
            <w:pPr>
              <w:pStyle w:val="12"/>
            </w:pPr>
            <w:r>
              <w:t>651.85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1027.78</w:t>
            </w:r>
          </w:p>
        </w:tc>
        <w:tc>
          <w:tcPr>
            <w:tcW w:w="2551" w:type="dxa"/>
            <w:vAlign w:val="center"/>
          </w:tcPr>
          <w:p>
            <w:pPr>
              <w:pStyle w:val="12"/>
            </w:pPr>
            <w:r>
              <w:t>375.93</w:t>
            </w:r>
          </w:p>
        </w:tc>
        <w:tc>
          <w:tcPr>
            <w:tcW w:w="2551" w:type="dxa"/>
            <w:vAlign w:val="center"/>
          </w:tcPr>
          <w:p>
            <w:pPr>
              <w:pStyle w:val="12"/>
            </w:pPr>
            <w:r>
              <w:t>651.85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992.78</w:t>
            </w:r>
          </w:p>
        </w:tc>
        <w:tc>
          <w:tcPr>
            <w:tcW w:w="2551" w:type="dxa"/>
            <w:vAlign w:val="center"/>
          </w:tcPr>
          <w:p>
            <w:pPr>
              <w:pStyle w:val="12"/>
            </w:pPr>
            <w:r>
              <w:t>375.93</w:t>
            </w:r>
          </w:p>
        </w:tc>
        <w:tc>
          <w:tcPr>
            <w:tcW w:w="2551" w:type="dxa"/>
            <w:vAlign w:val="center"/>
          </w:tcPr>
          <w:p>
            <w:pPr>
              <w:pStyle w:val="12"/>
            </w:pPr>
            <w:r>
              <w:t>616.85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2010607</w:t>
            </w:r>
          </w:p>
        </w:tc>
        <w:tc>
          <w:tcPr>
            <w:tcW w:w="4535" w:type="dxa"/>
            <w:vAlign w:val="center"/>
          </w:tcPr>
          <w:p>
            <w:pPr>
              <w:pStyle w:val="13"/>
            </w:pPr>
            <w:r>
              <w:t>信息化建设</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54.91</w:t>
            </w:r>
          </w:p>
        </w:tc>
        <w:tc>
          <w:tcPr>
            <w:tcW w:w="2551" w:type="dxa"/>
            <w:vAlign w:val="center"/>
          </w:tcPr>
          <w:p>
            <w:pPr>
              <w:pStyle w:val="12"/>
            </w:pPr>
            <w:r>
              <w:t>54.91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54.91</w:t>
            </w:r>
          </w:p>
        </w:tc>
        <w:tc>
          <w:tcPr>
            <w:tcW w:w="2551" w:type="dxa"/>
            <w:vAlign w:val="center"/>
          </w:tcPr>
          <w:p>
            <w:pPr>
              <w:pStyle w:val="12"/>
            </w:pPr>
            <w:r>
              <w:t>54.91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7.47</w:t>
            </w:r>
          </w:p>
        </w:tc>
        <w:tc>
          <w:tcPr>
            <w:tcW w:w="2551" w:type="dxa"/>
            <w:vAlign w:val="center"/>
          </w:tcPr>
          <w:p>
            <w:pPr>
              <w:pStyle w:val="12"/>
            </w:pPr>
            <w:r>
              <w:t>7.47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46.11</w:t>
            </w:r>
          </w:p>
        </w:tc>
        <w:tc>
          <w:tcPr>
            <w:tcW w:w="2551" w:type="dxa"/>
            <w:vAlign w:val="center"/>
          </w:tcPr>
          <w:p>
            <w:pPr>
              <w:pStyle w:val="12"/>
            </w:pPr>
            <w:r>
              <w:t>46.11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1.34</w:t>
            </w:r>
          </w:p>
        </w:tc>
        <w:tc>
          <w:tcPr>
            <w:tcW w:w="2551" w:type="dxa"/>
            <w:vAlign w:val="center"/>
          </w:tcPr>
          <w:p>
            <w:pPr>
              <w:pStyle w:val="12"/>
            </w:pPr>
            <w:r>
              <w:t>1.34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38.10</w:t>
            </w:r>
          </w:p>
        </w:tc>
        <w:tc>
          <w:tcPr>
            <w:tcW w:w="2551" w:type="dxa"/>
            <w:vAlign w:val="center"/>
          </w:tcPr>
          <w:p>
            <w:pPr>
              <w:pStyle w:val="12"/>
            </w:pPr>
            <w:r>
              <w:t>38.10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38.10</w:t>
            </w:r>
          </w:p>
        </w:tc>
        <w:tc>
          <w:tcPr>
            <w:tcW w:w="2551" w:type="dxa"/>
            <w:vAlign w:val="center"/>
          </w:tcPr>
          <w:p>
            <w:pPr>
              <w:pStyle w:val="12"/>
            </w:pPr>
            <w:r>
              <w:t>38.10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38.10</w:t>
            </w:r>
          </w:p>
        </w:tc>
        <w:tc>
          <w:tcPr>
            <w:tcW w:w="2551" w:type="dxa"/>
            <w:vAlign w:val="center"/>
          </w:tcPr>
          <w:p>
            <w:pPr>
              <w:pStyle w:val="12"/>
            </w:pPr>
            <w:r>
              <w:t>38.10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781.03</w:t>
            </w:r>
          </w:p>
        </w:tc>
        <w:tc>
          <w:tcPr>
            <w:tcW w:w="2551" w:type="dxa"/>
            <w:vAlign w:val="center"/>
          </w:tcPr>
          <w:p>
            <w:pPr>
              <w:pStyle w:val="12"/>
            </w:pPr>
          </w:p>
        </w:tc>
        <w:tc>
          <w:tcPr>
            <w:tcW w:w="2551" w:type="dxa"/>
            <w:vAlign w:val="center"/>
          </w:tcPr>
          <w:p>
            <w:pPr>
              <w:pStyle w:val="12"/>
            </w:pPr>
            <w:r>
              <w:t>781.03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293.00</w:t>
            </w:r>
          </w:p>
        </w:tc>
        <w:tc>
          <w:tcPr>
            <w:tcW w:w="2551" w:type="dxa"/>
            <w:vAlign w:val="center"/>
          </w:tcPr>
          <w:p>
            <w:pPr>
              <w:pStyle w:val="12"/>
            </w:pPr>
          </w:p>
        </w:tc>
        <w:tc>
          <w:tcPr>
            <w:tcW w:w="2551" w:type="dxa"/>
            <w:vAlign w:val="center"/>
          </w:tcPr>
          <w:p>
            <w:pPr>
              <w:pStyle w:val="12"/>
            </w:pPr>
            <w:r>
              <w:t>293.00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2130142</w:t>
            </w:r>
          </w:p>
        </w:tc>
        <w:tc>
          <w:tcPr>
            <w:tcW w:w="4535" w:type="dxa"/>
            <w:vAlign w:val="center"/>
          </w:tcPr>
          <w:p>
            <w:pPr>
              <w:pStyle w:val="13"/>
            </w:pPr>
            <w:r>
              <w:t>乡村道路建设</w:t>
            </w:r>
          </w:p>
        </w:tc>
        <w:tc>
          <w:tcPr>
            <w:tcW w:w="2551" w:type="dxa"/>
            <w:vAlign w:val="center"/>
          </w:tcPr>
          <w:p>
            <w:pPr>
              <w:pStyle w:val="12"/>
            </w:pPr>
            <w:r>
              <w:t>293.00</w:t>
            </w:r>
          </w:p>
        </w:tc>
        <w:tc>
          <w:tcPr>
            <w:tcW w:w="2551" w:type="dxa"/>
            <w:vAlign w:val="center"/>
          </w:tcPr>
          <w:p>
            <w:pPr>
              <w:pStyle w:val="12"/>
            </w:pPr>
          </w:p>
        </w:tc>
        <w:tc>
          <w:tcPr>
            <w:tcW w:w="2551" w:type="dxa"/>
            <w:vAlign w:val="center"/>
          </w:tcPr>
          <w:p>
            <w:pPr>
              <w:pStyle w:val="12"/>
            </w:pPr>
            <w:r>
              <w:t>293.00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142.00</w:t>
            </w:r>
          </w:p>
        </w:tc>
        <w:tc>
          <w:tcPr>
            <w:tcW w:w="2551" w:type="dxa"/>
            <w:vAlign w:val="center"/>
          </w:tcPr>
          <w:p>
            <w:pPr>
              <w:pStyle w:val="12"/>
            </w:pPr>
          </w:p>
        </w:tc>
        <w:tc>
          <w:tcPr>
            <w:tcW w:w="2551" w:type="dxa"/>
            <w:vAlign w:val="center"/>
          </w:tcPr>
          <w:p>
            <w:pPr>
              <w:pStyle w:val="12"/>
            </w:pPr>
            <w:r>
              <w:t>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142.00</w:t>
            </w:r>
          </w:p>
        </w:tc>
        <w:tc>
          <w:tcPr>
            <w:tcW w:w="2551" w:type="dxa"/>
            <w:vAlign w:val="center"/>
          </w:tcPr>
          <w:p>
            <w:pPr>
              <w:pStyle w:val="12"/>
            </w:pPr>
          </w:p>
        </w:tc>
        <w:tc>
          <w:tcPr>
            <w:tcW w:w="2551" w:type="dxa"/>
            <w:vAlign w:val="center"/>
          </w:tcPr>
          <w:p>
            <w:pPr>
              <w:pStyle w:val="12"/>
            </w:pPr>
            <w:r>
              <w:t>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21308</w:t>
            </w:r>
          </w:p>
        </w:tc>
        <w:tc>
          <w:tcPr>
            <w:tcW w:w="4535" w:type="dxa"/>
            <w:vAlign w:val="center"/>
          </w:tcPr>
          <w:p>
            <w:pPr>
              <w:pStyle w:val="13"/>
            </w:pPr>
            <w:r>
              <w:t>普惠金融发展支出</w:t>
            </w:r>
          </w:p>
        </w:tc>
        <w:tc>
          <w:tcPr>
            <w:tcW w:w="2551" w:type="dxa"/>
            <w:vAlign w:val="center"/>
          </w:tcPr>
          <w:p>
            <w:pPr>
              <w:pStyle w:val="12"/>
            </w:pPr>
            <w:r>
              <w:t>346.03</w:t>
            </w:r>
          </w:p>
        </w:tc>
        <w:tc>
          <w:tcPr>
            <w:tcW w:w="2551" w:type="dxa"/>
            <w:vAlign w:val="center"/>
          </w:tcPr>
          <w:p>
            <w:pPr>
              <w:pStyle w:val="12"/>
            </w:pPr>
          </w:p>
        </w:tc>
        <w:tc>
          <w:tcPr>
            <w:tcW w:w="2551" w:type="dxa"/>
            <w:vAlign w:val="center"/>
          </w:tcPr>
          <w:p>
            <w:pPr>
              <w:pStyle w:val="12"/>
            </w:pPr>
            <w:r>
              <w:t>346.03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2130803</w:t>
            </w:r>
          </w:p>
        </w:tc>
        <w:tc>
          <w:tcPr>
            <w:tcW w:w="4535" w:type="dxa"/>
            <w:vAlign w:val="center"/>
          </w:tcPr>
          <w:p>
            <w:pPr>
              <w:pStyle w:val="13"/>
            </w:pPr>
            <w:r>
              <w:t>农业保险保费补贴</w:t>
            </w:r>
          </w:p>
        </w:tc>
        <w:tc>
          <w:tcPr>
            <w:tcW w:w="2551" w:type="dxa"/>
            <w:vAlign w:val="center"/>
          </w:tcPr>
          <w:p>
            <w:pPr>
              <w:pStyle w:val="12"/>
            </w:pPr>
            <w:r>
              <w:t>346.03</w:t>
            </w:r>
          </w:p>
        </w:tc>
        <w:tc>
          <w:tcPr>
            <w:tcW w:w="2551" w:type="dxa"/>
            <w:vAlign w:val="center"/>
          </w:tcPr>
          <w:p>
            <w:pPr>
              <w:pStyle w:val="12"/>
            </w:pPr>
          </w:p>
        </w:tc>
        <w:tc>
          <w:tcPr>
            <w:tcW w:w="2551" w:type="dxa"/>
            <w:vAlign w:val="center"/>
          </w:tcPr>
          <w:p>
            <w:pPr>
              <w:pStyle w:val="12"/>
            </w:pPr>
            <w:r>
              <w:t>346.03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21507</w:t>
            </w:r>
          </w:p>
        </w:tc>
        <w:tc>
          <w:tcPr>
            <w:tcW w:w="4535" w:type="dxa"/>
            <w:vAlign w:val="center"/>
          </w:tcPr>
          <w:p>
            <w:pPr>
              <w:pStyle w:val="13"/>
            </w:pPr>
            <w:r>
              <w:t>国有资产监管</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2150701</w:t>
            </w:r>
          </w:p>
        </w:tc>
        <w:tc>
          <w:tcPr>
            <w:tcW w:w="4535" w:type="dxa"/>
            <w:vAlign w:val="center"/>
          </w:tcPr>
          <w:p>
            <w:pPr>
              <w:pStyle w:val="13"/>
            </w:pPr>
            <w:r>
              <w:t>行政运行</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217</w:t>
            </w:r>
          </w:p>
        </w:tc>
        <w:tc>
          <w:tcPr>
            <w:tcW w:w="4535" w:type="dxa"/>
            <w:vAlign w:val="center"/>
          </w:tcPr>
          <w:p>
            <w:pPr>
              <w:pStyle w:val="13"/>
            </w:pPr>
            <w:r>
              <w:t>金融支出</w:t>
            </w:r>
          </w:p>
        </w:tc>
        <w:tc>
          <w:tcPr>
            <w:tcW w:w="2551" w:type="dxa"/>
            <w:vAlign w:val="center"/>
          </w:tcPr>
          <w:p>
            <w:pPr>
              <w:pStyle w:val="12"/>
            </w:pPr>
            <w:r>
              <w:t>280.00</w:t>
            </w:r>
          </w:p>
        </w:tc>
        <w:tc>
          <w:tcPr>
            <w:tcW w:w="2551" w:type="dxa"/>
            <w:vAlign w:val="center"/>
          </w:tcPr>
          <w:p>
            <w:pPr>
              <w:pStyle w:val="12"/>
            </w:pPr>
          </w:p>
        </w:tc>
        <w:tc>
          <w:tcPr>
            <w:tcW w:w="2551" w:type="dxa"/>
            <w:vAlign w:val="center"/>
          </w:tcPr>
          <w:p>
            <w:pPr>
              <w:pStyle w:val="12"/>
            </w:pPr>
            <w:r>
              <w:t>280.00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21701</w:t>
            </w:r>
          </w:p>
        </w:tc>
        <w:tc>
          <w:tcPr>
            <w:tcW w:w="4535" w:type="dxa"/>
            <w:vAlign w:val="center"/>
          </w:tcPr>
          <w:p>
            <w:pPr>
              <w:pStyle w:val="13"/>
            </w:pPr>
            <w:r>
              <w:t>金融部门行政支出</w:t>
            </w:r>
          </w:p>
        </w:tc>
        <w:tc>
          <w:tcPr>
            <w:tcW w:w="2551" w:type="dxa"/>
            <w:vAlign w:val="center"/>
          </w:tcPr>
          <w:p>
            <w:pPr>
              <w:pStyle w:val="12"/>
            </w:pPr>
            <w:r>
              <w:t>190.00</w:t>
            </w:r>
          </w:p>
        </w:tc>
        <w:tc>
          <w:tcPr>
            <w:tcW w:w="2551" w:type="dxa"/>
            <w:vAlign w:val="center"/>
          </w:tcPr>
          <w:p>
            <w:pPr>
              <w:pStyle w:val="12"/>
            </w:pPr>
          </w:p>
        </w:tc>
        <w:tc>
          <w:tcPr>
            <w:tcW w:w="2551" w:type="dxa"/>
            <w:vAlign w:val="center"/>
          </w:tcPr>
          <w:p>
            <w:pPr>
              <w:pStyle w:val="12"/>
            </w:pPr>
            <w:r>
              <w:t>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2170101</w:t>
            </w:r>
          </w:p>
        </w:tc>
        <w:tc>
          <w:tcPr>
            <w:tcW w:w="4535" w:type="dxa"/>
            <w:vAlign w:val="center"/>
          </w:tcPr>
          <w:p>
            <w:pPr>
              <w:pStyle w:val="13"/>
            </w:pPr>
            <w:r>
              <w:t>行政运行</w:t>
            </w:r>
          </w:p>
        </w:tc>
        <w:tc>
          <w:tcPr>
            <w:tcW w:w="2551" w:type="dxa"/>
            <w:vAlign w:val="center"/>
          </w:tcPr>
          <w:p>
            <w:pPr>
              <w:pStyle w:val="12"/>
            </w:pPr>
            <w:r>
              <w:t>190.00</w:t>
            </w:r>
          </w:p>
        </w:tc>
        <w:tc>
          <w:tcPr>
            <w:tcW w:w="2551" w:type="dxa"/>
            <w:vAlign w:val="center"/>
          </w:tcPr>
          <w:p>
            <w:pPr>
              <w:pStyle w:val="12"/>
            </w:pPr>
          </w:p>
        </w:tc>
        <w:tc>
          <w:tcPr>
            <w:tcW w:w="2551" w:type="dxa"/>
            <w:vAlign w:val="center"/>
          </w:tcPr>
          <w:p>
            <w:pPr>
              <w:pStyle w:val="12"/>
            </w:pPr>
            <w:r>
              <w:t>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21799</w:t>
            </w:r>
          </w:p>
        </w:tc>
        <w:tc>
          <w:tcPr>
            <w:tcW w:w="4535" w:type="dxa"/>
            <w:vAlign w:val="center"/>
          </w:tcPr>
          <w:p>
            <w:pPr>
              <w:pStyle w:val="13"/>
            </w:pPr>
            <w:r>
              <w:t>其他金融支出</w:t>
            </w:r>
          </w:p>
        </w:tc>
        <w:tc>
          <w:tcPr>
            <w:tcW w:w="2551" w:type="dxa"/>
            <w:vAlign w:val="center"/>
          </w:tcPr>
          <w:p>
            <w:pPr>
              <w:pStyle w:val="12"/>
            </w:pPr>
            <w:r>
              <w:t>90.00</w:t>
            </w:r>
          </w:p>
        </w:tc>
        <w:tc>
          <w:tcPr>
            <w:tcW w:w="2551" w:type="dxa"/>
            <w:vAlign w:val="center"/>
          </w:tcPr>
          <w:p>
            <w:pPr>
              <w:pStyle w:val="12"/>
            </w:pPr>
          </w:p>
        </w:tc>
        <w:tc>
          <w:tcPr>
            <w:tcW w:w="2551" w:type="dxa"/>
            <w:vAlign w:val="center"/>
          </w:tcPr>
          <w:p>
            <w:pPr>
              <w:pStyle w:val="12"/>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2179999</w:t>
            </w:r>
          </w:p>
        </w:tc>
        <w:tc>
          <w:tcPr>
            <w:tcW w:w="4535" w:type="dxa"/>
            <w:vAlign w:val="center"/>
          </w:tcPr>
          <w:p>
            <w:pPr>
              <w:pStyle w:val="13"/>
            </w:pPr>
            <w:r>
              <w:t>其他金融支出</w:t>
            </w:r>
          </w:p>
        </w:tc>
        <w:tc>
          <w:tcPr>
            <w:tcW w:w="2551" w:type="dxa"/>
            <w:vAlign w:val="center"/>
          </w:tcPr>
          <w:p>
            <w:pPr>
              <w:pStyle w:val="12"/>
            </w:pPr>
            <w:r>
              <w:t>90.00</w:t>
            </w:r>
          </w:p>
        </w:tc>
        <w:tc>
          <w:tcPr>
            <w:tcW w:w="2551" w:type="dxa"/>
            <w:vAlign w:val="center"/>
          </w:tcPr>
          <w:p>
            <w:pPr>
              <w:pStyle w:val="12"/>
            </w:pPr>
          </w:p>
        </w:tc>
        <w:tc>
          <w:tcPr>
            <w:tcW w:w="2551" w:type="dxa"/>
            <w:vAlign w:val="center"/>
          </w:tcPr>
          <w:p>
            <w:pPr>
              <w:pStyle w:val="12"/>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38.06</w:t>
            </w:r>
          </w:p>
        </w:tc>
        <w:tc>
          <w:tcPr>
            <w:tcW w:w="2551" w:type="dxa"/>
            <w:vAlign w:val="center"/>
          </w:tcPr>
          <w:p>
            <w:pPr>
              <w:pStyle w:val="12"/>
            </w:pPr>
            <w:r>
              <w:t>38.06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38.06</w:t>
            </w:r>
          </w:p>
        </w:tc>
        <w:tc>
          <w:tcPr>
            <w:tcW w:w="2551" w:type="dxa"/>
            <w:vAlign w:val="center"/>
          </w:tcPr>
          <w:p>
            <w:pPr>
              <w:pStyle w:val="12"/>
            </w:pPr>
            <w:r>
              <w:t>38.06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38.06</w:t>
            </w:r>
          </w:p>
        </w:tc>
        <w:tc>
          <w:tcPr>
            <w:tcW w:w="2551" w:type="dxa"/>
            <w:vAlign w:val="center"/>
          </w:tcPr>
          <w:p>
            <w:pPr>
              <w:pStyle w:val="12"/>
            </w:pPr>
            <w:r>
              <w:t>38.06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318秦皇岛北戴河新区财政局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507.00</w:t>
            </w:r>
          </w:p>
        </w:tc>
        <w:tc>
          <w:tcPr>
            <w:tcW w:w="2551" w:type="dxa"/>
            <w:vAlign w:val="center"/>
          </w:tcPr>
          <w:p>
            <w:pPr>
              <w:pStyle w:val="16"/>
            </w:pPr>
            <w:r>
              <w:t>469.66</w:t>
            </w:r>
          </w:p>
        </w:tc>
        <w:tc>
          <w:tcPr>
            <w:tcW w:w="2551" w:type="dxa"/>
            <w:vAlign w:val="center"/>
          </w:tcPr>
          <w:p>
            <w:pPr>
              <w:pStyle w:val="16"/>
            </w:pPr>
            <w:r>
              <w:t>37.35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462.62</w:t>
            </w:r>
          </w:p>
        </w:tc>
        <w:tc>
          <w:tcPr>
            <w:tcW w:w="2551" w:type="dxa"/>
            <w:vAlign w:val="center"/>
          </w:tcPr>
          <w:p>
            <w:pPr>
              <w:pStyle w:val="12"/>
            </w:pPr>
            <w:r>
              <w:t>462.62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163.60</w:t>
            </w:r>
          </w:p>
        </w:tc>
        <w:tc>
          <w:tcPr>
            <w:tcW w:w="2551" w:type="dxa"/>
            <w:vAlign w:val="center"/>
          </w:tcPr>
          <w:p>
            <w:pPr>
              <w:pStyle w:val="12"/>
            </w:pPr>
            <w:r>
              <w:t>163.60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33.10</w:t>
            </w:r>
          </w:p>
        </w:tc>
        <w:tc>
          <w:tcPr>
            <w:tcW w:w="2551" w:type="dxa"/>
            <w:vAlign w:val="center"/>
          </w:tcPr>
          <w:p>
            <w:pPr>
              <w:pStyle w:val="12"/>
            </w:pPr>
            <w:r>
              <w:t>33.10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14.11</w:t>
            </w:r>
          </w:p>
        </w:tc>
        <w:tc>
          <w:tcPr>
            <w:tcW w:w="2551" w:type="dxa"/>
            <w:vAlign w:val="center"/>
          </w:tcPr>
          <w:p>
            <w:pPr>
              <w:pStyle w:val="12"/>
            </w:pPr>
            <w:r>
              <w:t>14.11</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125.61</w:t>
            </w:r>
          </w:p>
        </w:tc>
        <w:tc>
          <w:tcPr>
            <w:tcW w:w="2551" w:type="dxa"/>
            <w:vAlign w:val="center"/>
          </w:tcPr>
          <w:p>
            <w:pPr>
              <w:pStyle w:val="12"/>
            </w:pPr>
            <w:r>
              <w:t>125.61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46.11</w:t>
            </w:r>
          </w:p>
        </w:tc>
        <w:tc>
          <w:tcPr>
            <w:tcW w:w="2551" w:type="dxa"/>
            <w:vAlign w:val="center"/>
          </w:tcPr>
          <w:p>
            <w:pPr>
              <w:pStyle w:val="12"/>
            </w:pPr>
            <w:r>
              <w:t>46.11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1.34</w:t>
            </w:r>
          </w:p>
        </w:tc>
        <w:tc>
          <w:tcPr>
            <w:tcW w:w="2551" w:type="dxa"/>
            <w:vAlign w:val="center"/>
          </w:tcPr>
          <w:p>
            <w:pPr>
              <w:pStyle w:val="12"/>
            </w:pPr>
            <w:r>
              <w:t>1.34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19.80</w:t>
            </w:r>
          </w:p>
        </w:tc>
        <w:tc>
          <w:tcPr>
            <w:tcW w:w="2551" w:type="dxa"/>
            <w:vAlign w:val="center"/>
          </w:tcPr>
          <w:p>
            <w:pPr>
              <w:pStyle w:val="12"/>
            </w:pPr>
            <w:r>
              <w:t>19.80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18.31</w:t>
            </w:r>
          </w:p>
        </w:tc>
        <w:tc>
          <w:tcPr>
            <w:tcW w:w="2551" w:type="dxa"/>
            <w:vAlign w:val="center"/>
          </w:tcPr>
          <w:p>
            <w:pPr>
              <w:pStyle w:val="12"/>
            </w:pPr>
            <w:r>
              <w:t>18.31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2.60</w:t>
            </w:r>
          </w:p>
        </w:tc>
        <w:tc>
          <w:tcPr>
            <w:tcW w:w="2551" w:type="dxa"/>
            <w:vAlign w:val="center"/>
          </w:tcPr>
          <w:p>
            <w:pPr>
              <w:pStyle w:val="12"/>
            </w:pPr>
            <w:r>
              <w:t>2.60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38.06</w:t>
            </w:r>
          </w:p>
        </w:tc>
        <w:tc>
          <w:tcPr>
            <w:tcW w:w="2551" w:type="dxa"/>
            <w:vAlign w:val="center"/>
          </w:tcPr>
          <w:p>
            <w:pPr>
              <w:pStyle w:val="12"/>
            </w:pPr>
            <w:r>
              <w:t>38.06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36.15</w:t>
            </w:r>
          </w:p>
        </w:tc>
        <w:tc>
          <w:tcPr>
            <w:tcW w:w="2551" w:type="dxa"/>
            <w:vAlign w:val="center"/>
          </w:tcPr>
          <w:p>
            <w:pPr>
              <w:pStyle w:val="12"/>
            </w:pPr>
          </w:p>
        </w:tc>
        <w:tc>
          <w:tcPr>
            <w:tcW w:w="2551" w:type="dxa"/>
            <w:vAlign w:val="center"/>
          </w:tcPr>
          <w:p>
            <w:pPr>
              <w:pStyle w:val="12"/>
            </w:pPr>
            <w:r>
              <w:t>36.15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8.70</w:t>
            </w:r>
          </w:p>
        </w:tc>
        <w:tc>
          <w:tcPr>
            <w:tcW w:w="2551" w:type="dxa"/>
            <w:vAlign w:val="center"/>
          </w:tcPr>
          <w:p>
            <w:pPr>
              <w:pStyle w:val="12"/>
            </w:pPr>
          </w:p>
        </w:tc>
        <w:tc>
          <w:tcPr>
            <w:tcW w:w="2551" w:type="dxa"/>
            <w:vAlign w:val="center"/>
          </w:tcPr>
          <w:p>
            <w:pPr>
              <w:pStyle w:val="12"/>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3.12</w:t>
            </w:r>
          </w:p>
        </w:tc>
        <w:tc>
          <w:tcPr>
            <w:tcW w:w="2551" w:type="dxa"/>
            <w:vAlign w:val="center"/>
          </w:tcPr>
          <w:p>
            <w:pPr>
              <w:pStyle w:val="12"/>
            </w:pPr>
          </w:p>
        </w:tc>
        <w:tc>
          <w:tcPr>
            <w:tcW w:w="2551" w:type="dxa"/>
            <w:vAlign w:val="center"/>
          </w:tcPr>
          <w:p>
            <w:pPr>
              <w:pStyle w:val="12"/>
            </w:pPr>
            <w:r>
              <w:t>3.12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4.16</w:t>
            </w:r>
          </w:p>
        </w:tc>
        <w:tc>
          <w:tcPr>
            <w:tcW w:w="2551" w:type="dxa"/>
            <w:vAlign w:val="center"/>
          </w:tcPr>
          <w:p>
            <w:pPr>
              <w:pStyle w:val="12"/>
            </w:pPr>
          </w:p>
        </w:tc>
        <w:tc>
          <w:tcPr>
            <w:tcW w:w="2551" w:type="dxa"/>
            <w:vAlign w:val="center"/>
          </w:tcPr>
          <w:p>
            <w:pPr>
              <w:pStyle w:val="12"/>
            </w:pPr>
            <w:r>
              <w:t>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2.61</w:t>
            </w:r>
          </w:p>
        </w:tc>
        <w:tc>
          <w:tcPr>
            <w:tcW w:w="2551" w:type="dxa"/>
            <w:vAlign w:val="center"/>
          </w:tcPr>
          <w:p>
            <w:pPr>
              <w:pStyle w:val="12"/>
            </w:pPr>
          </w:p>
        </w:tc>
        <w:tc>
          <w:tcPr>
            <w:tcW w:w="2551" w:type="dxa"/>
            <w:vAlign w:val="center"/>
          </w:tcPr>
          <w:p>
            <w:pPr>
              <w:pStyle w:val="12"/>
            </w:pPr>
            <w:r>
              <w:t>2.61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3.66</w:t>
            </w:r>
          </w:p>
        </w:tc>
        <w:tc>
          <w:tcPr>
            <w:tcW w:w="2551" w:type="dxa"/>
            <w:vAlign w:val="center"/>
          </w:tcPr>
          <w:p>
            <w:pPr>
              <w:pStyle w:val="12"/>
            </w:pPr>
          </w:p>
        </w:tc>
        <w:tc>
          <w:tcPr>
            <w:tcW w:w="2551" w:type="dxa"/>
            <w:vAlign w:val="center"/>
          </w:tcPr>
          <w:p>
            <w:pPr>
              <w:pStyle w:val="12"/>
            </w:pPr>
            <w:r>
              <w:t>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0.43</w:t>
            </w:r>
          </w:p>
        </w:tc>
        <w:tc>
          <w:tcPr>
            <w:tcW w:w="2551" w:type="dxa"/>
            <w:vAlign w:val="center"/>
          </w:tcPr>
          <w:p>
            <w:pPr>
              <w:pStyle w:val="12"/>
            </w:pPr>
          </w:p>
        </w:tc>
        <w:tc>
          <w:tcPr>
            <w:tcW w:w="2551" w:type="dxa"/>
            <w:vAlign w:val="center"/>
          </w:tcPr>
          <w:p>
            <w:pPr>
              <w:pStyle w:val="12"/>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7.03</w:t>
            </w:r>
          </w:p>
        </w:tc>
        <w:tc>
          <w:tcPr>
            <w:tcW w:w="2551" w:type="dxa"/>
            <w:vAlign w:val="center"/>
          </w:tcPr>
          <w:p>
            <w:pPr>
              <w:pStyle w:val="12"/>
            </w:pPr>
            <w:r>
              <w:t>7.03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7.03</w:t>
            </w:r>
          </w:p>
        </w:tc>
        <w:tc>
          <w:tcPr>
            <w:tcW w:w="2551" w:type="dxa"/>
            <w:vAlign w:val="center"/>
          </w:tcPr>
          <w:p>
            <w:pPr>
              <w:pStyle w:val="12"/>
            </w:pPr>
            <w:r>
              <w:t>7.03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318秦皇岛北戴河新区财政局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318秦皇岛北戴河新区财政局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318秦皇岛北戴河新区财政局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2.66</w:t>
            </w:r>
          </w:p>
        </w:tc>
        <w:tc>
          <w:tcPr>
            <w:tcW w:w="2381" w:type="dxa"/>
            <w:vAlign w:val="center"/>
          </w:tcPr>
          <w:p>
            <w:pPr>
              <w:pStyle w:val="16"/>
            </w:pPr>
            <w:r>
              <w:t>2.66</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2.66</w:t>
            </w:r>
          </w:p>
        </w:tc>
        <w:tc>
          <w:tcPr>
            <w:tcW w:w="2381" w:type="dxa"/>
            <w:vAlign w:val="center"/>
          </w:tcPr>
          <w:p>
            <w:pPr>
              <w:pStyle w:val="12"/>
            </w:pPr>
            <w:r>
              <w:t>2.66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0.36</w:t>
            </w:r>
          </w:p>
        </w:tc>
        <w:tc>
          <w:tcPr>
            <w:tcW w:w="2381" w:type="dxa"/>
            <w:vAlign w:val="center"/>
          </w:tcPr>
          <w:p>
            <w:pPr>
              <w:pStyle w:val="12"/>
            </w:pPr>
            <w:r>
              <w:t>0.36</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秦皇岛北戴河新区财政局2025年部门预算信息公开情况说明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秦皇岛北戴河新区财政局2025年部门预算信息公开情况说明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按照《中华人民共和国预算法》、《地方预决算公开操作规程》和《关于进一步推进预算公开工作的实施意见》规定，现将秦皇岛北戴河新区财政局2025年部门预算公开如下：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贯彻落实党中央和省、市委、新区工管委关于财政工作的方针政策和决策部署，坚持和加强党对财政工作的集中统一领导。主要职责是：</w:t>
      </w:r>
    </w:p>
    <w:p>
      <w:pPr>
        <w:pStyle w:val="18"/>
      </w:pPr>
      <w:r>
        <w:t>（一）贯彻执行财税发展规划、政策和改革方案并组织实施；分析预测宏观经济形势，参与制定宏观经济政策，提出运用财税政策实施宏观调控和综合平衡社会财力的建议。</w:t>
      </w:r>
    </w:p>
    <w:p>
      <w:pPr>
        <w:pStyle w:val="18"/>
      </w:pPr>
      <w:r>
        <w:t>（二）贯彻执行财政、财务、会计管理的法律、行政法规、规章。</w:t>
      </w:r>
    </w:p>
    <w:p>
      <w:pPr>
        <w:pStyle w:val="18"/>
      </w:pPr>
      <w:r>
        <w:t>（三）负责管理新区各项财政收支；编制年度新区预决算草案并组织执行，汇编新区预决算草案；组织制定经费开支标准、定额，审核批复部门（单位）年度预决算；受新区管委委托，向市人民代表大会及其常委会报告财政预算、执行和决算等情况；负责新区财政预决算公开。</w:t>
      </w:r>
    </w:p>
    <w:p>
      <w:pPr>
        <w:pStyle w:val="18"/>
      </w:pPr>
      <w:r>
        <w:t>（四）提出中央和省授权税目税率调整、减免和地方税收政策等重大事项的建议。</w:t>
      </w:r>
    </w:p>
    <w:p>
      <w:pPr>
        <w:pStyle w:val="18"/>
      </w:pPr>
      <w:r>
        <w:t>（五）按分工负责政府非税收入管理；负责政府性基金管理，按规定管理行政事业性收费；管理财政票据；执行彩票管理政策和有关办法，按规定管理彩票资金。</w:t>
      </w:r>
    </w:p>
    <w:p>
      <w:pPr>
        <w:pStyle w:val="18"/>
      </w:pPr>
      <w:r>
        <w:t>（六）组织拟订新区财政国库管理制度和国库集中收付制度，指导和监督新区国库业务，开展国库现金管理工作；组织实施财政总预算会计制度；制定政府财务报告编制办法并组织实施；管理财政和预算部门（单位）银行账户；贯彻执行政府采购制度并监督管理。</w:t>
      </w:r>
    </w:p>
    <w:p>
      <w:pPr>
        <w:pStyle w:val="18"/>
      </w:pPr>
      <w:r>
        <w:t>（七）执行政府债务管理制度和政策，拟订具体办法；负责政府债务限额管理、债券发行和还本付息等工作；贯彻执行国家外债管理政策，管理新区管委国外债权、债务；开展对外财经交流。</w:t>
      </w:r>
    </w:p>
    <w:p>
      <w:pPr>
        <w:pStyle w:val="18"/>
      </w:pPr>
      <w:r>
        <w:t>（八）贯彻执行国家有关行政事业单位国有资产管理的法律、法规和政策，对新区行政事业单位国有资产实施综合管理。</w:t>
      </w:r>
    </w:p>
    <w:p>
      <w:pPr>
        <w:pStyle w:val="18"/>
      </w:pPr>
      <w:r>
        <w:t>（九）贯彻落实党中央、省、市和新区管委关于国有企业监督管理工作的方针政策和决策部署，坚持和加强党对国有企业监督管理工作的集中统一领导。</w:t>
      </w:r>
    </w:p>
    <w:p>
      <w:pPr>
        <w:pStyle w:val="18"/>
      </w:pPr>
      <w:r>
        <w:t>（十）负责办理和监督新区财政的经济发展支出、新区政府性投资项目的财政拨款，参与拟订新区建设投资的有关政策，指导实施基建财务管理制度；负责财政预算评审管理。</w:t>
      </w:r>
    </w:p>
    <w:p>
      <w:pPr>
        <w:pStyle w:val="18"/>
      </w:pPr>
      <w:r>
        <w:t>（十一）负责管理新区会计工作，监督和规范会计行为，组织实施会计制度；组织和指导会计人员的业务培训。</w:t>
      </w:r>
    </w:p>
    <w:p>
      <w:pPr>
        <w:pStyle w:val="18"/>
      </w:pPr>
      <w:r>
        <w:t>（十二）贯彻执行国家、省、市金融方针政策和法律法规；负责牵头新区金融风险的监测预警、防范和处置化解工作；协调配合上级金融监管部门依法加强金融监管、整顿和规范金融市场秩序。</w:t>
      </w:r>
    </w:p>
    <w:p>
      <w:pPr>
        <w:pStyle w:val="18"/>
      </w:pPr>
      <w:r>
        <w:t>（十三）完成新区工委、管委会交办的其他任务。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秦皇岛北戴河新区财政局本级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按照预算管理有关规定，目前部门预算的编制实行综合预算管理，即全部收入和支出都反映在预算中。秦皇岛北戴河新区财政局机关及所属事业单位的收支包含在部门预算中。</w:t>
      </w:r>
    </w:p>
    <w:p>
      <w:pPr>
        <w:pStyle w:val="19"/>
      </w:pPr>
      <w:r>
        <w:t>1、收入说明</w:t>
      </w:r>
    </w:p>
    <w:p>
      <w:pPr>
        <w:pStyle w:val="19"/>
      </w:pPr>
      <w:r>
        <w:t>反映本部门当年全部收入。2025年预算收入2254.88万元，其中：一般公共预算收入2254.88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财政局年度部门预算中支出预算的总体情况。2025年支出预算2254.88万元，其中基本支出507.00万元，包括人员经费469.66万元和日常公用经费37.35万元；项目支出1747.88万元，主要为财政评审、绩效管理及监督检查等经费700万元；金融小镇及基金招商运营管理费500万元；财政引导金融支持实体经济政策落实资金100万元；农村公益设施建设项目资金55万元；国资监管企业财务会计审计服务费用；行政事业单位资产管理、预算管理一体化等系统运维服务费35万元；农业保险费40万元；财政决算编审等综合检查服务费15万元。</w:t>
      </w:r>
    </w:p>
    <w:p>
      <w:pPr>
        <w:pStyle w:val="19"/>
      </w:pPr>
      <w:r>
        <w:t>3、比上年增减情况</w:t>
      </w:r>
    </w:p>
    <w:p>
      <w:pPr>
        <w:pStyle w:val="19"/>
      </w:pPr>
      <w:r>
        <w:t>2025年预算收支安排2254.88万元，较2024年预算增加116.52万元，其中：基本支出增加16.71万元，主要为本年在职人数及工资福利</w:t>
      </w:r>
      <w:r>
        <w:rPr>
          <w:rFonts w:hint="eastAsia"/>
          <w:lang w:val="en-US" w:eastAsia="zh-CN"/>
        </w:rPr>
        <w:t>比</w:t>
      </w:r>
      <w:r>
        <w:t>上年增加。项目支出增加99.81万元，主要为上级提前下达资金增加，其中2025年边境地区转移支付293万元；2025年中央财政农业保险保费补贴213万元；2025年省级财政农业保险保费补贴93.03万元；2025年中央农村综合改革转移支付资金60万元；2025年省级农村综合改革转移支付资金57万元，缩减财政评审、绩效管理及监督检查等经费、金融小镇及基金招商运营管理费等专项预算费用。</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bookmarkStart w:id="20" w:name="_GoBack"/>
      <w:r>
        <w:t>20</w:t>
      </w:r>
      <w:r>
        <w:rPr>
          <w:rFonts w:hint="eastAsia"/>
          <w:lang w:val="en-US" w:eastAsia="zh-CN"/>
        </w:rPr>
        <w:t>25</w:t>
      </w:r>
      <w:r>
        <w:t>年，我部门机关运行经费共计安排36.78万元，主要用于日常维修、办公用房水电费、办公用房取暖费、办公用房物业管理费等日常运行支出。</w:t>
      </w:r>
    </w:p>
    <w:bookmarkEnd w:id="20"/>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2.66万元，其中因公出国（境）费0.00万元；公务用车购置及运维费2.30万元（其中：公务用车购置费为0.00万元，公务用车运维费2.30万元)；公务接待费0.36万元。与2024年相比增加0.01万元，增减变化的主要原因是随着人数的变化公务接待费用与上年比略有增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财政运行仍将持续“紧平衡”状态。但是，随着国家存量政策和增量政策的叠加发力，经济运行整体持续向好，为做好财政工作奠定坚实基础。新的一年，我局将紧紧围绕新区工管委的决策部署，用好用足“7+6”等政策窗口期，抢抓财源建设，优化支出结构，落实重点保障，加强绩效管理，严肃财经纪律，严守风险底线，履职尽责，担当作为，推动财政保障能力和治理效能进一步上水平见成效。</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（一）研究制定完善的预算政策体系，提高预算管理的科学化水平。</w:t>
      </w:r>
    </w:p>
    <w:p>
      <w:pPr>
        <w:pStyle w:val="23"/>
      </w:pPr>
      <w:r>
        <w:t>统筹区级财力，强化绩效管理，科学编制政府绩效预算。</w:t>
      </w:r>
    </w:p>
    <w:p>
      <w:pPr>
        <w:pStyle w:val="23"/>
      </w:pPr>
      <w:r>
        <w:t>1．绩效目标</w:t>
      </w:r>
    </w:p>
    <w:p>
      <w:pPr>
        <w:pStyle w:val="23"/>
      </w:pPr>
      <w:r>
        <w:t>规范预算执行，合理组织财政各项支出，促进社会事业发展。推进预算公开，实施全面规范、公开透明的预算制度。</w:t>
      </w:r>
    </w:p>
    <w:p>
      <w:pPr>
        <w:pStyle w:val="23"/>
      </w:pPr>
      <w:r>
        <w:t>2．绩效指标</w:t>
      </w:r>
    </w:p>
    <w:p>
      <w:pPr>
        <w:pStyle w:val="23"/>
      </w:pPr>
      <w:r>
        <w:t>(1)预算政策管理效果，反映预算政策管理工作情况≥90%</w:t>
      </w:r>
    </w:p>
    <w:p>
      <w:pPr>
        <w:pStyle w:val="23"/>
      </w:pPr>
      <w:r>
        <w:t>(2)预算政策执行效果，反映预算政策执行情况≥90%</w:t>
      </w:r>
    </w:p>
    <w:p>
      <w:pPr>
        <w:pStyle w:val="23"/>
      </w:pPr>
      <w:r>
        <w:t>(3)预算政策完成情况，反映预算政策完成情况≥90%</w:t>
      </w:r>
    </w:p>
    <w:p>
      <w:pPr>
        <w:pStyle w:val="23"/>
      </w:pPr>
      <w:r>
        <w:t>(4)预算编制完成率，反映预算编制工作完成情况100%</w:t>
      </w:r>
    </w:p>
    <w:p>
      <w:pPr>
        <w:pStyle w:val="23"/>
      </w:pPr>
      <w:r>
        <w:t>(5)预算编制准确率，反映预算编制工作准确性、科学性100%</w:t>
      </w:r>
    </w:p>
    <w:p>
      <w:pPr>
        <w:pStyle w:val="23"/>
      </w:pPr>
      <w:r>
        <w:t>(6)预算编制按时完成效果，反映预算编制工作按时完成情况100%</w:t>
      </w:r>
    </w:p>
    <w:p>
      <w:pPr>
        <w:pStyle w:val="23"/>
      </w:pPr>
      <w:r>
        <w:t>(7)预算执行管理情况，反映预算执行管理情况≥90%</w:t>
      </w:r>
    </w:p>
    <w:p>
      <w:pPr>
        <w:pStyle w:val="23"/>
      </w:pPr>
      <w:r>
        <w:t>(8)预算执行效果，反映预算执行效果，≥90%</w:t>
      </w:r>
    </w:p>
    <w:p>
      <w:pPr>
        <w:pStyle w:val="23"/>
      </w:pPr>
      <w:r>
        <w:t>(9)预算执行完成情况，反映预算执行完成情况≥90%</w:t>
      </w:r>
    </w:p>
    <w:p>
      <w:pPr>
        <w:pStyle w:val="23"/>
      </w:pPr>
      <w:r>
        <w:t>（二）加强本级预算单位用款计划及额度审核、调度及全区预算执行分析</w:t>
      </w:r>
    </w:p>
    <w:p>
      <w:pPr>
        <w:pStyle w:val="23"/>
      </w:pPr>
      <w:r>
        <w:t>做好本级财政总预算会计，全区本级决算；国债、地方债和国库现金管理；管理本级预算单位银行账户。</w:t>
      </w:r>
    </w:p>
    <w:p>
      <w:pPr>
        <w:pStyle w:val="23"/>
      </w:pPr>
      <w:r>
        <w:t>1．绩效目标</w:t>
      </w:r>
    </w:p>
    <w:p>
      <w:pPr>
        <w:pStyle w:val="23"/>
      </w:pPr>
      <w:r>
        <w:t>本级预算单位用款计划及额度审核下达，上下级财政库款调度；财政专户资金审核拨付；全区预算执行分析；本级财政总预算会计，全区本级决算；国债、地方债和国库现金管理；管理本级预算单位银行账户。</w:t>
      </w:r>
    </w:p>
    <w:p>
      <w:pPr>
        <w:pStyle w:val="23"/>
      </w:pPr>
      <w:r>
        <w:t>2．绩效指标</w:t>
      </w:r>
    </w:p>
    <w:p>
      <w:pPr>
        <w:pStyle w:val="23"/>
      </w:pPr>
      <w:r>
        <w:t>(1)银行账户管理效果，反映银行账户管理情况≥90%</w:t>
      </w:r>
    </w:p>
    <w:p>
      <w:pPr>
        <w:pStyle w:val="23"/>
      </w:pPr>
      <w:r>
        <w:t>(2)专户资金管理效果，反映专户资金管理情况≥90%</w:t>
      </w:r>
    </w:p>
    <w:p>
      <w:pPr>
        <w:pStyle w:val="23"/>
      </w:pPr>
      <w:r>
        <w:t>(3)监督检查完成率，反映对各单位监督检查情况≥90%</w:t>
      </w:r>
    </w:p>
    <w:p>
      <w:pPr>
        <w:pStyle w:val="23"/>
      </w:pPr>
      <w:r>
        <w:t>(4)总预算会计管理完成率，总预算会计核算完成情况100%</w:t>
      </w:r>
    </w:p>
    <w:p>
      <w:pPr>
        <w:pStyle w:val="23"/>
      </w:pPr>
      <w:r>
        <w:t>(5)部门财务报告编制完成率，反映政府部门财务报告编制完成情况100%</w:t>
      </w:r>
    </w:p>
    <w:p>
      <w:pPr>
        <w:pStyle w:val="23"/>
      </w:pPr>
      <w:r>
        <w:t>(6)综合财务报告编制完成率，反映综合财务报告编制完成情况100%</w:t>
      </w:r>
    </w:p>
    <w:p>
      <w:pPr>
        <w:pStyle w:val="23"/>
      </w:pPr>
      <w:r>
        <w:t>(7)决算编制完成率，反映财政总决算和部门决算编报完成情况100%</w:t>
      </w:r>
    </w:p>
    <w:p>
      <w:pPr>
        <w:pStyle w:val="23"/>
      </w:pPr>
      <w:r>
        <w:t>(8)决算批复完成率，反映部门决算批复完成情况100%</w:t>
      </w:r>
    </w:p>
    <w:p>
      <w:pPr>
        <w:pStyle w:val="23"/>
      </w:pPr>
      <w:r>
        <w:t>(9)决算核查督导率，反映决算核查情况100%</w:t>
      </w:r>
    </w:p>
    <w:p>
      <w:pPr>
        <w:pStyle w:val="23"/>
      </w:pPr>
      <w:r>
        <w:t>（三）做好监督检查财税法规、政策的执行情况，以及财政性资金使用情况</w:t>
      </w:r>
    </w:p>
    <w:p>
      <w:pPr>
        <w:pStyle w:val="23"/>
      </w:pPr>
      <w:r>
        <w:t>反映财政收支管理中的重大问题。监督和规范会计行为，监督注册会计师和会计师事务所的业务。</w:t>
      </w:r>
    </w:p>
    <w:p>
      <w:pPr>
        <w:pStyle w:val="23"/>
      </w:pPr>
      <w:r>
        <w:t>1．绩效目标</w:t>
      </w:r>
    </w:p>
    <w:p>
      <w:pPr>
        <w:pStyle w:val="23"/>
      </w:pPr>
      <w:r>
        <w:t>做好监督检查财税法规、政策的执行情况，以及财政性资金使用情况，反映财政收支管理中的重大问题。监督和规范会计行为，监督注册会计师和会计师事务所的业务。</w:t>
      </w:r>
    </w:p>
    <w:p>
      <w:pPr>
        <w:pStyle w:val="23"/>
      </w:pPr>
      <w:r>
        <w:t>2．绩效指标</w:t>
      </w:r>
    </w:p>
    <w:p>
      <w:pPr>
        <w:pStyle w:val="23"/>
      </w:pPr>
      <w:r>
        <w:t>(1)检查工作完成率，反映检查工作完成情况≥90%</w:t>
      </w:r>
    </w:p>
    <w:p>
      <w:pPr>
        <w:pStyle w:val="23"/>
      </w:pPr>
      <w:r>
        <w:t>(2)发现问题通报率，反映检查发现问题通报被检查单位、有关科室情况≥90%</w:t>
      </w:r>
    </w:p>
    <w:p>
      <w:pPr>
        <w:pStyle w:val="23"/>
      </w:pPr>
      <w:r>
        <w:t>(3)问题整改督导率，反映对被检查单位存在问题整改督导情况≥90%</w:t>
      </w:r>
    </w:p>
    <w:p>
      <w:pPr>
        <w:pStyle w:val="23"/>
      </w:pPr>
      <w:r>
        <w:t>(4)绩效评价完成率，反映绩效评价工作完成情况≥90%绩效指标</w:t>
      </w:r>
    </w:p>
    <w:p>
      <w:pPr>
        <w:pStyle w:val="23"/>
      </w:pPr>
      <w:r>
        <w:t>（四）加强行政事业单位国有资产管理</w:t>
      </w:r>
    </w:p>
    <w:p>
      <w:pPr>
        <w:pStyle w:val="23"/>
      </w:pPr>
      <w:r>
        <w:t>制定相关制度和办法，对行政事业单位资产配置、使用、处置事项进行管理有关工作。</w:t>
      </w:r>
    </w:p>
    <w:p>
      <w:pPr>
        <w:pStyle w:val="23"/>
      </w:pPr>
      <w:r>
        <w:t>1．绩效目标</w:t>
      </w:r>
    </w:p>
    <w:p>
      <w:pPr>
        <w:pStyle w:val="23"/>
      </w:pPr>
      <w:r>
        <w:t>做好拟定机关事业单位国有资产管理制度和办法，对行政事业单位资产配置、使用、处置事项进行管理有关工作；</w:t>
      </w:r>
    </w:p>
    <w:p>
      <w:pPr>
        <w:pStyle w:val="23"/>
      </w:pPr>
      <w:r>
        <w:t>2．绩效指标</w:t>
      </w:r>
    </w:p>
    <w:p>
      <w:pPr>
        <w:pStyle w:val="23"/>
      </w:pPr>
      <w:r>
        <w:t>(1)资产处置审批率，反映资产处置审批完成情况≥90%</w:t>
      </w:r>
    </w:p>
    <w:p>
      <w:pPr>
        <w:pStyle w:val="23"/>
      </w:pPr>
      <w:r>
        <w:t>(2)发现问题通报率，反映检查发现问题通报被检查单位、有关科室情况≥90%</w:t>
      </w:r>
    </w:p>
    <w:p>
      <w:pPr>
        <w:pStyle w:val="23"/>
      </w:pPr>
      <w:r>
        <w:t>(3)处置进度督导率，反映对国有资产处置进度督导情况≥90%</w:t>
      </w:r>
    </w:p>
    <w:p>
      <w:pPr>
        <w:pStyle w:val="23"/>
      </w:pPr>
      <w:r>
        <w:t>（五）加强政府债务、金融管理等政府专项工作的管理。</w:t>
      </w:r>
    </w:p>
    <w:p>
      <w:pPr>
        <w:pStyle w:val="23"/>
      </w:pPr>
      <w:r>
        <w:t>做好政府债务、金融管理等政府专项工作的管理。</w:t>
      </w:r>
    </w:p>
    <w:p>
      <w:pPr>
        <w:pStyle w:val="23"/>
      </w:pPr>
      <w:r>
        <w:t>1．绩效目标</w:t>
      </w:r>
    </w:p>
    <w:p>
      <w:pPr>
        <w:pStyle w:val="23"/>
      </w:pPr>
      <w:r>
        <w:t>做好政府债务、金融管理等政府专项工作的管理。</w:t>
      </w:r>
    </w:p>
    <w:p>
      <w:pPr>
        <w:pStyle w:val="23"/>
      </w:pPr>
      <w:r>
        <w:t>2．绩效指标</w:t>
      </w:r>
    </w:p>
    <w:p>
      <w:pPr>
        <w:pStyle w:val="23"/>
      </w:pPr>
      <w:r>
        <w:t>(1)政府债务和中长期支出事项管理效果，反映政府债务和中长期支出事项管理完成情况≥90%</w:t>
      </w:r>
    </w:p>
    <w:p>
      <w:pPr>
        <w:pStyle w:val="23"/>
      </w:pPr>
      <w:r>
        <w:t>(2)防范债务风险完成率，防范债务风险完成情况≥90%</w:t>
      </w:r>
    </w:p>
    <w:p>
      <w:pPr>
        <w:pStyle w:val="23"/>
      </w:pPr>
      <w:r>
        <w:t>(3)问题整改督导率，反映对被检查单位存在问题整改督导情况≥90%绩</w:t>
      </w:r>
    </w:p>
    <w:p>
      <w:pPr>
        <w:pStyle w:val="23"/>
      </w:pPr>
      <w:r>
        <w:t>(4)金融风险管理，反应金融风险防范处置情况≥90%</w:t>
      </w:r>
    </w:p>
    <w:p>
      <w:pPr>
        <w:pStyle w:val="23"/>
      </w:pPr>
      <w:r>
        <w:t>（六）保障财政系统综合业务管理和机关综合事务管理。</w:t>
      </w:r>
    </w:p>
    <w:p>
      <w:pPr>
        <w:pStyle w:val="23"/>
      </w:pPr>
      <w:r>
        <w:t>做好财政系统综合业务管理和机关综合事务管理。</w:t>
      </w:r>
    </w:p>
    <w:p>
      <w:pPr>
        <w:pStyle w:val="23"/>
      </w:pPr>
      <w:r>
        <w:t>1．绩效目标</w:t>
      </w:r>
    </w:p>
    <w:p>
      <w:pPr>
        <w:pStyle w:val="23"/>
      </w:pPr>
      <w:r>
        <w:t>做好财政系统综合业务管理和机关综合事务管理。</w:t>
      </w:r>
    </w:p>
    <w:p>
      <w:pPr>
        <w:pStyle w:val="23"/>
      </w:pPr>
      <w:r>
        <w:t>2．绩效指标</w:t>
      </w:r>
    </w:p>
    <w:p>
      <w:pPr>
        <w:pStyle w:val="23"/>
      </w:pPr>
      <w:r>
        <w:t>(1)综合业务保障率，运转保障情况≥90%</w:t>
      </w:r>
    </w:p>
    <w:p>
      <w:pPr>
        <w:pStyle w:val="23"/>
      </w:pPr>
      <w:r>
        <w:t>(2)综合宣传情况，综合宣传完成情况≥90%</w:t>
      </w:r>
    </w:p>
    <w:p>
      <w:pPr>
        <w:pStyle w:val="23"/>
      </w:pPr>
      <w:r>
        <w:t>(3)联络服务满意度，联络服务满意度≥90%</w:t>
      </w:r>
    </w:p>
    <w:p>
      <w:pPr>
        <w:pStyle w:val="23"/>
      </w:pPr>
      <w:r>
        <w:t>(4)综合事务完成率≥90%</w:t>
      </w:r>
    </w:p>
    <w:p>
      <w:pPr>
        <w:pStyle w:val="23"/>
      </w:pPr>
      <w:r>
        <w:t>(5)干部教育培训情况，教育培训率≥90%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（一）开拓创新思维，推进金融小镇建设取得新成效</w:t>
      </w:r>
    </w:p>
    <w:p>
      <w:pPr>
        <w:pStyle w:val="24"/>
      </w:pPr>
      <w:r>
        <w:t>在实现金融（基金）小镇挂牌的基础上，进一步制定完善完善小镇运营方案、风险防控体系，以推进小镇建设为依托，组织开展招商推介，重点吸引京津冀特别是省内基金管理机构与基金合伙企业入驻，2023年力争实现小镇注册企业达到50家，注册资本认缴规模达到50亿元。</w:t>
      </w:r>
    </w:p>
    <w:p>
      <w:pPr>
        <w:pStyle w:val="24"/>
      </w:pPr>
      <w:r>
        <w:t>（二）加强跑办对接，充分发挥政府基金的撬动作用</w:t>
      </w:r>
    </w:p>
    <w:p>
      <w:pPr>
        <w:pStyle w:val="24"/>
      </w:pPr>
      <w:r>
        <w:t>在成功设立生命健康和高新技术基金的基础上，持续加强与社会资本的对接，深入挖掘优质项目，积极开展子基金的招募工作，争取2023年成立子基金3-5家，发挥基金引导作用，带动产业项目聚集，促进示范区产业持续快速发展。</w:t>
      </w:r>
    </w:p>
    <w:p>
      <w:pPr>
        <w:pStyle w:val="24"/>
      </w:pPr>
      <w:r>
        <w:t>（三）健全落地机制，全力促进总部经济落户新区</w:t>
      </w:r>
    </w:p>
    <w:p>
      <w:pPr>
        <w:pStyle w:val="24"/>
      </w:pPr>
      <w:r>
        <w:t>一是落实支持总部经济发展相关政策措施，支持鼓励总部经济落户新区。二是制定总部经济考核办法，分解2023年总部企业招引任务，督导配合各部门开展全年招引工作，力争全年招引各类总部企业40家以上。</w:t>
      </w:r>
    </w:p>
    <w:p>
      <w:pPr>
        <w:pStyle w:val="24"/>
      </w:pPr>
      <w:r>
        <w:t>（四）强化统筹协调，切实抓好争取资金相关工作</w:t>
      </w:r>
    </w:p>
    <w:p>
      <w:pPr>
        <w:pStyle w:val="24"/>
      </w:pPr>
      <w:r>
        <w:t>一是深入研究上级政策和资金支持动向，准确把握扶持范围，找准与新区项目的对接点。二是落实争取资金常态化机制，梳理省市2023年预算安排重点项目清单并印发各部门，统筹组织相关单位做好项目包装。三是重点聚焦债券资金，强化债券项目资料审核，不断提高债券资金争取和使用的科学性合理性，力争在政府债券等方面获得更多支持。</w:t>
      </w:r>
    </w:p>
    <w:p>
      <w:pPr>
        <w:pStyle w:val="24"/>
      </w:pPr>
      <w:r>
        <w:t>（五）严格落实管控，有效防范金融债务风险</w:t>
      </w:r>
    </w:p>
    <w:p>
      <w:pPr>
        <w:pStyle w:val="24"/>
      </w:pPr>
      <w:r>
        <w:t>一是加强政府债务管控，坚持预防为主，预防和处置相结合，不断完善防范化解债务风险长效机制。二是强化金融监管职责，严格落实属地职责，完善与公安、工商等部门的协作机制，积极开展防范非法集资等金融风险排查整治活动，多措并举全面开展防范金融风险宣传教育活动，牢牢守住不发生系统性、区域性风险的底线。三是完善债务项目生命周期偿债计划，强化预算约束，确保及时偿还债务本息。</w:t>
      </w:r>
    </w:p>
    <w:p>
      <w:pPr>
        <w:pStyle w:val="24"/>
      </w:pPr>
      <w:r>
        <w:t>（六）做好财政金融帮扶，持续优化营商环境</w:t>
      </w:r>
    </w:p>
    <w:p>
      <w:pPr>
        <w:pStyle w:val="24"/>
      </w:pPr>
      <w:r>
        <w:t>一是扎实做好减税降费工作，进一步减轻企业负担，激发市场活力，确保国家减税降费政策落实到位。二是进一步做好省市稳经济系列政策和《财政引导金融支持实体经济发展措施》解读和宣传工作，帮助市场主体减负纾困。三是完善常态化“政银企”对接机制，定期举办项目投融资对接活动，为实体经济提供更多融资渠道。四是支持企业上市，积极走访排查新区企业，扩充上市后备企业；定期组织上市后备企业培训，鼓励企业上市融资；落实企业上市奖补政策，优化企业上市激励机制。</w:t>
      </w:r>
    </w:p>
    <w:p>
      <w:pPr>
        <w:pStyle w:val="24"/>
      </w:pPr>
      <w:r>
        <w:t>（七）深化国企改革，有效提升国有资产监管水平</w:t>
      </w:r>
    </w:p>
    <w:p>
      <w:pPr>
        <w:pStyle w:val="24"/>
      </w:pPr>
      <w:r>
        <w:t>持续深入推进国企改革工作，优化国有经济布局和结构调整，促进国有企业跨越发展。一是推进企业做优做大做强，通过有效整合资产和健全市场化经营机制等手段，指导国企明确发展方向和特色主业，培育并形成可持续的盈利模式，推动国有企业积极参与市场竞争，参与经济建设，增强企业竞争力和抗风险能力。二是提高资产效能，下大力气解决整合重组遗留问题，清理退出不具备优势的非主营业务和低效无效资产。三是鼓励企业走出去，积极参与全国性的竞争与合作，不断增强企业整体素质和核心竞争力。四是进一步健全公司治理相关制度，巩固以管资本为主的国有资产监管体制。五是大力提高行政事业单位资产管理水平，强化和落实管理职责，组织开展资产管理人员业务培训，定期开展资产管理检查，合力促进行政事业单位资产管理工作提质增效。</w:t>
      </w:r>
    </w:p>
    <w:p>
      <w:pPr>
        <w:pStyle w:val="24"/>
      </w:pPr>
      <w:r>
        <w:t>（八）优化支出结构，有效发挥财政保障作用</w:t>
      </w:r>
    </w:p>
    <w:p>
      <w:pPr>
        <w:pStyle w:val="24"/>
      </w:pPr>
      <w:r>
        <w:t>加强财政资源统筹，全面落实常态化疫情防控和经济社会发展工作部署，做好服务“六稳”“六保”工作大局。一是加大民生投入，在兜底“三保”的基础上，加快涉及教育、医疗等重点民生领域的资金支出，落实弱势群体基本生活保障，支持乡村振兴战略，确保各项民生政策全面落实。二是强化重点支出保障，积极筹措发展资金，为重点产业发展、基础设施建设、疫情防控、环境保护、重大风险防范化解等提供有力支撑，确保工管委重大决策部署落实到位。三是加快预算执行，充分发挥预算单位的主体地位，增强预算单位主体责任意识，加强财政部门的督导职能，形成预算支出工作合力，确保财政支出序时进度，有效提高资金使用效益。四是全面落实政府过紧日子要求，建立完善节约保障机制，充分考虑财政承受力，坚持量入为出、精打细算，减少重复投资，严把预算支出关口，严肃财经纪律，有效提高财政支出的精准性有效性。</w:t>
      </w:r>
    </w:p>
    <w:p>
      <w:pPr>
        <w:pStyle w:val="24"/>
      </w:pPr>
      <w:r>
        <w:t>（九）加强重点管理，着力提升财政服务管理水平</w:t>
      </w:r>
    </w:p>
    <w:p>
      <w:pPr>
        <w:pStyle w:val="24"/>
      </w:pPr>
      <w:r>
        <w:t>一是科学编制2023年预算，全面落实“全口径”预算管理，规范编制政府、部门和项目预算，确保顺利通过市人大审查。二是深入推进全面预算绩效管理，有序组织开展2023年自评及重点绩效评价等各项工作，推进预算绩效管理在新区全面落地。三是抓好财政资金监管，加强重点项目资金预决算评审监管，有效降低投资成本；强化专项资金和存量资金监督，提高资金使用效益；做好会计信息质量监督检查，严肃财经纪律。</w:t>
      </w:r>
    </w:p>
    <w:p>
      <w:pPr>
        <w:pStyle w:val="24"/>
      </w:pPr>
      <w:r>
        <w:t>（十）增强人员素质，扎实推进干部队伍建设</w:t>
      </w:r>
    </w:p>
    <w:p>
      <w:pPr>
        <w:pStyle w:val="24"/>
      </w:pPr>
      <w:r>
        <w:t>一是坚持政治引领，将学习宣传贯彻党的二十大精神作为当前和今后一个时期的首要政治任务抓紧抓实，不断强化干部职工的政治素养。二是加强业务培训，落实好定期集体学习机制，坚持问题导向，提升干部职工的专业素养和履职能力。三是加强作风建设，深化机关作风整顿，全面优化机关作风，切实提高财政工作服务水平。四是完善对干部的激励机制，用好考核评价的“指挥棒”，积极营造创先争优、求真务实的发展氛围。四是切实抓好党风廉政思想建设。定期进行廉政谈话、提醒谈话，把抓业务和抓廉政同研究、同布置、同检查；组织各种警示教育活动，通过多形式、经常化，传导好责任和压力，筑牢廉洁从政的防线。</w:t>
      </w:r>
    </w:p>
    <w:p>
      <w:pPr>
        <w:pStyle w:val="24"/>
        <w:sectPr>
          <w:pgSz w:w="16840" w:h="11900" w:orient="landscape"/>
          <w:pgMar w:top="1361" w:right="1020" w:bottom="1361" w:left="1020" w:header="720" w:footer="720" w:gutter="0"/>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1、国资监管企业财务会计审计服务费用绩效目标表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13031325P00880510439J</w:t>
            </w:r>
          </w:p>
        </w:tc>
        <w:tc>
          <w:tcPr>
            <w:tcW w:w="2835" w:type="dxa"/>
            <w:vAlign w:val="center"/>
          </w:tcPr>
          <w:p>
            <w:pPr>
              <w:pStyle w:val="11"/>
            </w:pPr>
            <w:r>
              <w:t>项目名称</w:t>
            </w:r>
          </w:p>
        </w:tc>
        <w:tc>
          <w:tcPr>
            <w:tcW w:w="6095" w:type="dxa"/>
            <w:gridSpan w:val="3"/>
            <w:vAlign w:val="center"/>
          </w:tcPr>
          <w:p>
            <w:pPr>
              <w:pStyle w:val="13"/>
            </w:pPr>
            <w:r>
              <w:t>国资监管企业财务会计审计服务费用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加强对新区国资企事业规范化管理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1.加强对新区国资企事业规范化管理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内部审计数量</w:t>
            </w:r>
          </w:p>
          <w:p>
            <w:pPr>
              <w:pStyle w:val="13"/>
            </w:pPr>
          </w:p>
        </w:tc>
        <w:tc>
          <w:tcPr>
            <w:tcW w:w="5386" w:type="dxa"/>
            <w:vAlign w:val="center"/>
          </w:tcPr>
          <w:p>
            <w:pPr>
              <w:pStyle w:val="13"/>
            </w:pPr>
            <w:r>
              <w:t xml:space="preserve"> 对企业开展内部审计户数</w:t>
            </w:r>
          </w:p>
          <w:p>
            <w:pPr>
              <w:pStyle w:val="13"/>
            </w:pP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项目建设进度</w:t>
            </w:r>
          </w:p>
        </w:tc>
        <w:tc>
          <w:tcPr>
            <w:tcW w:w="5386" w:type="dxa"/>
            <w:vAlign w:val="center"/>
          </w:tcPr>
          <w:p>
            <w:pPr>
              <w:pStyle w:val="13"/>
            </w:pPr>
            <w:r>
              <w:t>根据合作协议，资金拨付节点应实现的建设进度</w:t>
            </w:r>
          </w:p>
        </w:tc>
        <w:tc>
          <w:tcPr>
            <w:tcW w:w="2268" w:type="dxa"/>
            <w:vAlign w:val="center"/>
          </w:tcPr>
          <w:p>
            <w:pPr>
              <w:pStyle w:val="13"/>
            </w:pPr>
            <w:r>
              <w:t>合同协议</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国有资产业务开展时效</w:t>
            </w:r>
          </w:p>
          <w:p>
            <w:pPr>
              <w:pStyle w:val="13"/>
            </w:pPr>
          </w:p>
        </w:tc>
        <w:tc>
          <w:tcPr>
            <w:tcW w:w="5386" w:type="dxa"/>
            <w:vAlign w:val="center"/>
          </w:tcPr>
          <w:p>
            <w:pPr>
              <w:pStyle w:val="13"/>
            </w:pPr>
            <w:r>
              <w:t xml:space="preserve"> 国有资产业务开展及时性</w:t>
            </w:r>
          </w:p>
          <w:p>
            <w:pPr>
              <w:pStyle w:val="13"/>
            </w:pPr>
          </w:p>
        </w:tc>
        <w:tc>
          <w:tcPr>
            <w:tcW w:w="2268" w:type="dxa"/>
            <w:vAlign w:val="center"/>
          </w:tcPr>
          <w:p>
            <w:pPr>
              <w:pStyle w:val="13"/>
            </w:pPr>
            <w:r>
              <w:t>预算当年年底前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国有资产业务支出</w:t>
            </w:r>
          </w:p>
          <w:p>
            <w:pPr>
              <w:pStyle w:val="13"/>
            </w:pPr>
          </w:p>
        </w:tc>
        <w:tc>
          <w:tcPr>
            <w:tcW w:w="5386" w:type="dxa"/>
            <w:vAlign w:val="center"/>
          </w:tcPr>
          <w:p>
            <w:pPr>
              <w:pStyle w:val="13"/>
            </w:pPr>
            <w:r>
              <w:t xml:space="preserve"> 国有资产监管业务费用</w:t>
            </w:r>
          </w:p>
          <w:p>
            <w:pPr>
              <w:pStyle w:val="13"/>
            </w:pP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建立健全监管制度体系</w:t>
            </w:r>
          </w:p>
          <w:p>
            <w:pPr>
              <w:pStyle w:val="13"/>
            </w:pPr>
          </w:p>
        </w:tc>
        <w:tc>
          <w:tcPr>
            <w:tcW w:w="5386" w:type="dxa"/>
            <w:vAlign w:val="center"/>
          </w:tcPr>
          <w:p>
            <w:pPr>
              <w:pStyle w:val="13"/>
            </w:pPr>
            <w:r>
              <w:t xml:space="preserve"> 制定国有资本经营预算、国有资产转让、评估、对外投资等各项具体管理办法，健全制度体系</w:t>
            </w:r>
          </w:p>
          <w:p>
            <w:pPr>
              <w:pStyle w:val="13"/>
            </w:pPr>
          </w:p>
        </w:tc>
        <w:tc>
          <w:tcPr>
            <w:tcW w:w="2268" w:type="dxa"/>
            <w:vAlign w:val="center"/>
          </w:tcPr>
          <w:p>
            <w:pPr>
              <w:pStyle w:val="13"/>
            </w:pPr>
            <w:r>
              <w:t>完成</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持续增强政府工作的透明度和公信</w:t>
            </w:r>
          </w:p>
        </w:tc>
        <w:tc>
          <w:tcPr>
            <w:tcW w:w="5386" w:type="dxa"/>
            <w:vAlign w:val="center"/>
          </w:tcPr>
          <w:p>
            <w:pPr>
              <w:pStyle w:val="13"/>
            </w:pPr>
            <w:r>
              <w:t>持续增强政府工作的透明度和公信力</w:t>
            </w:r>
          </w:p>
        </w:tc>
        <w:tc>
          <w:tcPr>
            <w:tcW w:w="2268" w:type="dxa"/>
            <w:vAlign w:val="center"/>
          </w:tcPr>
          <w:p>
            <w:pPr>
              <w:pStyle w:val="13"/>
            </w:pPr>
            <w:r>
              <w:t>完成</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提升企业财务质量，提高企业竞争力</w:t>
            </w:r>
          </w:p>
        </w:tc>
        <w:tc>
          <w:tcPr>
            <w:tcW w:w="5386" w:type="dxa"/>
            <w:vAlign w:val="center"/>
          </w:tcPr>
          <w:p>
            <w:pPr>
              <w:pStyle w:val="13"/>
            </w:pPr>
            <w:r>
              <w:t>提升企业财务质量，提高企业竞争力</w:t>
            </w:r>
          </w:p>
        </w:tc>
        <w:tc>
          <w:tcPr>
            <w:tcW w:w="2268" w:type="dxa"/>
            <w:vAlign w:val="center"/>
          </w:tcPr>
          <w:p>
            <w:pPr>
              <w:pStyle w:val="13"/>
            </w:pPr>
            <w:r>
              <w:t>完成</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p>
            <w:pPr>
              <w:pStyle w:val="13"/>
            </w:pPr>
          </w:p>
        </w:tc>
        <w:tc>
          <w:tcPr>
            <w:tcW w:w="5386" w:type="dxa"/>
            <w:vAlign w:val="center"/>
          </w:tcPr>
          <w:p>
            <w:pPr>
              <w:pStyle w:val="13"/>
            </w:pPr>
            <w:r>
              <w:t xml:space="preserve"> 为国控企业提供服务的满意程度</w:t>
            </w:r>
          </w:p>
          <w:p>
            <w:pPr>
              <w:pStyle w:val="13"/>
            </w:pPr>
          </w:p>
        </w:tc>
        <w:tc>
          <w:tcPr>
            <w:tcW w:w="2268" w:type="dxa"/>
            <w:vAlign w:val="center"/>
          </w:tcPr>
          <w:p>
            <w:pPr>
              <w:pStyle w:val="13"/>
            </w:pPr>
            <w:r>
              <w:t>≥90%</w:t>
            </w:r>
          </w:p>
        </w:tc>
        <w:tc>
          <w:tcPr>
            <w:tcW w:w="1276" w:type="dxa"/>
            <w:vAlign w:val="center"/>
          </w:tcPr>
          <w:p>
            <w:pPr>
              <w:pStyle w:val="13"/>
            </w:pPr>
            <w:r>
              <w:t>目标计划值</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13031325P008805103979</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16.85</w:t>
            </w:r>
          </w:p>
        </w:tc>
        <w:tc>
          <w:tcPr>
            <w:tcW w:w="2835" w:type="dxa"/>
            <w:vAlign w:val="center"/>
          </w:tcPr>
          <w:p>
            <w:pPr>
              <w:pStyle w:val="11"/>
            </w:pPr>
            <w:r>
              <w:t>其中：财政    资金</w:t>
            </w:r>
          </w:p>
        </w:tc>
        <w:tc>
          <w:tcPr>
            <w:tcW w:w="2551" w:type="dxa"/>
            <w:vAlign w:val="center"/>
          </w:tcPr>
          <w:p>
            <w:pPr>
              <w:pStyle w:val="13"/>
            </w:pPr>
            <w:r>
              <w:t>16.85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保障人事代理人员工资及社保按时发放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1.保障人事代理人员工资按时发放</w:t>
            </w:r>
            <w:r>
              <w:tab/>
            </w:r>
            <w:r>
              <w:t>。</w:t>
            </w:r>
          </w:p>
          <w:p>
            <w:pPr>
              <w:pStyle w:val="13"/>
            </w:pPr>
            <w:r>
              <w:t>2.保障人事代理人员社保及时缴纳</w:t>
            </w:r>
            <w:r>
              <w:tab/>
            </w:r>
            <w:r>
              <w:t>。</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保证人数</w:t>
            </w:r>
          </w:p>
        </w:tc>
        <w:tc>
          <w:tcPr>
            <w:tcW w:w="5386" w:type="dxa"/>
            <w:vAlign w:val="center"/>
          </w:tcPr>
          <w:p>
            <w:pPr>
              <w:pStyle w:val="13"/>
            </w:pPr>
            <w:r>
              <w:t>保障人员经费的人数</w:t>
            </w:r>
          </w:p>
        </w:tc>
        <w:tc>
          <w:tcPr>
            <w:tcW w:w="2268" w:type="dxa"/>
            <w:vAlign w:val="center"/>
          </w:tcPr>
          <w:p>
            <w:pPr>
              <w:pStyle w:val="13"/>
            </w:pPr>
            <w:r>
              <w:t>1</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人事代理人员经费支付的及时性</w:t>
            </w:r>
          </w:p>
        </w:tc>
        <w:tc>
          <w:tcPr>
            <w:tcW w:w="2268" w:type="dxa"/>
            <w:vAlign w:val="center"/>
          </w:tcPr>
          <w:p>
            <w:pPr>
              <w:pStyle w:val="13"/>
            </w:pPr>
            <w:r>
              <w:t>1</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以实际审批发生金额为准</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财政业务开展</w:t>
            </w:r>
          </w:p>
        </w:tc>
        <w:tc>
          <w:tcPr>
            <w:tcW w:w="5386" w:type="dxa"/>
            <w:vAlign w:val="center"/>
          </w:tcPr>
          <w:p>
            <w:pPr>
              <w:pStyle w:val="13"/>
            </w:pPr>
            <w:r>
              <w:t>促进财政业务提升</w:t>
            </w:r>
          </w:p>
        </w:tc>
        <w:tc>
          <w:tcPr>
            <w:tcW w:w="2268" w:type="dxa"/>
            <w:vAlign w:val="center"/>
          </w:tcPr>
          <w:p>
            <w:pPr>
              <w:pStyle w:val="13"/>
            </w:pPr>
            <w:r>
              <w:t>明显提升</w:t>
            </w:r>
          </w:p>
        </w:tc>
        <w:tc>
          <w:tcPr>
            <w:tcW w:w="1276" w:type="dxa"/>
            <w:vAlign w:val="center"/>
          </w:tcPr>
          <w:p>
            <w:pPr>
              <w:pStyle w:val="13"/>
            </w:pPr>
            <w:r>
              <w:t>工作实际标准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财政资金使用率</w:t>
            </w:r>
          </w:p>
        </w:tc>
        <w:tc>
          <w:tcPr>
            <w:tcW w:w="5386" w:type="dxa"/>
            <w:vAlign w:val="center"/>
          </w:tcPr>
          <w:p>
            <w:pPr>
              <w:pStyle w:val="13"/>
            </w:pPr>
            <w:r>
              <w:t>提高财政资金的使用情况</w:t>
            </w:r>
          </w:p>
        </w:tc>
        <w:tc>
          <w:tcPr>
            <w:tcW w:w="2268" w:type="dxa"/>
            <w:vAlign w:val="center"/>
          </w:tcPr>
          <w:p>
            <w:pPr>
              <w:pStyle w:val="13"/>
            </w:pPr>
            <w:r>
              <w:t>明显提升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3、行政事业单位资产管理、预算管理一体化等系统运维服务费绩效目标表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13031325P00880510438Y</w:t>
            </w:r>
          </w:p>
        </w:tc>
        <w:tc>
          <w:tcPr>
            <w:tcW w:w="2835" w:type="dxa"/>
            <w:vAlign w:val="center"/>
          </w:tcPr>
          <w:p>
            <w:pPr>
              <w:pStyle w:val="11"/>
            </w:pPr>
            <w:r>
              <w:t>项目名称</w:t>
            </w:r>
          </w:p>
        </w:tc>
        <w:tc>
          <w:tcPr>
            <w:tcW w:w="6095" w:type="dxa"/>
            <w:gridSpan w:val="3"/>
            <w:vAlign w:val="center"/>
          </w:tcPr>
          <w:p>
            <w:pPr>
              <w:pStyle w:val="13"/>
            </w:pPr>
            <w:r>
              <w:t>行政事业单位资产管理、预算管理一体化等系统运维服务费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保障财政业务的有序开展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1.保障财政业务的有序开展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完成计划工作数量</w:t>
            </w:r>
          </w:p>
        </w:tc>
        <w:tc>
          <w:tcPr>
            <w:tcW w:w="5386" w:type="dxa"/>
            <w:vAlign w:val="center"/>
          </w:tcPr>
          <w:p>
            <w:pPr>
              <w:pStyle w:val="13"/>
            </w:pPr>
            <w:r>
              <w:t>预计工作计划数量</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综合事项保障率</w:t>
            </w:r>
          </w:p>
        </w:tc>
        <w:tc>
          <w:tcPr>
            <w:tcW w:w="5386" w:type="dxa"/>
            <w:vAlign w:val="center"/>
          </w:tcPr>
          <w:p>
            <w:pPr>
              <w:pStyle w:val="13"/>
            </w:pPr>
            <w:r>
              <w:t>保障财政事务的正常运转</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工作计划完成率</w:t>
            </w:r>
          </w:p>
        </w:tc>
        <w:tc>
          <w:tcPr>
            <w:tcW w:w="5386" w:type="dxa"/>
            <w:vAlign w:val="center"/>
          </w:tcPr>
          <w:p>
            <w:pPr>
              <w:pStyle w:val="13"/>
            </w:pPr>
            <w:r>
              <w:t>工作计划完成情况</w:t>
            </w:r>
          </w:p>
        </w:tc>
        <w:tc>
          <w:tcPr>
            <w:tcW w:w="2268" w:type="dxa"/>
            <w:vAlign w:val="center"/>
          </w:tcPr>
          <w:p>
            <w:pPr>
              <w:pStyle w:val="13"/>
            </w:pPr>
            <w:r>
              <w:t>预算当年年底前</w:t>
            </w:r>
          </w:p>
          <w:p>
            <w:pPr>
              <w:pStyle w:val="13"/>
            </w:pP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保障资金有效利用</w:t>
            </w:r>
          </w:p>
        </w:tc>
        <w:tc>
          <w:tcPr>
            <w:tcW w:w="5386" w:type="dxa"/>
            <w:vAlign w:val="center"/>
          </w:tcPr>
          <w:p>
            <w:pPr>
              <w:pStyle w:val="13"/>
            </w:pPr>
            <w:r>
              <w:t>保障资金有效利用</w:t>
            </w:r>
          </w:p>
        </w:tc>
        <w:tc>
          <w:tcPr>
            <w:tcW w:w="2268" w:type="dxa"/>
            <w:vAlign w:val="center"/>
          </w:tcPr>
          <w:p>
            <w:pPr>
              <w:pStyle w:val="13"/>
            </w:pPr>
            <w:r>
              <w:t>有力保障</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促进和保障新区经济发展</w:t>
            </w:r>
          </w:p>
        </w:tc>
        <w:tc>
          <w:tcPr>
            <w:tcW w:w="5386" w:type="dxa"/>
            <w:vAlign w:val="center"/>
          </w:tcPr>
          <w:p>
            <w:pPr>
              <w:pStyle w:val="13"/>
            </w:pPr>
            <w:r>
              <w:t>坚持依法理财、统筹兼顾，切实做好新区重要战略部署落地生效的财力保障</w:t>
            </w:r>
          </w:p>
        </w:tc>
        <w:tc>
          <w:tcPr>
            <w:tcW w:w="2268" w:type="dxa"/>
            <w:vAlign w:val="center"/>
          </w:tcPr>
          <w:p>
            <w:pPr>
              <w:pStyle w:val="13"/>
            </w:pPr>
            <w:r>
              <w:t>有力保障</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调高办事效率</w:t>
            </w:r>
          </w:p>
        </w:tc>
        <w:tc>
          <w:tcPr>
            <w:tcW w:w="5386" w:type="dxa"/>
            <w:vAlign w:val="center"/>
          </w:tcPr>
          <w:p>
            <w:pPr>
              <w:pStyle w:val="13"/>
            </w:pPr>
            <w:r>
              <w:t>提高财政业务平稳运行，提高办事效率</w:t>
            </w:r>
          </w:p>
        </w:tc>
        <w:tc>
          <w:tcPr>
            <w:tcW w:w="2268" w:type="dxa"/>
            <w:vAlign w:val="center"/>
          </w:tcPr>
          <w:p>
            <w:pPr>
              <w:pStyle w:val="13"/>
            </w:pPr>
            <w:r>
              <w:t>有力保障</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提高财政资金的使用率</w:t>
            </w:r>
          </w:p>
        </w:tc>
        <w:tc>
          <w:tcPr>
            <w:tcW w:w="5386" w:type="dxa"/>
            <w:vAlign w:val="center"/>
          </w:tcPr>
          <w:p>
            <w:pPr>
              <w:pStyle w:val="13"/>
            </w:pPr>
            <w:r>
              <w:t>提高财政资金的使用率</w:t>
            </w:r>
          </w:p>
        </w:tc>
        <w:tc>
          <w:tcPr>
            <w:tcW w:w="2268" w:type="dxa"/>
            <w:vAlign w:val="center"/>
          </w:tcPr>
          <w:p>
            <w:pPr>
              <w:pStyle w:val="13"/>
            </w:pPr>
            <w:r>
              <w:t>有力保障</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局内科室满意度</w:t>
            </w:r>
          </w:p>
        </w:tc>
        <w:tc>
          <w:tcPr>
            <w:tcW w:w="5386" w:type="dxa"/>
            <w:vAlign w:val="center"/>
          </w:tcPr>
          <w:p>
            <w:pPr>
              <w:pStyle w:val="13"/>
            </w:pPr>
            <w:r>
              <w:t>各科室对所提供服务的满意程度</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财务人员满意度</w:t>
            </w:r>
          </w:p>
        </w:tc>
        <w:tc>
          <w:tcPr>
            <w:tcW w:w="5386" w:type="dxa"/>
            <w:vAlign w:val="center"/>
          </w:tcPr>
          <w:p>
            <w:pPr>
              <w:pStyle w:val="13"/>
            </w:pPr>
            <w:r>
              <w:t>对新区财务人员培训服务的满意度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4、财政管理及评审经费绩效目标表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13031325P00880110955K</w:t>
            </w:r>
          </w:p>
        </w:tc>
        <w:tc>
          <w:tcPr>
            <w:tcW w:w="2835" w:type="dxa"/>
            <w:vAlign w:val="center"/>
          </w:tcPr>
          <w:p>
            <w:pPr>
              <w:pStyle w:val="11"/>
            </w:pPr>
            <w:r>
              <w:t>项目名称</w:t>
            </w:r>
          </w:p>
        </w:tc>
        <w:tc>
          <w:tcPr>
            <w:tcW w:w="6095" w:type="dxa"/>
            <w:gridSpan w:val="3"/>
            <w:vAlign w:val="center"/>
          </w:tcPr>
          <w:p>
            <w:pPr>
              <w:pStyle w:val="13"/>
            </w:pPr>
            <w:r>
              <w:t>财政管理及评审经费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合理支出财政资金，严控预算，确保预算细化并按规定编制；开展决算工作，确保决算工作顺利完成</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1.合理支出财政资金，严控预算，确保预算细化并按规定编制；开展决算工作，确保决算工作顺利完成</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预算评审、检查率</w:t>
            </w:r>
          </w:p>
        </w:tc>
        <w:tc>
          <w:tcPr>
            <w:tcW w:w="5386" w:type="dxa"/>
            <w:vAlign w:val="center"/>
          </w:tcPr>
          <w:p>
            <w:pPr>
              <w:pStyle w:val="13"/>
            </w:pPr>
            <w:r>
              <w:t xml:space="preserve"> 全年预算评审、检查情况，占当年项目比例</w:t>
            </w:r>
          </w:p>
          <w:p>
            <w:pPr>
              <w:pStyle w:val="13"/>
            </w:pPr>
          </w:p>
        </w:tc>
        <w:tc>
          <w:tcPr>
            <w:tcW w:w="2268" w:type="dxa"/>
            <w:vAlign w:val="center"/>
          </w:tcPr>
          <w:p>
            <w:pPr>
              <w:pStyle w:val="13"/>
            </w:pPr>
            <w:r>
              <w:t>≥90 %</w:t>
            </w:r>
          </w:p>
        </w:tc>
        <w:tc>
          <w:tcPr>
            <w:tcW w:w="1276" w:type="dxa"/>
            <w:vAlign w:val="center"/>
          </w:tcPr>
          <w:p>
            <w:pPr>
              <w:pStyle w:val="13"/>
            </w:pPr>
            <w:r>
              <w:t xml:space="preserve"> 预算评审办法和合同协议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预算评审、检查完成率</w:t>
            </w:r>
          </w:p>
        </w:tc>
        <w:tc>
          <w:tcPr>
            <w:tcW w:w="5386" w:type="dxa"/>
            <w:vAlign w:val="center"/>
          </w:tcPr>
          <w:p>
            <w:pPr>
              <w:pStyle w:val="13"/>
            </w:pPr>
            <w:r>
              <w:t xml:space="preserve"> 全年预算评审、检查完成情况，占当年项目比</w:t>
            </w:r>
          </w:p>
          <w:p>
            <w:pPr>
              <w:pStyle w:val="13"/>
            </w:pPr>
          </w:p>
        </w:tc>
        <w:tc>
          <w:tcPr>
            <w:tcW w:w="2268" w:type="dxa"/>
            <w:vAlign w:val="center"/>
          </w:tcPr>
          <w:p>
            <w:pPr>
              <w:pStyle w:val="13"/>
            </w:pPr>
            <w:r>
              <w:t>≥90 %</w:t>
            </w:r>
          </w:p>
        </w:tc>
        <w:tc>
          <w:tcPr>
            <w:tcW w:w="1276" w:type="dxa"/>
            <w:vAlign w:val="center"/>
          </w:tcPr>
          <w:p>
            <w:pPr>
              <w:pStyle w:val="13"/>
            </w:pPr>
            <w:r>
              <w:t xml:space="preserve"> 预算评审办法和合同协议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预算评审、检查完成时限</w:t>
            </w:r>
          </w:p>
        </w:tc>
        <w:tc>
          <w:tcPr>
            <w:tcW w:w="5386" w:type="dxa"/>
            <w:vAlign w:val="center"/>
          </w:tcPr>
          <w:p>
            <w:pPr>
              <w:pStyle w:val="13"/>
            </w:pPr>
            <w:r>
              <w:t xml:space="preserve"> 全年预算评审、检查完成及时性</w:t>
            </w:r>
          </w:p>
          <w:p>
            <w:pPr>
              <w:pStyle w:val="13"/>
            </w:pPr>
          </w:p>
        </w:tc>
        <w:tc>
          <w:tcPr>
            <w:tcW w:w="2268" w:type="dxa"/>
            <w:vAlign w:val="center"/>
          </w:tcPr>
          <w:p>
            <w:pPr>
              <w:pStyle w:val="13"/>
            </w:pPr>
            <w:r>
              <w:t xml:space="preserve"> 及时</w:t>
            </w:r>
          </w:p>
        </w:tc>
        <w:tc>
          <w:tcPr>
            <w:tcW w:w="1276" w:type="dxa"/>
            <w:vAlign w:val="center"/>
          </w:tcPr>
          <w:p>
            <w:pPr>
              <w:pStyle w:val="13"/>
            </w:pPr>
            <w:r>
              <w:t xml:space="preserve"> 预算评审办法和合同协议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委托中介机构完成财政资金 预算评审、决算审查、绩效评价项目付费标准</w:t>
            </w:r>
          </w:p>
          <w:p>
            <w:pPr>
              <w:pStyle w:val="13"/>
            </w:pPr>
          </w:p>
        </w:tc>
        <w:tc>
          <w:tcPr>
            <w:tcW w:w="5386" w:type="dxa"/>
            <w:vAlign w:val="center"/>
          </w:tcPr>
          <w:p>
            <w:pPr>
              <w:pStyle w:val="13"/>
            </w:pPr>
            <w:r>
              <w:t xml:space="preserve"> 按照文件中的标准按各项目计算</w:t>
            </w:r>
          </w:p>
          <w:p>
            <w:pPr>
              <w:pStyle w:val="13"/>
            </w:pPr>
          </w:p>
        </w:tc>
        <w:tc>
          <w:tcPr>
            <w:tcW w:w="2268" w:type="dxa"/>
            <w:vAlign w:val="center"/>
          </w:tcPr>
          <w:p>
            <w:pPr>
              <w:pStyle w:val="13"/>
            </w:pPr>
            <w:r>
              <w:t xml:space="preserve"> 按文件规定标准和政府采购中标价执行 </w:t>
            </w:r>
          </w:p>
          <w:p>
            <w:pPr>
              <w:pStyle w:val="13"/>
            </w:pPr>
          </w:p>
        </w:tc>
        <w:tc>
          <w:tcPr>
            <w:tcW w:w="1276" w:type="dxa"/>
            <w:vAlign w:val="center"/>
          </w:tcPr>
          <w:p>
            <w:pPr>
              <w:pStyle w:val="13"/>
            </w:pPr>
            <w:r>
              <w:t xml:space="preserve"> 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评审项目预算纠偏及检查整改准确情况</w:t>
            </w:r>
          </w:p>
        </w:tc>
        <w:tc>
          <w:tcPr>
            <w:tcW w:w="5386" w:type="dxa"/>
            <w:vAlign w:val="center"/>
          </w:tcPr>
          <w:p>
            <w:pPr>
              <w:pStyle w:val="13"/>
            </w:pPr>
            <w:r>
              <w:t xml:space="preserve"> 合理审增或审减资金预算，提高决算检查整改</w:t>
            </w:r>
          </w:p>
          <w:p>
            <w:pPr>
              <w:pStyle w:val="13"/>
            </w:pPr>
          </w:p>
        </w:tc>
        <w:tc>
          <w:tcPr>
            <w:tcW w:w="2268" w:type="dxa"/>
            <w:vAlign w:val="center"/>
          </w:tcPr>
          <w:p>
            <w:pPr>
              <w:pStyle w:val="13"/>
            </w:pPr>
            <w:r>
              <w:t xml:space="preserve"> 有效</w:t>
            </w:r>
          </w:p>
          <w:p>
            <w:pPr>
              <w:pStyle w:val="13"/>
            </w:pPr>
          </w:p>
        </w:tc>
        <w:tc>
          <w:tcPr>
            <w:tcW w:w="1276" w:type="dxa"/>
            <w:vAlign w:val="center"/>
          </w:tcPr>
          <w:p>
            <w:pPr>
              <w:pStyle w:val="13"/>
            </w:pPr>
            <w:r>
              <w:t xml:space="preserve"> 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推动全区预算单位全面实施预算绩效管理</w:t>
            </w:r>
          </w:p>
          <w:p>
            <w:pPr>
              <w:pStyle w:val="13"/>
            </w:pPr>
          </w:p>
        </w:tc>
        <w:tc>
          <w:tcPr>
            <w:tcW w:w="5386" w:type="dxa"/>
            <w:vAlign w:val="center"/>
          </w:tcPr>
          <w:p>
            <w:pPr>
              <w:pStyle w:val="13"/>
            </w:pPr>
            <w:r>
              <w:t xml:space="preserve"> 推动全区预算单位全面实施预算绩效管理</w:t>
            </w:r>
          </w:p>
          <w:p>
            <w:pPr>
              <w:pStyle w:val="13"/>
            </w:pPr>
          </w:p>
        </w:tc>
        <w:tc>
          <w:tcPr>
            <w:tcW w:w="2268" w:type="dxa"/>
            <w:vAlign w:val="center"/>
          </w:tcPr>
          <w:p>
            <w:pPr>
              <w:pStyle w:val="13"/>
            </w:pPr>
            <w:r>
              <w:t xml:space="preserve"> 有效</w:t>
            </w:r>
          </w:p>
          <w:p>
            <w:pPr>
              <w:pStyle w:val="13"/>
            </w:pPr>
          </w:p>
        </w:tc>
        <w:tc>
          <w:tcPr>
            <w:tcW w:w="1276" w:type="dxa"/>
            <w:vAlign w:val="center"/>
          </w:tcPr>
          <w:p>
            <w:pPr>
              <w:pStyle w:val="13"/>
            </w:pPr>
            <w:r>
              <w:t xml:space="preserve"> 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推动评审检查平稳发展</w:t>
            </w:r>
          </w:p>
        </w:tc>
        <w:tc>
          <w:tcPr>
            <w:tcW w:w="5386" w:type="dxa"/>
            <w:vAlign w:val="center"/>
          </w:tcPr>
          <w:p>
            <w:pPr>
              <w:pStyle w:val="13"/>
            </w:pPr>
            <w:r>
              <w:t>推动评审事业及决算报告平稳发展</w:t>
            </w:r>
          </w:p>
        </w:tc>
        <w:tc>
          <w:tcPr>
            <w:tcW w:w="2268" w:type="dxa"/>
            <w:vAlign w:val="center"/>
          </w:tcPr>
          <w:p>
            <w:pPr>
              <w:pStyle w:val="13"/>
            </w:pPr>
            <w:r>
              <w:t>有效</w:t>
            </w:r>
          </w:p>
        </w:tc>
        <w:tc>
          <w:tcPr>
            <w:tcW w:w="1276" w:type="dxa"/>
            <w:vAlign w:val="center"/>
          </w:tcPr>
          <w:p>
            <w:pPr>
              <w:pStyle w:val="13"/>
            </w:pPr>
            <w:r>
              <w:t xml:space="preserve"> 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预算单位满意度</w:t>
            </w:r>
          </w:p>
          <w:p>
            <w:pPr>
              <w:pStyle w:val="13"/>
            </w:pPr>
          </w:p>
        </w:tc>
        <w:tc>
          <w:tcPr>
            <w:tcW w:w="5386" w:type="dxa"/>
            <w:vAlign w:val="center"/>
          </w:tcPr>
          <w:p>
            <w:pPr>
              <w:pStyle w:val="13"/>
            </w:pPr>
            <w:r>
              <w:t xml:space="preserve"> 受益对象满意度</w:t>
            </w:r>
          </w:p>
          <w:p>
            <w:pPr>
              <w:pStyle w:val="13"/>
            </w:pPr>
          </w:p>
        </w:tc>
        <w:tc>
          <w:tcPr>
            <w:tcW w:w="2268" w:type="dxa"/>
            <w:vAlign w:val="center"/>
          </w:tcPr>
          <w:p>
            <w:pPr>
              <w:pStyle w:val="13"/>
            </w:pPr>
            <w:r>
              <w:t>≥90 %</w:t>
            </w:r>
          </w:p>
        </w:tc>
        <w:tc>
          <w:tcPr>
            <w:tcW w:w="1276" w:type="dxa"/>
            <w:vAlign w:val="center"/>
          </w:tcPr>
          <w:p>
            <w:pPr>
              <w:pStyle w:val="13"/>
            </w:pPr>
            <w:r>
              <w:t xml:space="preserve"> 目标计划值</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5、财政引导金融支持实体经济政策落实资金绩效目标表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13031325P008801109567</w:t>
            </w:r>
          </w:p>
        </w:tc>
        <w:tc>
          <w:tcPr>
            <w:tcW w:w="2835" w:type="dxa"/>
            <w:vAlign w:val="center"/>
          </w:tcPr>
          <w:p>
            <w:pPr>
              <w:pStyle w:val="11"/>
            </w:pPr>
            <w:r>
              <w:t>项目名称</w:t>
            </w:r>
          </w:p>
        </w:tc>
        <w:tc>
          <w:tcPr>
            <w:tcW w:w="6095" w:type="dxa"/>
            <w:gridSpan w:val="3"/>
            <w:vAlign w:val="center"/>
          </w:tcPr>
          <w:p>
            <w:pPr>
              <w:pStyle w:val="13"/>
            </w:pPr>
            <w:r>
              <w:t>财政引导金融支持实体经济政策落实资金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提高金融机构为企业贷款积极性</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1.提高金融机构为企业贷款积极性</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还款金额</w:t>
            </w:r>
          </w:p>
        </w:tc>
        <w:tc>
          <w:tcPr>
            <w:tcW w:w="5386" w:type="dxa"/>
            <w:vAlign w:val="center"/>
          </w:tcPr>
          <w:p>
            <w:pPr>
              <w:pStyle w:val="13"/>
            </w:pPr>
            <w:r>
              <w:t>还款金额</w:t>
            </w:r>
          </w:p>
        </w:tc>
        <w:tc>
          <w:tcPr>
            <w:tcW w:w="2268" w:type="dxa"/>
            <w:vAlign w:val="center"/>
          </w:tcPr>
          <w:p>
            <w:pPr>
              <w:pStyle w:val="13"/>
            </w:pPr>
            <w:r>
              <w:t>≥0万元</w:t>
            </w:r>
          </w:p>
        </w:tc>
        <w:tc>
          <w:tcPr>
            <w:tcW w:w="1276" w:type="dxa"/>
            <w:vAlign w:val="center"/>
          </w:tcPr>
          <w:p>
            <w:pPr>
              <w:pStyle w:val="13"/>
            </w:pPr>
            <w:r>
              <w:t>企业还款金额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≥0万元</w:t>
            </w:r>
          </w:p>
        </w:tc>
        <w:tc>
          <w:tcPr>
            <w:tcW w:w="1276" w:type="dxa"/>
            <w:vAlign w:val="center"/>
          </w:tcPr>
          <w:p>
            <w:pPr>
              <w:pStyle w:val="13"/>
            </w:pPr>
            <w:r>
              <w:t>金融该机构发放贷款金额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企业合规率</w:t>
            </w:r>
          </w:p>
        </w:tc>
        <w:tc>
          <w:tcPr>
            <w:tcW w:w="5386" w:type="dxa"/>
            <w:vAlign w:val="center"/>
          </w:tcPr>
          <w:p>
            <w:pPr>
              <w:pStyle w:val="13"/>
            </w:pPr>
            <w:r>
              <w:t>企业合规率</w:t>
            </w:r>
          </w:p>
        </w:tc>
        <w:tc>
          <w:tcPr>
            <w:tcW w:w="2268" w:type="dxa"/>
            <w:vAlign w:val="center"/>
          </w:tcPr>
          <w:p>
            <w:pPr>
              <w:pStyle w:val="13"/>
            </w:pPr>
            <w:r>
              <w:t>100份</w:t>
            </w:r>
          </w:p>
        </w:tc>
        <w:tc>
          <w:tcPr>
            <w:tcW w:w="1276" w:type="dxa"/>
            <w:vAlign w:val="center"/>
          </w:tcPr>
          <w:p>
            <w:pPr>
              <w:pStyle w:val="13"/>
            </w:pPr>
            <w:r>
              <w:t>按时提供所需资料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奖励金额</w:t>
            </w:r>
          </w:p>
        </w:tc>
        <w:tc>
          <w:tcPr>
            <w:tcW w:w="5386" w:type="dxa"/>
            <w:vAlign w:val="center"/>
          </w:tcPr>
          <w:p>
            <w:pPr>
              <w:pStyle w:val="13"/>
            </w:pPr>
            <w:r>
              <w:t>奖励金额</w:t>
            </w:r>
          </w:p>
        </w:tc>
        <w:tc>
          <w:tcPr>
            <w:tcW w:w="2268" w:type="dxa"/>
            <w:vAlign w:val="center"/>
          </w:tcPr>
          <w:p>
            <w:pPr>
              <w:pStyle w:val="13"/>
            </w:pPr>
            <w:r>
              <w:t>≥0万元</w:t>
            </w:r>
          </w:p>
        </w:tc>
        <w:tc>
          <w:tcPr>
            <w:tcW w:w="1276" w:type="dxa"/>
            <w:vAlign w:val="center"/>
          </w:tcPr>
          <w:p>
            <w:pPr>
              <w:pStyle w:val="13"/>
            </w:pPr>
            <w:r>
              <w:t>金融机构发放贷款金额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对经济发展带来效果 </w:t>
            </w:r>
          </w:p>
        </w:tc>
        <w:tc>
          <w:tcPr>
            <w:tcW w:w="5386" w:type="dxa"/>
            <w:vAlign w:val="center"/>
          </w:tcPr>
          <w:p>
            <w:pPr>
              <w:pStyle w:val="13"/>
            </w:pPr>
            <w:r>
              <w:t xml:space="preserve">对经济发展带来效果 </w:t>
            </w:r>
          </w:p>
        </w:tc>
        <w:tc>
          <w:tcPr>
            <w:tcW w:w="2268" w:type="dxa"/>
            <w:vAlign w:val="center"/>
          </w:tcPr>
          <w:p>
            <w:pPr>
              <w:pStyle w:val="13"/>
            </w:pPr>
            <w:r>
              <w:t>≥100百分比</w:t>
            </w:r>
          </w:p>
        </w:tc>
        <w:tc>
          <w:tcPr>
            <w:tcW w:w="1276" w:type="dxa"/>
            <w:vAlign w:val="center"/>
          </w:tcPr>
          <w:p>
            <w:pPr>
              <w:pStyle w:val="13"/>
            </w:pPr>
            <w:r>
              <w:t>提高金融机构为企业贷款积极性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反映方案编制后的影响力，是否提高了统计数据真实性；是否使得地区生产总值核算更加科学；是否加强了部、省、市三级运输量测算方法有效衔接</w:t>
            </w:r>
          </w:p>
        </w:tc>
        <w:tc>
          <w:tcPr>
            <w:tcW w:w="2268" w:type="dxa"/>
            <w:vAlign w:val="center"/>
          </w:tcPr>
          <w:p>
            <w:pPr>
              <w:pStyle w:val="13"/>
            </w:pPr>
            <w:r>
              <w:t>金融机构对企业贷款积极性</w:t>
            </w:r>
          </w:p>
        </w:tc>
        <w:tc>
          <w:tcPr>
            <w:tcW w:w="1276" w:type="dxa"/>
            <w:vAlign w:val="center"/>
          </w:tcPr>
          <w:p>
            <w:pPr>
              <w:pStyle w:val="13"/>
            </w:pPr>
            <w:r>
              <w:t>提高金融机构为企业贷款积极性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提高金融机构为企业贷款积极性</w:t>
            </w:r>
          </w:p>
        </w:tc>
        <w:tc>
          <w:tcPr>
            <w:tcW w:w="1276" w:type="dxa"/>
            <w:vAlign w:val="center"/>
          </w:tcPr>
          <w:p>
            <w:pPr>
              <w:pStyle w:val="13"/>
            </w:pPr>
            <w:r>
              <w:t>提高金融机构为企业贷款积极性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≥95百分比</w:t>
            </w:r>
          </w:p>
        </w:tc>
        <w:tc>
          <w:tcPr>
            <w:tcW w:w="1276" w:type="dxa"/>
            <w:vAlign w:val="center"/>
          </w:tcPr>
          <w:p>
            <w:pPr>
              <w:pStyle w:val="13"/>
            </w:pPr>
            <w:r>
              <w:t>金融机构及企业满意度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6、金融小镇及基金招商运营管理费绩效目标表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13031325P00880110957T</w:t>
            </w:r>
          </w:p>
        </w:tc>
        <w:tc>
          <w:tcPr>
            <w:tcW w:w="2835" w:type="dxa"/>
            <w:vAlign w:val="center"/>
          </w:tcPr>
          <w:p>
            <w:pPr>
              <w:pStyle w:val="11"/>
            </w:pPr>
            <w:r>
              <w:t>项目名称</w:t>
            </w:r>
          </w:p>
        </w:tc>
        <w:tc>
          <w:tcPr>
            <w:tcW w:w="6095" w:type="dxa"/>
            <w:gridSpan w:val="3"/>
            <w:vAlign w:val="center"/>
          </w:tcPr>
          <w:p>
            <w:pPr>
              <w:pStyle w:val="13"/>
            </w:pPr>
            <w:r>
              <w:t>金融小镇及基金招商运营管理费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w:t>
            </w:r>
          </w:p>
        </w:tc>
        <w:tc>
          <w:tcPr>
            <w:tcW w:w="2835" w:type="dxa"/>
            <w:vAlign w:val="center"/>
          </w:tcPr>
          <w:p>
            <w:pPr>
              <w:pStyle w:val="11"/>
            </w:pPr>
            <w:r>
              <w:t>其中：财政    资金</w:t>
            </w:r>
          </w:p>
        </w:tc>
        <w:tc>
          <w:tcPr>
            <w:tcW w:w="2551" w:type="dxa"/>
            <w:vAlign w:val="center"/>
          </w:tcPr>
          <w:p>
            <w:pPr>
              <w:pStyle w:val="13"/>
            </w:pPr>
            <w:r>
              <w:t>190.00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创新投资举措，大力支持新区产业发展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1.创新投资举措，大力支持新区产业发展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基金立项数量</w:t>
            </w:r>
          </w:p>
        </w:tc>
        <w:tc>
          <w:tcPr>
            <w:tcW w:w="5386" w:type="dxa"/>
            <w:vAlign w:val="center"/>
          </w:tcPr>
          <w:p>
            <w:pPr>
              <w:pStyle w:val="13"/>
            </w:pPr>
            <w:r>
              <w:t>基金立项数量</w:t>
            </w:r>
          </w:p>
        </w:tc>
        <w:tc>
          <w:tcPr>
            <w:tcW w:w="2268" w:type="dxa"/>
            <w:vAlign w:val="center"/>
          </w:tcPr>
          <w:p>
            <w:pPr>
              <w:pStyle w:val="13"/>
            </w:pPr>
            <w:r>
              <w:t>≥2支</w:t>
            </w:r>
          </w:p>
        </w:tc>
        <w:tc>
          <w:tcPr>
            <w:tcW w:w="1276" w:type="dxa"/>
            <w:vAlign w:val="center"/>
          </w:tcPr>
          <w:p>
            <w:pPr>
              <w:pStyle w:val="13"/>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保障基金运行</w:t>
            </w:r>
          </w:p>
        </w:tc>
        <w:tc>
          <w:tcPr>
            <w:tcW w:w="5386" w:type="dxa"/>
            <w:vAlign w:val="center"/>
          </w:tcPr>
          <w:p>
            <w:pPr>
              <w:pStyle w:val="13"/>
            </w:pPr>
            <w:r>
              <w:t>保障基金运行</w:t>
            </w:r>
          </w:p>
        </w:tc>
        <w:tc>
          <w:tcPr>
            <w:tcW w:w="2268" w:type="dxa"/>
            <w:vAlign w:val="center"/>
          </w:tcPr>
          <w:p>
            <w:pPr>
              <w:pStyle w:val="13"/>
            </w:pPr>
            <w:r>
              <w:t>≥80%</w:t>
            </w:r>
          </w:p>
        </w:tc>
        <w:tc>
          <w:tcPr>
            <w:tcW w:w="1276" w:type="dxa"/>
            <w:vAlign w:val="center"/>
          </w:tcPr>
          <w:p>
            <w:pPr>
              <w:pStyle w:val="13"/>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基金项目建立时间</w:t>
            </w:r>
          </w:p>
        </w:tc>
        <w:tc>
          <w:tcPr>
            <w:tcW w:w="5386" w:type="dxa"/>
            <w:vAlign w:val="center"/>
          </w:tcPr>
          <w:p>
            <w:pPr>
              <w:pStyle w:val="13"/>
            </w:pPr>
            <w:r>
              <w:t>基金项目建立时间</w:t>
            </w:r>
          </w:p>
        </w:tc>
        <w:tc>
          <w:tcPr>
            <w:tcW w:w="2268" w:type="dxa"/>
            <w:vAlign w:val="center"/>
          </w:tcPr>
          <w:p>
            <w:pPr>
              <w:pStyle w:val="13"/>
            </w:pPr>
            <w:r>
              <w:t>≥1年</w:t>
            </w:r>
          </w:p>
        </w:tc>
        <w:tc>
          <w:tcPr>
            <w:tcW w:w="1276" w:type="dxa"/>
            <w:vAlign w:val="center"/>
          </w:tcPr>
          <w:p>
            <w:pPr>
              <w:pStyle w:val="13"/>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建立基金规模</w:t>
            </w:r>
          </w:p>
        </w:tc>
        <w:tc>
          <w:tcPr>
            <w:tcW w:w="5386" w:type="dxa"/>
            <w:vAlign w:val="center"/>
          </w:tcPr>
          <w:p>
            <w:pPr>
              <w:pStyle w:val="13"/>
            </w:pPr>
            <w:r>
              <w:t>建立基金规模</w:t>
            </w:r>
          </w:p>
        </w:tc>
        <w:tc>
          <w:tcPr>
            <w:tcW w:w="2268" w:type="dxa"/>
            <w:vAlign w:val="center"/>
          </w:tcPr>
          <w:p>
            <w:pPr>
              <w:pStyle w:val="13"/>
            </w:pPr>
            <w:r>
              <w:t>≥10亿元</w:t>
            </w:r>
          </w:p>
        </w:tc>
        <w:tc>
          <w:tcPr>
            <w:tcW w:w="1276" w:type="dxa"/>
            <w:vAlign w:val="center"/>
          </w:tcPr>
          <w:p>
            <w:pPr>
              <w:pStyle w:val="13"/>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≥80%</w:t>
            </w:r>
          </w:p>
        </w:tc>
        <w:tc>
          <w:tcPr>
            <w:tcW w:w="1276" w:type="dxa"/>
            <w:vAlign w:val="center"/>
          </w:tcPr>
          <w:p>
            <w:pPr>
              <w:pStyle w:val="13"/>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不断推进专业技术人才队伍建设</w:t>
            </w:r>
          </w:p>
        </w:tc>
        <w:tc>
          <w:tcPr>
            <w:tcW w:w="5386" w:type="dxa"/>
            <w:vAlign w:val="center"/>
          </w:tcPr>
          <w:p>
            <w:pPr>
              <w:pStyle w:val="13"/>
            </w:pPr>
            <w:r>
              <w:t>不断推进专业技术人才队伍建设</w:t>
            </w:r>
          </w:p>
        </w:tc>
        <w:tc>
          <w:tcPr>
            <w:tcW w:w="2268" w:type="dxa"/>
            <w:vAlign w:val="center"/>
          </w:tcPr>
          <w:p>
            <w:pPr>
              <w:pStyle w:val="13"/>
            </w:pPr>
            <w:r>
              <w:t>技术人才</w:t>
            </w:r>
          </w:p>
        </w:tc>
        <w:tc>
          <w:tcPr>
            <w:tcW w:w="1276" w:type="dxa"/>
            <w:vAlign w:val="center"/>
          </w:tcPr>
          <w:p>
            <w:pPr>
              <w:pStyle w:val="13"/>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环保要求</w:t>
            </w:r>
          </w:p>
        </w:tc>
        <w:tc>
          <w:tcPr>
            <w:tcW w:w="1276" w:type="dxa"/>
            <w:vAlign w:val="center"/>
          </w:tcPr>
          <w:p>
            <w:pPr>
              <w:pStyle w:val="13"/>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目标计划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7、农村公益设施建设项目配套资金绩效目标表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13031325P008801109901</w:t>
            </w:r>
          </w:p>
        </w:tc>
        <w:tc>
          <w:tcPr>
            <w:tcW w:w="2835" w:type="dxa"/>
            <w:vAlign w:val="center"/>
          </w:tcPr>
          <w:p>
            <w:pPr>
              <w:pStyle w:val="11"/>
            </w:pPr>
            <w:r>
              <w:t>项目名称</w:t>
            </w:r>
          </w:p>
        </w:tc>
        <w:tc>
          <w:tcPr>
            <w:tcW w:w="6095" w:type="dxa"/>
            <w:gridSpan w:val="3"/>
            <w:vAlign w:val="center"/>
          </w:tcPr>
          <w:p>
            <w:pPr>
              <w:pStyle w:val="13"/>
            </w:pPr>
            <w:r>
              <w:t>农村公益设施建设项目配套资金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保障各街道办农村综合改革该工作顺利开展。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1.保障各街道办农村综合改革该工作顺利开展。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项目完成率</w:t>
            </w:r>
          </w:p>
          <w:p>
            <w:pPr>
              <w:pStyle w:val="13"/>
            </w:pPr>
          </w:p>
        </w:tc>
        <w:tc>
          <w:tcPr>
            <w:tcW w:w="5386" w:type="dxa"/>
            <w:vAlign w:val="center"/>
          </w:tcPr>
          <w:p>
            <w:pPr>
              <w:pStyle w:val="13"/>
            </w:pPr>
            <w:r>
              <w:t xml:space="preserve"> 项目完工数占项目总数</w:t>
            </w:r>
          </w:p>
        </w:tc>
        <w:tc>
          <w:tcPr>
            <w:tcW w:w="2268" w:type="dxa"/>
            <w:vAlign w:val="center"/>
          </w:tcPr>
          <w:p>
            <w:pPr>
              <w:pStyle w:val="13"/>
            </w:pPr>
            <w:r>
              <w:t>≥90 %</w:t>
            </w:r>
          </w:p>
        </w:tc>
        <w:tc>
          <w:tcPr>
            <w:tcW w:w="1276" w:type="dxa"/>
            <w:vAlign w:val="center"/>
          </w:tcPr>
          <w:p>
            <w:pPr>
              <w:pStyle w:val="13"/>
            </w:pPr>
            <w:r>
              <w:t>农村综合改革项目办法</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p>
            <w:pPr>
              <w:pStyle w:val="13"/>
            </w:pPr>
          </w:p>
        </w:tc>
        <w:tc>
          <w:tcPr>
            <w:tcW w:w="5386" w:type="dxa"/>
            <w:vAlign w:val="center"/>
          </w:tcPr>
          <w:p>
            <w:pPr>
              <w:pStyle w:val="13"/>
            </w:pPr>
            <w:r>
              <w:t>项目验收合格情况，占当年项目</w:t>
            </w:r>
          </w:p>
          <w:p>
            <w:pPr>
              <w:pStyle w:val="13"/>
            </w:pPr>
            <w:r>
              <w:t>建设数</w:t>
            </w:r>
          </w:p>
        </w:tc>
        <w:tc>
          <w:tcPr>
            <w:tcW w:w="2268" w:type="dxa"/>
            <w:vAlign w:val="center"/>
          </w:tcPr>
          <w:p>
            <w:pPr>
              <w:pStyle w:val="13"/>
            </w:pPr>
            <w:r>
              <w:t>≥90 %</w:t>
            </w:r>
          </w:p>
        </w:tc>
        <w:tc>
          <w:tcPr>
            <w:tcW w:w="1276" w:type="dxa"/>
            <w:vAlign w:val="center"/>
          </w:tcPr>
          <w:p>
            <w:pPr>
              <w:pStyle w:val="13"/>
            </w:pPr>
            <w:r>
              <w:t>农村综合改革项目办法</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项目完成及时性</w:t>
            </w:r>
          </w:p>
          <w:p>
            <w:pPr>
              <w:pStyle w:val="13"/>
            </w:pPr>
          </w:p>
        </w:tc>
        <w:tc>
          <w:tcPr>
            <w:tcW w:w="2268" w:type="dxa"/>
            <w:vAlign w:val="center"/>
          </w:tcPr>
          <w:p>
            <w:pPr>
              <w:pStyle w:val="13"/>
            </w:pPr>
            <w:r>
              <w:t xml:space="preserve"> 及时</w:t>
            </w:r>
          </w:p>
        </w:tc>
        <w:tc>
          <w:tcPr>
            <w:tcW w:w="1276" w:type="dxa"/>
            <w:vAlign w:val="center"/>
          </w:tcPr>
          <w:p>
            <w:pPr>
              <w:pStyle w:val="13"/>
            </w:pPr>
            <w:r>
              <w:t>农村综合改革项目办法</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委托中介机构完成财政资金 预算评审、决算审查、绩效评价项目付费标准</w:t>
            </w:r>
          </w:p>
          <w:p>
            <w:pPr>
              <w:pStyle w:val="13"/>
            </w:pPr>
          </w:p>
        </w:tc>
        <w:tc>
          <w:tcPr>
            <w:tcW w:w="5386" w:type="dxa"/>
            <w:vAlign w:val="center"/>
          </w:tcPr>
          <w:p>
            <w:pPr>
              <w:pStyle w:val="13"/>
            </w:pPr>
            <w:r>
              <w:t xml:space="preserve"> 按照文件中的标准按各项目计算</w:t>
            </w:r>
          </w:p>
          <w:p>
            <w:pPr>
              <w:pStyle w:val="13"/>
            </w:pPr>
          </w:p>
        </w:tc>
        <w:tc>
          <w:tcPr>
            <w:tcW w:w="2268" w:type="dxa"/>
            <w:vAlign w:val="center"/>
          </w:tcPr>
          <w:p>
            <w:pPr>
              <w:pStyle w:val="13"/>
            </w:pPr>
            <w:r>
              <w:t xml:space="preserve"> 按文件规定标准和政府采购中标价执行 </w:t>
            </w:r>
          </w:p>
          <w:p>
            <w:pPr>
              <w:pStyle w:val="13"/>
            </w:pPr>
          </w:p>
        </w:tc>
        <w:tc>
          <w:tcPr>
            <w:tcW w:w="1276" w:type="dxa"/>
            <w:vAlign w:val="center"/>
          </w:tcPr>
          <w:p>
            <w:pPr>
              <w:pStyle w:val="13"/>
            </w:pPr>
            <w:r>
              <w:t xml:space="preserve"> 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项目实际投资情况</w:t>
            </w:r>
          </w:p>
          <w:p>
            <w:pPr>
              <w:pStyle w:val="13"/>
            </w:pPr>
          </w:p>
        </w:tc>
        <w:tc>
          <w:tcPr>
            <w:tcW w:w="5386" w:type="dxa"/>
            <w:vAlign w:val="center"/>
          </w:tcPr>
          <w:p>
            <w:pPr>
              <w:pStyle w:val="13"/>
            </w:pPr>
            <w:r>
              <w:t xml:space="preserve"> 合理审增或审减资金</w:t>
            </w:r>
          </w:p>
          <w:p>
            <w:pPr>
              <w:pStyle w:val="13"/>
            </w:pPr>
          </w:p>
        </w:tc>
        <w:tc>
          <w:tcPr>
            <w:tcW w:w="2268" w:type="dxa"/>
            <w:vAlign w:val="center"/>
          </w:tcPr>
          <w:p>
            <w:pPr>
              <w:pStyle w:val="13"/>
            </w:pPr>
            <w:r>
              <w:t xml:space="preserve"> 有效</w:t>
            </w:r>
          </w:p>
          <w:p>
            <w:pPr>
              <w:pStyle w:val="13"/>
            </w:pPr>
          </w:p>
        </w:tc>
        <w:tc>
          <w:tcPr>
            <w:tcW w:w="1276" w:type="dxa"/>
            <w:vAlign w:val="center"/>
          </w:tcPr>
          <w:p>
            <w:pPr>
              <w:pStyle w:val="13"/>
            </w:pPr>
            <w:r>
              <w:t xml:space="preserve"> 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项目效益</w:t>
            </w:r>
          </w:p>
        </w:tc>
        <w:tc>
          <w:tcPr>
            <w:tcW w:w="5386" w:type="dxa"/>
            <w:vAlign w:val="center"/>
          </w:tcPr>
          <w:p>
            <w:pPr>
              <w:pStyle w:val="13"/>
            </w:pPr>
            <w:r>
              <w:t xml:space="preserve"> 项目实际完成情况</w:t>
            </w:r>
          </w:p>
        </w:tc>
        <w:tc>
          <w:tcPr>
            <w:tcW w:w="2268" w:type="dxa"/>
            <w:vAlign w:val="center"/>
          </w:tcPr>
          <w:p>
            <w:pPr>
              <w:pStyle w:val="13"/>
            </w:pPr>
            <w:r>
              <w:t xml:space="preserve"> 有效</w:t>
            </w:r>
          </w:p>
          <w:p>
            <w:pPr>
              <w:pStyle w:val="13"/>
            </w:pPr>
          </w:p>
        </w:tc>
        <w:tc>
          <w:tcPr>
            <w:tcW w:w="1276" w:type="dxa"/>
            <w:vAlign w:val="center"/>
          </w:tcPr>
          <w:p>
            <w:pPr>
              <w:pStyle w:val="13"/>
            </w:pPr>
            <w:r>
              <w:t xml:space="preserve"> 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改善农村居住环境</w:t>
            </w:r>
          </w:p>
        </w:tc>
        <w:tc>
          <w:tcPr>
            <w:tcW w:w="5386" w:type="dxa"/>
            <w:vAlign w:val="center"/>
          </w:tcPr>
          <w:p>
            <w:pPr>
              <w:pStyle w:val="13"/>
            </w:pPr>
            <w:r>
              <w:t>改善农村居住环境</w:t>
            </w:r>
          </w:p>
        </w:tc>
        <w:tc>
          <w:tcPr>
            <w:tcW w:w="2268" w:type="dxa"/>
            <w:vAlign w:val="center"/>
          </w:tcPr>
          <w:p>
            <w:pPr>
              <w:pStyle w:val="13"/>
            </w:pPr>
            <w:r>
              <w:t>环境对比</w:t>
            </w:r>
          </w:p>
        </w:tc>
        <w:tc>
          <w:tcPr>
            <w:tcW w:w="1276" w:type="dxa"/>
            <w:vAlign w:val="center"/>
          </w:tcPr>
          <w:p>
            <w:pPr>
              <w:pStyle w:val="13"/>
            </w:pPr>
            <w:r>
              <w:t xml:space="preserve"> 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 xml:space="preserve"> 受益对象满意度</w:t>
            </w:r>
          </w:p>
        </w:tc>
        <w:tc>
          <w:tcPr>
            <w:tcW w:w="2268" w:type="dxa"/>
            <w:vAlign w:val="center"/>
          </w:tcPr>
          <w:p>
            <w:pPr>
              <w:pStyle w:val="13"/>
            </w:pPr>
            <w:r>
              <w:t>≥90 %</w:t>
            </w:r>
          </w:p>
        </w:tc>
        <w:tc>
          <w:tcPr>
            <w:tcW w:w="1276" w:type="dxa"/>
            <w:vAlign w:val="center"/>
          </w:tcPr>
          <w:p>
            <w:pPr>
              <w:pStyle w:val="13"/>
            </w:pPr>
            <w:r>
              <w:t xml:space="preserve"> 目标计划值</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8、农业保险保费区级补贴资金绩效目标表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13031325P00880111032G</w:t>
            </w:r>
          </w:p>
        </w:tc>
        <w:tc>
          <w:tcPr>
            <w:tcW w:w="2835" w:type="dxa"/>
            <w:vAlign w:val="center"/>
          </w:tcPr>
          <w:p>
            <w:pPr>
              <w:pStyle w:val="11"/>
            </w:pPr>
            <w:r>
              <w:t>项目名称</w:t>
            </w:r>
          </w:p>
        </w:tc>
        <w:tc>
          <w:tcPr>
            <w:tcW w:w="6095" w:type="dxa"/>
            <w:gridSpan w:val="3"/>
            <w:vAlign w:val="center"/>
          </w:tcPr>
          <w:p>
            <w:pPr>
              <w:pStyle w:val="13"/>
            </w:pPr>
            <w:r>
              <w:t>农业保险保费区级补贴资金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支持农户参加农业保险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1.支持农户参加农业保险</w:t>
            </w:r>
            <w:r>
              <w:tab/>
            </w:r>
            <w:r>
              <w:tab/>
            </w:r>
            <w:r>
              <w:tab/>
            </w:r>
          </w:p>
          <w:p>
            <w:pPr>
              <w:pStyle w:val="13"/>
            </w:pPr>
            <w:r>
              <w:t>2.稳定农业生产，保障农民收入</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监督检查率</w:t>
            </w:r>
          </w:p>
        </w:tc>
        <w:tc>
          <w:tcPr>
            <w:tcW w:w="5386" w:type="dxa"/>
            <w:vAlign w:val="center"/>
          </w:tcPr>
          <w:p>
            <w:pPr>
              <w:pStyle w:val="13"/>
            </w:pPr>
            <w:r>
              <w:t>对参与新区保费补贴资金项目的保险公司进行监督检查的年度覆盖率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中央财政保费补贴配套率</w:t>
            </w:r>
          </w:p>
        </w:tc>
        <w:tc>
          <w:tcPr>
            <w:tcW w:w="5386" w:type="dxa"/>
            <w:vAlign w:val="center"/>
          </w:tcPr>
          <w:p>
            <w:pPr>
              <w:pStyle w:val="13"/>
            </w:pPr>
            <w:r>
              <w:t>按照文件要求，对各种农业保险保费资金区级资金的配套率（根据各级财政补贴资金拨付情况确定）</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保费拨及时率</w:t>
            </w:r>
          </w:p>
        </w:tc>
        <w:tc>
          <w:tcPr>
            <w:tcW w:w="5386" w:type="dxa"/>
            <w:vAlign w:val="center"/>
          </w:tcPr>
          <w:p>
            <w:pPr>
              <w:pStyle w:val="13"/>
            </w:pPr>
            <w:r>
              <w:t>根据保险合同，按照规定时间支付保费的及时性</w:t>
            </w:r>
          </w:p>
        </w:tc>
        <w:tc>
          <w:tcPr>
            <w:tcW w:w="2268" w:type="dxa"/>
            <w:vAlign w:val="center"/>
          </w:tcPr>
          <w:p>
            <w:pPr>
              <w:pStyle w:val="13"/>
            </w:pPr>
            <w:r>
              <w:t>90%</w:t>
            </w:r>
          </w:p>
        </w:tc>
        <w:tc>
          <w:tcPr>
            <w:tcW w:w="1276" w:type="dxa"/>
            <w:vAlign w:val="center"/>
          </w:tcPr>
          <w:p>
            <w:pPr>
              <w:pStyle w:val="13"/>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农业保险保费额</w:t>
            </w:r>
          </w:p>
        </w:tc>
        <w:tc>
          <w:tcPr>
            <w:tcW w:w="5386" w:type="dxa"/>
            <w:vAlign w:val="center"/>
          </w:tcPr>
          <w:p>
            <w:pPr>
              <w:pStyle w:val="13"/>
            </w:pPr>
            <w:r>
              <w:t>2025年农业保险保费项目投入</w:t>
            </w:r>
          </w:p>
        </w:tc>
        <w:tc>
          <w:tcPr>
            <w:tcW w:w="2268" w:type="dxa"/>
            <w:vAlign w:val="center"/>
          </w:tcPr>
          <w:p>
            <w:pPr>
              <w:pStyle w:val="13"/>
            </w:pPr>
            <w:r>
              <w:t>≤40万元</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受灾损失赔付及时率</w:t>
            </w:r>
          </w:p>
        </w:tc>
        <w:tc>
          <w:tcPr>
            <w:tcW w:w="5386" w:type="dxa"/>
            <w:vAlign w:val="center"/>
          </w:tcPr>
          <w:p>
            <w:pPr>
              <w:pStyle w:val="13"/>
            </w:pPr>
            <w:r>
              <w:t>受灾损失赔付及时赔付的及时性，按照保险合同规定时间内赔付到农户账户</w:t>
            </w:r>
          </w:p>
        </w:tc>
        <w:tc>
          <w:tcPr>
            <w:tcW w:w="2268" w:type="dxa"/>
            <w:vAlign w:val="center"/>
          </w:tcPr>
          <w:p>
            <w:pPr>
              <w:pStyle w:val="13"/>
            </w:pPr>
            <w:r>
              <w:t>≥90%</w:t>
            </w:r>
          </w:p>
        </w:tc>
        <w:tc>
          <w:tcPr>
            <w:tcW w:w="1276" w:type="dxa"/>
            <w:vAlign w:val="center"/>
          </w:tcPr>
          <w:p>
            <w:pPr>
              <w:pStyle w:val="13"/>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信息公开率</w:t>
            </w:r>
          </w:p>
        </w:tc>
        <w:tc>
          <w:tcPr>
            <w:tcW w:w="5386" w:type="dxa"/>
            <w:vAlign w:val="center"/>
          </w:tcPr>
          <w:p>
            <w:pPr>
              <w:pStyle w:val="13"/>
            </w:pPr>
            <w:r>
              <w:t>按照农业保险补贴监督政策，对各类保险信息公开比例</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农业保险投保数</w:t>
            </w:r>
          </w:p>
        </w:tc>
        <w:tc>
          <w:tcPr>
            <w:tcW w:w="5386" w:type="dxa"/>
            <w:vAlign w:val="center"/>
          </w:tcPr>
          <w:p>
            <w:pPr>
              <w:pStyle w:val="13"/>
            </w:pPr>
            <w:r>
              <w:t>按照市政府及新区支农惠农政策参与农业保险投保的数量</w:t>
            </w:r>
          </w:p>
        </w:tc>
        <w:tc>
          <w:tcPr>
            <w:tcW w:w="2268" w:type="dxa"/>
            <w:vAlign w:val="center"/>
          </w:tcPr>
          <w:p>
            <w:pPr>
              <w:pStyle w:val="13"/>
            </w:pPr>
            <w:r>
              <w:t>≥100户</w:t>
            </w:r>
          </w:p>
        </w:tc>
        <w:tc>
          <w:tcPr>
            <w:tcW w:w="1276" w:type="dxa"/>
            <w:vAlign w:val="center"/>
          </w:tcPr>
          <w:p>
            <w:pPr>
              <w:pStyle w:val="13"/>
            </w:pPr>
            <w:r>
              <w:t>目标计划值，历史数据，保险合同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受灾损失赔付率</w:t>
            </w:r>
          </w:p>
        </w:tc>
        <w:tc>
          <w:tcPr>
            <w:tcW w:w="5386" w:type="dxa"/>
            <w:vAlign w:val="center"/>
          </w:tcPr>
          <w:p>
            <w:pPr>
              <w:pStyle w:val="13"/>
            </w:pPr>
            <w:r>
              <w:t>农业保险承保公司应完成农业保险赔付</w:t>
            </w:r>
          </w:p>
        </w:tc>
        <w:tc>
          <w:tcPr>
            <w:tcW w:w="2268" w:type="dxa"/>
            <w:vAlign w:val="center"/>
          </w:tcPr>
          <w:p>
            <w:pPr>
              <w:pStyle w:val="13"/>
            </w:pPr>
            <w:r>
              <w:t>≥90%</w:t>
            </w:r>
          </w:p>
        </w:tc>
        <w:tc>
          <w:tcPr>
            <w:tcW w:w="1276" w:type="dxa"/>
            <w:vAlign w:val="center"/>
          </w:tcPr>
          <w:p>
            <w:pPr>
              <w:pStyle w:val="13"/>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合规率</w:t>
            </w:r>
          </w:p>
        </w:tc>
        <w:tc>
          <w:tcPr>
            <w:tcW w:w="5386" w:type="dxa"/>
            <w:vAlign w:val="center"/>
          </w:tcPr>
          <w:p>
            <w:pPr>
              <w:pStyle w:val="13"/>
            </w:pPr>
            <w:r>
              <w:t>按程序对保险公司申报材料进行审核</w:t>
            </w:r>
          </w:p>
        </w:tc>
        <w:tc>
          <w:tcPr>
            <w:tcW w:w="2268" w:type="dxa"/>
            <w:vAlign w:val="center"/>
          </w:tcPr>
          <w:p>
            <w:pPr>
              <w:pStyle w:val="13"/>
            </w:pPr>
            <w:r>
              <w:t>≤90%</w:t>
            </w:r>
          </w:p>
        </w:tc>
        <w:tc>
          <w:tcPr>
            <w:tcW w:w="1276" w:type="dxa"/>
            <w:vAlign w:val="center"/>
          </w:tcPr>
          <w:p>
            <w:pPr>
              <w:pStyle w:val="13"/>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风险保障总额</w:t>
            </w:r>
          </w:p>
        </w:tc>
        <w:tc>
          <w:tcPr>
            <w:tcW w:w="5386" w:type="dxa"/>
            <w:vAlign w:val="center"/>
          </w:tcPr>
          <w:p>
            <w:pPr>
              <w:pStyle w:val="13"/>
            </w:pPr>
            <w:r>
              <w:t>农业保险承保总额</w:t>
            </w:r>
          </w:p>
        </w:tc>
        <w:tc>
          <w:tcPr>
            <w:tcW w:w="2268" w:type="dxa"/>
            <w:vAlign w:val="center"/>
          </w:tcPr>
          <w:p>
            <w:pPr>
              <w:pStyle w:val="13"/>
            </w:pPr>
            <w:r>
              <w:t>≥500万元</w:t>
            </w:r>
          </w:p>
        </w:tc>
        <w:tc>
          <w:tcPr>
            <w:tcW w:w="1276" w:type="dxa"/>
            <w:vAlign w:val="center"/>
          </w:tcPr>
          <w:p>
            <w:pPr>
              <w:pStyle w:val="13"/>
            </w:pPr>
            <w:r>
              <w:t>目标计划值，历史数据，保险合同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农业保险经办机构数</w:t>
            </w:r>
          </w:p>
        </w:tc>
        <w:tc>
          <w:tcPr>
            <w:tcW w:w="5386" w:type="dxa"/>
            <w:vAlign w:val="center"/>
          </w:tcPr>
          <w:p>
            <w:pPr>
              <w:pStyle w:val="13"/>
            </w:pPr>
            <w:r>
              <w:t>在新区开展农业保险工作的机构数</w:t>
            </w:r>
          </w:p>
        </w:tc>
        <w:tc>
          <w:tcPr>
            <w:tcW w:w="2268" w:type="dxa"/>
            <w:vAlign w:val="center"/>
          </w:tcPr>
          <w:p>
            <w:pPr>
              <w:pStyle w:val="13"/>
            </w:pPr>
            <w:r>
              <w:t>≥2个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综合投保增长率</w:t>
            </w:r>
          </w:p>
        </w:tc>
        <w:tc>
          <w:tcPr>
            <w:tcW w:w="5386" w:type="dxa"/>
            <w:vAlign w:val="center"/>
          </w:tcPr>
          <w:p>
            <w:pPr>
              <w:pStyle w:val="13"/>
            </w:pPr>
            <w:r>
              <w:t>新区农户参与农业保险投保的户数的增长率</w:t>
            </w:r>
          </w:p>
        </w:tc>
        <w:tc>
          <w:tcPr>
            <w:tcW w:w="2268" w:type="dxa"/>
            <w:vAlign w:val="center"/>
          </w:tcPr>
          <w:p>
            <w:pPr>
              <w:pStyle w:val="13"/>
            </w:pPr>
            <w:r>
              <w:t>≥5%</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参保农户满意度</w:t>
            </w:r>
          </w:p>
          <w:p>
            <w:pPr>
              <w:pStyle w:val="13"/>
            </w:pPr>
          </w:p>
        </w:tc>
        <w:tc>
          <w:tcPr>
            <w:tcW w:w="5386" w:type="dxa"/>
            <w:vAlign w:val="center"/>
          </w:tcPr>
          <w:p>
            <w:pPr>
              <w:pStyle w:val="13"/>
            </w:pPr>
            <w:r>
              <w:t xml:space="preserve"> 参保农户对新区农业保险的满意度</w:t>
            </w:r>
          </w:p>
          <w:p>
            <w:pPr>
              <w:pStyle w:val="13"/>
            </w:pPr>
          </w:p>
        </w:tc>
        <w:tc>
          <w:tcPr>
            <w:tcW w:w="2268" w:type="dxa"/>
            <w:vAlign w:val="center"/>
          </w:tcPr>
          <w:p>
            <w:pPr>
              <w:pStyle w:val="13"/>
            </w:pPr>
            <w:r>
              <w:t>≥90 %</w:t>
            </w:r>
          </w:p>
        </w:tc>
        <w:tc>
          <w:tcPr>
            <w:tcW w:w="1276" w:type="dxa"/>
            <w:vAlign w:val="center"/>
          </w:tcPr>
          <w:p>
            <w:pPr>
              <w:pStyle w:val="13"/>
            </w:pPr>
            <w:r>
              <w:t xml:space="preserve"> 目标计划值</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9、秦财农[2024]515号-提前下达2025年中央农村综合改革转移支付资金绩效目标表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13031325P00880111166U</w:t>
            </w:r>
          </w:p>
        </w:tc>
        <w:tc>
          <w:tcPr>
            <w:tcW w:w="2835" w:type="dxa"/>
            <w:vAlign w:val="center"/>
          </w:tcPr>
          <w:p>
            <w:pPr>
              <w:pStyle w:val="11"/>
            </w:pPr>
            <w:r>
              <w:t>项目名称</w:t>
            </w:r>
          </w:p>
        </w:tc>
        <w:tc>
          <w:tcPr>
            <w:tcW w:w="6095" w:type="dxa"/>
            <w:gridSpan w:val="3"/>
            <w:vAlign w:val="center"/>
          </w:tcPr>
          <w:p>
            <w:pPr>
              <w:pStyle w:val="13"/>
            </w:pPr>
            <w:r>
              <w:t>秦财农[2024]515号-提前下达2025年中央农村综合改革转移支付资金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支持农村公益事业建设财政奖补项目建设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1.支持农村公益事业建设财政奖补项目建设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开展农村公益事业建设财政奖补项目数量</w:t>
            </w:r>
          </w:p>
        </w:tc>
        <w:tc>
          <w:tcPr>
            <w:tcW w:w="5386" w:type="dxa"/>
            <w:vAlign w:val="center"/>
          </w:tcPr>
          <w:p>
            <w:pPr>
              <w:pStyle w:val="13"/>
            </w:pPr>
            <w:r>
              <w:t>支持农村公益事业建设财政奖补项目数</w:t>
            </w:r>
          </w:p>
        </w:tc>
        <w:tc>
          <w:tcPr>
            <w:tcW w:w="2268" w:type="dxa"/>
            <w:vAlign w:val="center"/>
          </w:tcPr>
          <w:p>
            <w:pPr>
              <w:pStyle w:val="13"/>
            </w:pPr>
            <w:r>
              <w:t>≥4项</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农村公益事业建设工程验收合格率</w:t>
            </w:r>
          </w:p>
        </w:tc>
        <w:tc>
          <w:tcPr>
            <w:tcW w:w="5386" w:type="dxa"/>
            <w:vAlign w:val="center"/>
          </w:tcPr>
          <w:p>
            <w:pPr>
              <w:pStyle w:val="13"/>
            </w:pPr>
            <w:r>
              <w:t>农村公益事业建设工程验收合格率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截至2025年底，年度农村综合改革转移支付资金执行率</w:t>
            </w:r>
          </w:p>
        </w:tc>
        <w:tc>
          <w:tcPr>
            <w:tcW w:w="5386" w:type="dxa"/>
            <w:vAlign w:val="center"/>
          </w:tcPr>
          <w:p>
            <w:pPr>
              <w:pStyle w:val="13"/>
            </w:pPr>
            <w:r>
              <w:t>截至2025年底，年度农村综合改革转移支付资金执行率</w:t>
            </w:r>
          </w:p>
        </w:tc>
        <w:tc>
          <w:tcPr>
            <w:tcW w:w="2268" w:type="dxa"/>
            <w:vAlign w:val="center"/>
          </w:tcPr>
          <w:p>
            <w:pPr>
              <w:pStyle w:val="13"/>
            </w:pPr>
            <w:r>
              <w:t>≥30%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转移支付资金额度</w:t>
            </w:r>
          </w:p>
        </w:tc>
        <w:tc>
          <w:tcPr>
            <w:tcW w:w="5386" w:type="dxa"/>
            <w:vAlign w:val="center"/>
          </w:tcPr>
          <w:p>
            <w:pPr>
              <w:pStyle w:val="13"/>
            </w:pPr>
            <w:r>
              <w:t>转移支付资金支付额度</w:t>
            </w:r>
          </w:p>
        </w:tc>
        <w:tc>
          <w:tcPr>
            <w:tcW w:w="2268" w:type="dxa"/>
            <w:vAlign w:val="center"/>
          </w:tcPr>
          <w:p>
            <w:pPr>
              <w:pStyle w:val="13"/>
            </w:pPr>
            <w:r>
              <w:t>≥30万元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农村人居环境</w:t>
            </w:r>
          </w:p>
        </w:tc>
        <w:tc>
          <w:tcPr>
            <w:tcW w:w="5386" w:type="dxa"/>
            <w:vAlign w:val="center"/>
          </w:tcPr>
          <w:p>
            <w:pPr>
              <w:pStyle w:val="13"/>
            </w:pPr>
            <w:r>
              <w:t>农村人居环境</w:t>
            </w:r>
          </w:p>
        </w:tc>
        <w:tc>
          <w:tcPr>
            <w:tcW w:w="2268" w:type="dxa"/>
            <w:vAlign w:val="center"/>
          </w:tcPr>
          <w:p>
            <w:pPr>
              <w:pStyle w:val="13"/>
            </w:pPr>
            <w:r>
              <w:t>有效改善</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农村公益事业滚动项目库</w:t>
            </w:r>
          </w:p>
        </w:tc>
        <w:tc>
          <w:tcPr>
            <w:tcW w:w="5386" w:type="dxa"/>
            <w:vAlign w:val="center"/>
          </w:tcPr>
          <w:p>
            <w:pPr>
              <w:pStyle w:val="13"/>
            </w:pPr>
            <w:r>
              <w:t>农村公益事业滚动项目库</w:t>
            </w:r>
          </w:p>
        </w:tc>
        <w:tc>
          <w:tcPr>
            <w:tcW w:w="2268" w:type="dxa"/>
            <w:vAlign w:val="center"/>
          </w:tcPr>
          <w:p>
            <w:pPr>
              <w:pStyle w:val="13"/>
            </w:pPr>
            <w:r>
              <w:t>基本建立</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项目区基层干部满意度</w:t>
            </w:r>
          </w:p>
        </w:tc>
        <w:tc>
          <w:tcPr>
            <w:tcW w:w="5386" w:type="dxa"/>
            <w:vAlign w:val="center"/>
          </w:tcPr>
          <w:p>
            <w:pPr>
              <w:pStyle w:val="13"/>
            </w:pPr>
            <w:r>
              <w:t>项目区基层干部满意度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10、秦财农[2024]554号-提前下达2025年省级农村综合改革转移支付资金绩效目标表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13031325P008801111658</w:t>
            </w:r>
          </w:p>
        </w:tc>
        <w:tc>
          <w:tcPr>
            <w:tcW w:w="2835" w:type="dxa"/>
            <w:vAlign w:val="center"/>
          </w:tcPr>
          <w:p>
            <w:pPr>
              <w:pStyle w:val="11"/>
            </w:pPr>
            <w:r>
              <w:t>项目名称</w:t>
            </w:r>
          </w:p>
        </w:tc>
        <w:tc>
          <w:tcPr>
            <w:tcW w:w="6095" w:type="dxa"/>
            <w:gridSpan w:val="3"/>
            <w:vAlign w:val="center"/>
          </w:tcPr>
          <w:p>
            <w:pPr>
              <w:pStyle w:val="13"/>
            </w:pPr>
            <w:r>
              <w:t>秦财农[2024]554号-提前下达2025年省级农村综合改革转移支付资金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57.00</w:t>
            </w:r>
          </w:p>
        </w:tc>
        <w:tc>
          <w:tcPr>
            <w:tcW w:w="2835" w:type="dxa"/>
            <w:vAlign w:val="center"/>
          </w:tcPr>
          <w:p>
            <w:pPr>
              <w:pStyle w:val="11"/>
            </w:pPr>
            <w:r>
              <w:t>其中：财政    资金</w:t>
            </w:r>
          </w:p>
        </w:tc>
        <w:tc>
          <w:tcPr>
            <w:tcW w:w="2551" w:type="dxa"/>
            <w:vAlign w:val="center"/>
          </w:tcPr>
          <w:p>
            <w:pPr>
              <w:pStyle w:val="13"/>
            </w:pPr>
            <w:r>
              <w:t>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支持农村公益事业建设财政奖补项目建设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1.支持农村公益事业建设财政奖补项目建设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开展农村公益事业建设财政奖补项目数量</w:t>
            </w:r>
          </w:p>
        </w:tc>
        <w:tc>
          <w:tcPr>
            <w:tcW w:w="5386" w:type="dxa"/>
            <w:vAlign w:val="center"/>
          </w:tcPr>
          <w:p>
            <w:pPr>
              <w:pStyle w:val="13"/>
            </w:pPr>
            <w:r>
              <w:t>支持农村公益事业建设财政奖补项目数</w:t>
            </w:r>
          </w:p>
        </w:tc>
        <w:tc>
          <w:tcPr>
            <w:tcW w:w="2268" w:type="dxa"/>
            <w:vAlign w:val="center"/>
          </w:tcPr>
          <w:p>
            <w:pPr>
              <w:pStyle w:val="13"/>
            </w:pPr>
            <w:r>
              <w:t>≥4项</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农村公益事业建设工程验收合格率</w:t>
            </w:r>
          </w:p>
        </w:tc>
        <w:tc>
          <w:tcPr>
            <w:tcW w:w="5386" w:type="dxa"/>
            <w:vAlign w:val="center"/>
          </w:tcPr>
          <w:p>
            <w:pPr>
              <w:pStyle w:val="13"/>
            </w:pPr>
            <w:r>
              <w:t>农村公益事业建设工程验收合格率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截至2025年底，年度农村综合改革转移支付资金执行率</w:t>
            </w:r>
          </w:p>
        </w:tc>
        <w:tc>
          <w:tcPr>
            <w:tcW w:w="5386" w:type="dxa"/>
            <w:vAlign w:val="center"/>
          </w:tcPr>
          <w:p>
            <w:pPr>
              <w:pStyle w:val="13"/>
            </w:pPr>
            <w:r>
              <w:t>截至2025年底，年度农村综合改革转移支付资金执行率</w:t>
            </w:r>
          </w:p>
        </w:tc>
        <w:tc>
          <w:tcPr>
            <w:tcW w:w="2268" w:type="dxa"/>
            <w:vAlign w:val="center"/>
          </w:tcPr>
          <w:p>
            <w:pPr>
              <w:pStyle w:val="13"/>
            </w:pPr>
            <w:r>
              <w:t>≥30%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转移支付资金额度</w:t>
            </w:r>
          </w:p>
        </w:tc>
        <w:tc>
          <w:tcPr>
            <w:tcW w:w="5386" w:type="dxa"/>
            <w:vAlign w:val="center"/>
          </w:tcPr>
          <w:p>
            <w:pPr>
              <w:pStyle w:val="13"/>
            </w:pPr>
            <w:r>
              <w:t>转移支付资金支付额度</w:t>
            </w:r>
          </w:p>
        </w:tc>
        <w:tc>
          <w:tcPr>
            <w:tcW w:w="2268" w:type="dxa"/>
            <w:vAlign w:val="center"/>
          </w:tcPr>
          <w:p>
            <w:pPr>
              <w:pStyle w:val="13"/>
            </w:pPr>
            <w:r>
              <w:t>≥30万元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农村人居环境</w:t>
            </w:r>
          </w:p>
        </w:tc>
        <w:tc>
          <w:tcPr>
            <w:tcW w:w="5386" w:type="dxa"/>
            <w:vAlign w:val="center"/>
          </w:tcPr>
          <w:p>
            <w:pPr>
              <w:pStyle w:val="13"/>
            </w:pPr>
            <w:r>
              <w:t>农村人居环境</w:t>
            </w:r>
          </w:p>
        </w:tc>
        <w:tc>
          <w:tcPr>
            <w:tcW w:w="2268" w:type="dxa"/>
            <w:vAlign w:val="center"/>
          </w:tcPr>
          <w:p>
            <w:pPr>
              <w:pStyle w:val="13"/>
            </w:pPr>
            <w:r>
              <w:t>有效改善</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农村公益事业滚动项目库</w:t>
            </w:r>
          </w:p>
        </w:tc>
        <w:tc>
          <w:tcPr>
            <w:tcW w:w="5386" w:type="dxa"/>
            <w:vAlign w:val="center"/>
          </w:tcPr>
          <w:p>
            <w:pPr>
              <w:pStyle w:val="13"/>
            </w:pPr>
            <w:r>
              <w:t>农村公益事业滚动项目库</w:t>
            </w:r>
          </w:p>
        </w:tc>
        <w:tc>
          <w:tcPr>
            <w:tcW w:w="2268" w:type="dxa"/>
            <w:vAlign w:val="center"/>
          </w:tcPr>
          <w:p>
            <w:pPr>
              <w:pStyle w:val="13"/>
            </w:pPr>
            <w:r>
              <w:t>基本建立</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项目区基层干部满意度</w:t>
            </w:r>
          </w:p>
        </w:tc>
        <w:tc>
          <w:tcPr>
            <w:tcW w:w="5386" w:type="dxa"/>
            <w:vAlign w:val="center"/>
          </w:tcPr>
          <w:p>
            <w:pPr>
              <w:pStyle w:val="13"/>
            </w:pPr>
            <w:r>
              <w:t>项目区基层干部满意度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11、秦财企【2024】648号-提前下达2025年省级财政农业保险保费补贴绩效目标表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13031325P00880111164L</w:t>
            </w:r>
          </w:p>
        </w:tc>
        <w:tc>
          <w:tcPr>
            <w:tcW w:w="2835" w:type="dxa"/>
            <w:vAlign w:val="center"/>
          </w:tcPr>
          <w:p>
            <w:pPr>
              <w:pStyle w:val="11"/>
            </w:pPr>
            <w:r>
              <w:t>项目名称</w:t>
            </w:r>
          </w:p>
        </w:tc>
        <w:tc>
          <w:tcPr>
            <w:tcW w:w="6095" w:type="dxa"/>
            <w:gridSpan w:val="3"/>
            <w:vAlign w:val="center"/>
          </w:tcPr>
          <w:p>
            <w:pPr>
              <w:pStyle w:val="13"/>
            </w:pPr>
            <w:r>
              <w:t>秦财企【2024】648号-提前下达2025年省级财政农业保险保费补贴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93.03</w:t>
            </w:r>
          </w:p>
        </w:tc>
        <w:tc>
          <w:tcPr>
            <w:tcW w:w="2835" w:type="dxa"/>
            <w:vAlign w:val="center"/>
          </w:tcPr>
          <w:p>
            <w:pPr>
              <w:pStyle w:val="11"/>
            </w:pPr>
            <w:r>
              <w:t>其中：财政    资金</w:t>
            </w:r>
          </w:p>
        </w:tc>
        <w:tc>
          <w:tcPr>
            <w:tcW w:w="2551" w:type="dxa"/>
            <w:vAlign w:val="center"/>
          </w:tcPr>
          <w:p>
            <w:pPr>
              <w:pStyle w:val="13"/>
            </w:pPr>
            <w:r>
              <w:t>93.03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稳定农业生产，保障农民收入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1.稳定农业生产，保障农民收入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农业保险投保数</w:t>
            </w:r>
          </w:p>
        </w:tc>
        <w:tc>
          <w:tcPr>
            <w:tcW w:w="5386" w:type="dxa"/>
            <w:vAlign w:val="center"/>
          </w:tcPr>
          <w:p>
            <w:pPr>
              <w:pStyle w:val="13"/>
            </w:pPr>
            <w:r>
              <w:t>按照市政府及新区支农惠农政策参与农业保险投保的数量</w:t>
            </w:r>
          </w:p>
        </w:tc>
        <w:tc>
          <w:tcPr>
            <w:tcW w:w="2268" w:type="dxa"/>
            <w:vAlign w:val="center"/>
          </w:tcPr>
          <w:p>
            <w:pPr>
              <w:pStyle w:val="13"/>
            </w:pPr>
            <w:r>
              <w:t>≥100户</w:t>
            </w:r>
          </w:p>
        </w:tc>
        <w:tc>
          <w:tcPr>
            <w:tcW w:w="1276" w:type="dxa"/>
            <w:vAlign w:val="center"/>
          </w:tcPr>
          <w:p>
            <w:pPr>
              <w:pStyle w:val="13"/>
            </w:pPr>
            <w:r>
              <w:t>目标计划值，历史数据，保险合同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受灾损失赔付率</w:t>
            </w:r>
          </w:p>
        </w:tc>
        <w:tc>
          <w:tcPr>
            <w:tcW w:w="5386" w:type="dxa"/>
            <w:vAlign w:val="center"/>
          </w:tcPr>
          <w:p>
            <w:pPr>
              <w:pStyle w:val="13"/>
            </w:pPr>
            <w:r>
              <w:t>农业保险承保公司应完成农业保险赔付</w:t>
            </w:r>
          </w:p>
        </w:tc>
        <w:tc>
          <w:tcPr>
            <w:tcW w:w="2268" w:type="dxa"/>
            <w:vAlign w:val="center"/>
          </w:tcPr>
          <w:p>
            <w:pPr>
              <w:pStyle w:val="13"/>
            </w:pPr>
            <w:r>
              <w:t>≥90%</w:t>
            </w:r>
          </w:p>
        </w:tc>
        <w:tc>
          <w:tcPr>
            <w:tcW w:w="1276" w:type="dxa"/>
            <w:vAlign w:val="center"/>
          </w:tcPr>
          <w:p>
            <w:pPr>
              <w:pStyle w:val="13"/>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保费拨及时率</w:t>
            </w:r>
          </w:p>
        </w:tc>
        <w:tc>
          <w:tcPr>
            <w:tcW w:w="5386" w:type="dxa"/>
            <w:vAlign w:val="center"/>
          </w:tcPr>
          <w:p>
            <w:pPr>
              <w:pStyle w:val="13"/>
            </w:pPr>
            <w:r>
              <w:t>根据保险合同，按照规定时间支付保费的及时性</w:t>
            </w:r>
          </w:p>
        </w:tc>
        <w:tc>
          <w:tcPr>
            <w:tcW w:w="2268" w:type="dxa"/>
            <w:vAlign w:val="center"/>
          </w:tcPr>
          <w:p>
            <w:pPr>
              <w:pStyle w:val="13"/>
            </w:pPr>
            <w:r>
              <w:t>≥90%</w:t>
            </w:r>
          </w:p>
        </w:tc>
        <w:tc>
          <w:tcPr>
            <w:tcW w:w="1276" w:type="dxa"/>
            <w:vAlign w:val="center"/>
          </w:tcPr>
          <w:p>
            <w:pPr>
              <w:pStyle w:val="13"/>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农业保险保费额</w:t>
            </w:r>
          </w:p>
        </w:tc>
        <w:tc>
          <w:tcPr>
            <w:tcW w:w="5386" w:type="dxa"/>
            <w:vAlign w:val="center"/>
          </w:tcPr>
          <w:p>
            <w:pPr>
              <w:pStyle w:val="13"/>
            </w:pPr>
            <w:r>
              <w:t>2025年农业保险保费项目投入</w:t>
            </w:r>
          </w:p>
        </w:tc>
        <w:tc>
          <w:tcPr>
            <w:tcW w:w="2268" w:type="dxa"/>
            <w:vAlign w:val="center"/>
          </w:tcPr>
          <w:p>
            <w:pPr>
              <w:pStyle w:val="13"/>
            </w:pPr>
            <w:r>
              <w:t>≤40万元</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综合投保增长率</w:t>
            </w:r>
          </w:p>
        </w:tc>
        <w:tc>
          <w:tcPr>
            <w:tcW w:w="5386" w:type="dxa"/>
            <w:vAlign w:val="center"/>
          </w:tcPr>
          <w:p>
            <w:pPr>
              <w:pStyle w:val="13"/>
            </w:pPr>
            <w:r>
              <w:t>新区农户参与农业保险投保的户数的增长率</w:t>
            </w:r>
          </w:p>
        </w:tc>
        <w:tc>
          <w:tcPr>
            <w:tcW w:w="2268" w:type="dxa"/>
            <w:vAlign w:val="center"/>
          </w:tcPr>
          <w:p>
            <w:pPr>
              <w:pStyle w:val="13"/>
            </w:pPr>
            <w:r>
              <w:t>≥5%</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农业保险经办机构数</w:t>
            </w:r>
          </w:p>
        </w:tc>
        <w:tc>
          <w:tcPr>
            <w:tcW w:w="5386" w:type="dxa"/>
            <w:vAlign w:val="center"/>
          </w:tcPr>
          <w:p>
            <w:pPr>
              <w:pStyle w:val="13"/>
            </w:pPr>
            <w:r>
              <w:t>在新区开展农业保险工作的机构数</w:t>
            </w:r>
          </w:p>
        </w:tc>
        <w:tc>
          <w:tcPr>
            <w:tcW w:w="2268" w:type="dxa"/>
            <w:vAlign w:val="center"/>
          </w:tcPr>
          <w:p>
            <w:pPr>
              <w:pStyle w:val="13"/>
            </w:pPr>
            <w:r>
              <w:t>≥2个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参保农户满意度</w:t>
            </w:r>
          </w:p>
          <w:p>
            <w:pPr>
              <w:pStyle w:val="13"/>
            </w:pPr>
          </w:p>
        </w:tc>
        <w:tc>
          <w:tcPr>
            <w:tcW w:w="5386" w:type="dxa"/>
            <w:vAlign w:val="center"/>
          </w:tcPr>
          <w:p>
            <w:pPr>
              <w:pStyle w:val="13"/>
            </w:pPr>
            <w:r>
              <w:t xml:space="preserve"> 参保农户对新区农业保险的满意度</w:t>
            </w:r>
          </w:p>
          <w:p>
            <w:pPr>
              <w:pStyle w:val="13"/>
            </w:pPr>
          </w:p>
        </w:tc>
        <w:tc>
          <w:tcPr>
            <w:tcW w:w="2268" w:type="dxa"/>
            <w:vAlign w:val="center"/>
          </w:tcPr>
          <w:p>
            <w:pPr>
              <w:pStyle w:val="13"/>
            </w:pPr>
            <w:r>
              <w:t>≥90 %</w:t>
            </w:r>
          </w:p>
        </w:tc>
        <w:tc>
          <w:tcPr>
            <w:tcW w:w="1276" w:type="dxa"/>
            <w:vAlign w:val="center"/>
          </w:tcPr>
          <w:p>
            <w:pPr>
              <w:pStyle w:val="13"/>
            </w:pPr>
            <w:r>
              <w:t xml:space="preserve"> 目标计划值</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12、秦财企【2024】657号-提前下达2025年中央财政农业保险保费补贴绩效目标表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13031325P008801111631</w:t>
            </w:r>
          </w:p>
        </w:tc>
        <w:tc>
          <w:tcPr>
            <w:tcW w:w="2835" w:type="dxa"/>
            <w:vAlign w:val="center"/>
          </w:tcPr>
          <w:p>
            <w:pPr>
              <w:pStyle w:val="11"/>
            </w:pPr>
            <w:r>
              <w:t>项目名称</w:t>
            </w:r>
          </w:p>
        </w:tc>
        <w:tc>
          <w:tcPr>
            <w:tcW w:w="6095" w:type="dxa"/>
            <w:gridSpan w:val="3"/>
            <w:vAlign w:val="center"/>
          </w:tcPr>
          <w:p>
            <w:pPr>
              <w:pStyle w:val="13"/>
            </w:pPr>
            <w:r>
              <w:t>秦财企【2024】657号-提前下达2025年中央财政农业保险保费补贴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213.00</w:t>
            </w:r>
          </w:p>
        </w:tc>
        <w:tc>
          <w:tcPr>
            <w:tcW w:w="2835" w:type="dxa"/>
            <w:vAlign w:val="center"/>
          </w:tcPr>
          <w:p>
            <w:pPr>
              <w:pStyle w:val="11"/>
            </w:pPr>
            <w:r>
              <w:t>其中：财政    资金</w:t>
            </w:r>
          </w:p>
        </w:tc>
        <w:tc>
          <w:tcPr>
            <w:tcW w:w="2551" w:type="dxa"/>
            <w:vAlign w:val="center"/>
          </w:tcPr>
          <w:p>
            <w:pPr>
              <w:pStyle w:val="13"/>
            </w:pPr>
            <w:r>
              <w:t>213.00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稳定农业生产，保障农民收入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1.稳定农业生产，保障农民收入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农业保险投保数</w:t>
            </w:r>
          </w:p>
        </w:tc>
        <w:tc>
          <w:tcPr>
            <w:tcW w:w="5386" w:type="dxa"/>
            <w:vAlign w:val="center"/>
          </w:tcPr>
          <w:p>
            <w:pPr>
              <w:pStyle w:val="13"/>
            </w:pPr>
            <w:r>
              <w:t>按照市政府及新区支农惠农政策参与农业保险投保的数量</w:t>
            </w:r>
          </w:p>
        </w:tc>
        <w:tc>
          <w:tcPr>
            <w:tcW w:w="2268" w:type="dxa"/>
            <w:vAlign w:val="center"/>
          </w:tcPr>
          <w:p>
            <w:pPr>
              <w:pStyle w:val="13"/>
            </w:pPr>
            <w:r>
              <w:t>≥100户</w:t>
            </w:r>
          </w:p>
        </w:tc>
        <w:tc>
          <w:tcPr>
            <w:tcW w:w="1276" w:type="dxa"/>
            <w:vAlign w:val="center"/>
          </w:tcPr>
          <w:p>
            <w:pPr>
              <w:pStyle w:val="13"/>
            </w:pPr>
            <w:r>
              <w:t>目标计划值，历史数据，保险合同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受灾损失赔付率</w:t>
            </w:r>
          </w:p>
        </w:tc>
        <w:tc>
          <w:tcPr>
            <w:tcW w:w="5386" w:type="dxa"/>
            <w:vAlign w:val="center"/>
          </w:tcPr>
          <w:p>
            <w:pPr>
              <w:pStyle w:val="13"/>
            </w:pPr>
            <w:r>
              <w:t>农业保险承保公司应完成农业保险赔付</w:t>
            </w:r>
          </w:p>
        </w:tc>
        <w:tc>
          <w:tcPr>
            <w:tcW w:w="2268" w:type="dxa"/>
            <w:vAlign w:val="center"/>
          </w:tcPr>
          <w:p>
            <w:pPr>
              <w:pStyle w:val="13"/>
            </w:pPr>
            <w:r>
              <w:t>≥90%</w:t>
            </w:r>
          </w:p>
        </w:tc>
        <w:tc>
          <w:tcPr>
            <w:tcW w:w="1276" w:type="dxa"/>
            <w:vAlign w:val="center"/>
          </w:tcPr>
          <w:p>
            <w:pPr>
              <w:pStyle w:val="13"/>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保费拨及时率</w:t>
            </w:r>
          </w:p>
        </w:tc>
        <w:tc>
          <w:tcPr>
            <w:tcW w:w="5386" w:type="dxa"/>
            <w:vAlign w:val="center"/>
          </w:tcPr>
          <w:p>
            <w:pPr>
              <w:pStyle w:val="13"/>
            </w:pPr>
            <w:r>
              <w:t>根据保险合同，按照规定时间支付保费的及时性</w:t>
            </w:r>
          </w:p>
        </w:tc>
        <w:tc>
          <w:tcPr>
            <w:tcW w:w="2268" w:type="dxa"/>
            <w:vAlign w:val="center"/>
          </w:tcPr>
          <w:p>
            <w:pPr>
              <w:pStyle w:val="13"/>
            </w:pPr>
            <w:r>
              <w:t>≥90%</w:t>
            </w:r>
          </w:p>
        </w:tc>
        <w:tc>
          <w:tcPr>
            <w:tcW w:w="1276" w:type="dxa"/>
            <w:vAlign w:val="center"/>
          </w:tcPr>
          <w:p>
            <w:pPr>
              <w:pStyle w:val="13"/>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农业保险保费额</w:t>
            </w:r>
          </w:p>
        </w:tc>
        <w:tc>
          <w:tcPr>
            <w:tcW w:w="5386" w:type="dxa"/>
            <w:vAlign w:val="center"/>
          </w:tcPr>
          <w:p>
            <w:pPr>
              <w:pStyle w:val="13"/>
            </w:pPr>
            <w:r>
              <w:t>2025年中央农业保险保费项目投入</w:t>
            </w:r>
          </w:p>
        </w:tc>
        <w:tc>
          <w:tcPr>
            <w:tcW w:w="2268" w:type="dxa"/>
            <w:vAlign w:val="center"/>
          </w:tcPr>
          <w:p>
            <w:pPr>
              <w:pStyle w:val="13"/>
            </w:pPr>
            <w:r>
              <w:t>≤213万元</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综合投保增长率</w:t>
            </w:r>
          </w:p>
        </w:tc>
        <w:tc>
          <w:tcPr>
            <w:tcW w:w="5386" w:type="dxa"/>
            <w:vAlign w:val="center"/>
          </w:tcPr>
          <w:p>
            <w:pPr>
              <w:pStyle w:val="13"/>
            </w:pPr>
            <w:r>
              <w:t>新区农户参与农业保险投保的户数的增长率</w:t>
            </w:r>
          </w:p>
        </w:tc>
        <w:tc>
          <w:tcPr>
            <w:tcW w:w="2268" w:type="dxa"/>
            <w:vAlign w:val="center"/>
          </w:tcPr>
          <w:p>
            <w:pPr>
              <w:pStyle w:val="13"/>
            </w:pPr>
            <w:r>
              <w:t>≥5%</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农业保险经办机构数</w:t>
            </w:r>
          </w:p>
        </w:tc>
        <w:tc>
          <w:tcPr>
            <w:tcW w:w="5386" w:type="dxa"/>
            <w:vAlign w:val="center"/>
          </w:tcPr>
          <w:p>
            <w:pPr>
              <w:pStyle w:val="13"/>
            </w:pPr>
            <w:r>
              <w:t>在新区开展农业保险工作的机构数</w:t>
            </w:r>
          </w:p>
        </w:tc>
        <w:tc>
          <w:tcPr>
            <w:tcW w:w="2268" w:type="dxa"/>
            <w:vAlign w:val="center"/>
          </w:tcPr>
          <w:p>
            <w:pPr>
              <w:pStyle w:val="13"/>
            </w:pPr>
            <w:r>
              <w:t>≥2个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参保农户满意度</w:t>
            </w:r>
          </w:p>
          <w:p>
            <w:pPr>
              <w:pStyle w:val="13"/>
            </w:pPr>
          </w:p>
        </w:tc>
        <w:tc>
          <w:tcPr>
            <w:tcW w:w="5386" w:type="dxa"/>
            <w:vAlign w:val="center"/>
          </w:tcPr>
          <w:p>
            <w:pPr>
              <w:pStyle w:val="13"/>
            </w:pPr>
            <w:r>
              <w:t xml:space="preserve"> 参保农户对新区农业保险的满意度</w:t>
            </w:r>
          </w:p>
          <w:p>
            <w:pPr>
              <w:pStyle w:val="13"/>
            </w:pPr>
          </w:p>
        </w:tc>
        <w:tc>
          <w:tcPr>
            <w:tcW w:w="2268" w:type="dxa"/>
            <w:vAlign w:val="center"/>
          </w:tcPr>
          <w:p>
            <w:pPr>
              <w:pStyle w:val="13"/>
            </w:pPr>
            <w:r>
              <w:t>≥90 %</w:t>
            </w:r>
          </w:p>
        </w:tc>
        <w:tc>
          <w:tcPr>
            <w:tcW w:w="1276" w:type="dxa"/>
            <w:vAlign w:val="center"/>
          </w:tcPr>
          <w:p>
            <w:pPr>
              <w:pStyle w:val="13"/>
            </w:pPr>
            <w:r>
              <w:t xml:space="preserve"> 目标计划值</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13、秦财预【2024】540号关于提前下达2025年边境地区转移支付预算的通知绩效目标表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13031325P00880111152H</w:t>
            </w:r>
          </w:p>
        </w:tc>
        <w:tc>
          <w:tcPr>
            <w:tcW w:w="2835" w:type="dxa"/>
            <w:vAlign w:val="center"/>
          </w:tcPr>
          <w:p>
            <w:pPr>
              <w:pStyle w:val="11"/>
            </w:pPr>
            <w:r>
              <w:t>项目名称</w:t>
            </w:r>
          </w:p>
        </w:tc>
        <w:tc>
          <w:tcPr>
            <w:tcW w:w="6095" w:type="dxa"/>
            <w:gridSpan w:val="3"/>
            <w:vAlign w:val="center"/>
          </w:tcPr>
          <w:p>
            <w:pPr>
              <w:pStyle w:val="13"/>
            </w:pPr>
            <w:r>
              <w:t>秦财预【2024】540号关于提前下达2025年边境地区转移支付预算的通知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293.00</w:t>
            </w:r>
          </w:p>
        </w:tc>
        <w:tc>
          <w:tcPr>
            <w:tcW w:w="2835" w:type="dxa"/>
            <w:vAlign w:val="center"/>
          </w:tcPr>
          <w:p>
            <w:pPr>
              <w:pStyle w:val="11"/>
            </w:pPr>
            <w:r>
              <w:t>其中：财政    资金</w:t>
            </w:r>
          </w:p>
        </w:tc>
        <w:tc>
          <w:tcPr>
            <w:tcW w:w="2551" w:type="dxa"/>
            <w:vAlign w:val="center"/>
          </w:tcPr>
          <w:p>
            <w:pPr>
              <w:pStyle w:val="13"/>
            </w:pPr>
            <w:r>
              <w:t>293.00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支持新区农村道路改造项目</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1.支持新区农村道路改造项目</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改造农村道路数量</w:t>
            </w:r>
          </w:p>
        </w:tc>
        <w:tc>
          <w:tcPr>
            <w:tcW w:w="5386" w:type="dxa"/>
            <w:vAlign w:val="center"/>
          </w:tcPr>
          <w:p>
            <w:pPr>
              <w:pStyle w:val="13"/>
            </w:pPr>
            <w:r>
              <w:t>支持不少于1个村道路改造</w:t>
            </w:r>
          </w:p>
        </w:tc>
        <w:tc>
          <w:tcPr>
            <w:tcW w:w="2268" w:type="dxa"/>
            <w:vAlign w:val="center"/>
          </w:tcPr>
          <w:p>
            <w:pPr>
              <w:pStyle w:val="13"/>
            </w:pPr>
            <w:r>
              <w:t>≥1个</w:t>
            </w:r>
          </w:p>
        </w:tc>
        <w:tc>
          <w:tcPr>
            <w:tcW w:w="1276" w:type="dxa"/>
            <w:vAlign w:val="center"/>
          </w:tcPr>
          <w:p>
            <w:pPr>
              <w:pStyle w:val="13"/>
            </w:pPr>
            <w:r>
              <w:t>部门研究决定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工程施工质量</w:t>
            </w:r>
          </w:p>
        </w:tc>
        <w:tc>
          <w:tcPr>
            <w:tcW w:w="5386" w:type="dxa"/>
            <w:vAlign w:val="center"/>
          </w:tcPr>
          <w:p>
            <w:pPr>
              <w:pStyle w:val="13"/>
            </w:pPr>
            <w:r>
              <w:t>工程质量达标，验收合格</w:t>
            </w:r>
          </w:p>
        </w:tc>
        <w:tc>
          <w:tcPr>
            <w:tcW w:w="2268" w:type="dxa"/>
            <w:vAlign w:val="center"/>
          </w:tcPr>
          <w:p>
            <w:pPr>
              <w:pStyle w:val="13"/>
            </w:pPr>
            <w:r>
              <w:t>工程质量达标，验收合格</w:t>
            </w:r>
          </w:p>
        </w:tc>
        <w:tc>
          <w:tcPr>
            <w:tcW w:w="1276" w:type="dxa"/>
            <w:vAlign w:val="center"/>
          </w:tcPr>
          <w:p>
            <w:pPr>
              <w:pStyle w:val="13"/>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项目建设期限</w:t>
            </w:r>
          </w:p>
        </w:tc>
        <w:tc>
          <w:tcPr>
            <w:tcW w:w="5386" w:type="dxa"/>
            <w:vAlign w:val="center"/>
          </w:tcPr>
          <w:p>
            <w:pPr>
              <w:pStyle w:val="13"/>
            </w:pPr>
            <w:r>
              <w:t>合同协议约定</w:t>
            </w:r>
          </w:p>
        </w:tc>
        <w:tc>
          <w:tcPr>
            <w:tcW w:w="2268" w:type="dxa"/>
            <w:vAlign w:val="center"/>
          </w:tcPr>
          <w:p>
            <w:pPr>
              <w:pStyle w:val="13"/>
            </w:pPr>
            <w:r>
              <w:t>结合实际条件约定时间</w:t>
            </w:r>
          </w:p>
        </w:tc>
        <w:tc>
          <w:tcPr>
            <w:tcW w:w="1276" w:type="dxa"/>
            <w:vAlign w:val="center"/>
          </w:tcPr>
          <w:p>
            <w:pPr>
              <w:pStyle w:val="13"/>
            </w:pPr>
            <w:r>
              <w:t>项目实际完工时间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按照项目复审结算执行</w:t>
            </w:r>
          </w:p>
        </w:tc>
        <w:tc>
          <w:tcPr>
            <w:tcW w:w="2268" w:type="dxa"/>
            <w:vAlign w:val="center"/>
          </w:tcPr>
          <w:p>
            <w:pPr>
              <w:pStyle w:val="13"/>
            </w:pPr>
            <w:r>
              <w:t>复审结算</w:t>
            </w:r>
          </w:p>
        </w:tc>
        <w:tc>
          <w:tcPr>
            <w:tcW w:w="1276" w:type="dxa"/>
            <w:vAlign w:val="center"/>
          </w:tcPr>
          <w:p>
            <w:pPr>
              <w:pStyle w:val="13"/>
            </w:pPr>
            <w:r>
              <w:t>工程结算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提高周边村民出行便利</w:t>
            </w:r>
          </w:p>
        </w:tc>
        <w:tc>
          <w:tcPr>
            <w:tcW w:w="5386" w:type="dxa"/>
            <w:vAlign w:val="center"/>
          </w:tcPr>
          <w:p>
            <w:pPr>
              <w:pStyle w:val="13"/>
            </w:pPr>
            <w:r>
              <w:t>提高周边村民出行便利</w:t>
            </w:r>
          </w:p>
        </w:tc>
        <w:tc>
          <w:tcPr>
            <w:tcW w:w="2268" w:type="dxa"/>
            <w:vAlign w:val="center"/>
          </w:tcPr>
          <w:p>
            <w:pPr>
              <w:pStyle w:val="13"/>
            </w:pPr>
            <w:r>
              <w:t>提高周边村民出行便利</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经济效益增加值</w:t>
            </w:r>
          </w:p>
        </w:tc>
        <w:tc>
          <w:tcPr>
            <w:tcW w:w="5386" w:type="dxa"/>
            <w:vAlign w:val="center"/>
          </w:tcPr>
          <w:p>
            <w:pPr>
              <w:pStyle w:val="13"/>
            </w:pPr>
            <w:r>
              <w:t>通过项目开展对经济效益提升值</w:t>
            </w:r>
          </w:p>
        </w:tc>
        <w:tc>
          <w:tcPr>
            <w:tcW w:w="2268" w:type="dxa"/>
            <w:vAlign w:val="center"/>
          </w:tcPr>
          <w:p>
            <w:pPr>
              <w:pStyle w:val="13"/>
            </w:pPr>
            <w:r>
              <w:t>促进村民经济提升</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乡村道路持续使用年限</w:t>
            </w:r>
          </w:p>
        </w:tc>
        <w:tc>
          <w:tcPr>
            <w:tcW w:w="5386" w:type="dxa"/>
            <w:vAlign w:val="center"/>
          </w:tcPr>
          <w:p>
            <w:pPr>
              <w:pStyle w:val="13"/>
            </w:pPr>
            <w:r>
              <w:t>乡村道路持续使用年限</w:t>
            </w:r>
          </w:p>
        </w:tc>
        <w:tc>
          <w:tcPr>
            <w:tcW w:w="2268" w:type="dxa"/>
            <w:vAlign w:val="center"/>
          </w:tcPr>
          <w:p>
            <w:pPr>
              <w:pStyle w:val="13"/>
            </w:pPr>
            <w:r>
              <w:t>≥10</w:t>
            </w:r>
          </w:p>
        </w:tc>
        <w:tc>
          <w:tcPr>
            <w:tcW w:w="1276" w:type="dxa"/>
            <w:vAlign w:val="center"/>
          </w:tcPr>
          <w:p>
            <w:pPr>
              <w:pStyle w:val="13"/>
            </w:pPr>
            <w:r>
              <w:t>设计年限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318秦皇岛北戴河新区财政局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1173.19</w:t>
            </w:r>
          </w:p>
        </w:tc>
        <w:tc>
          <w:tcPr>
            <w:tcW w:w="964" w:type="dxa"/>
            <w:vAlign w:val="center"/>
          </w:tcPr>
          <w:p>
            <w:pPr>
              <w:pStyle w:val="16"/>
            </w:pPr>
            <w:r>
              <w:t>1173.19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1173.19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秦皇岛北戴河新区财政局本级小计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1173.19</w:t>
            </w:r>
          </w:p>
        </w:tc>
        <w:tc>
          <w:tcPr>
            <w:tcW w:w="964" w:type="dxa"/>
            <w:vAlign w:val="center"/>
          </w:tcPr>
          <w:p>
            <w:pPr>
              <w:pStyle w:val="16"/>
            </w:pPr>
            <w:r>
              <w:t>1173.19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1173.19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21.45</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次</w:t>
            </w:r>
          </w:p>
        </w:tc>
        <w:tc>
          <w:tcPr>
            <w:tcW w:w="850" w:type="dxa"/>
            <w:vAlign w:val="center"/>
          </w:tcPr>
          <w:p>
            <w:pPr>
              <w:pStyle w:val="12"/>
            </w:pPr>
            <w:r>
              <w:t>2</w:t>
            </w:r>
          </w:p>
        </w:tc>
        <w:tc>
          <w:tcPr>
            <w:tcW w:w="850" w:type="dxa"/>
            <w:vAlign w:val="center"/>
          </w:tcPr>
          <w:p>
            <w:pPr>
              <w:pStyle w:val="12"/>
            </w:pPr>
            <w:r>
              <w:t>1.51</w:t>
            </w:r>
          </w:p>
        </w:tc>
        <w:tc>
          <w:tcPr>
            <w:tcW w:w="964" w:type="dxa"/>
            <w:vAlign w:val="center"/>
          </w:tcPr>
          <w:p>
            <w:pPr>
              <w:pStyle w:val="12"/>
            </w:pPr>
            <w:r>
              <w:t>3.02</w:t>
            </w:r>
          </w:p>
        </w:tc>
        <w:tc>
          <w:tcPr>
            <w:tcW w:w="964" w:type="dxa"/>
            <w:vAlign w:val="center"/>
          </w:tcPr>
          <w:p>
            <w:pPr>
              <w:pStyle w:val="12"/>
            </w:pPr>
            <w:r>
              <w:t>3.02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21.45</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年度</w:t>
            </w:r>
          </w:p>
        </w:tc>
        <w:tc>
          <w:tcPr>
            <w:tcW w:w="850"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21.45</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次</w:t>
            </w:r>
          </w:p>
        </w:tc>
        <w:tc>
          <w:tcPr>
            <w:tcW w:w="850" w:type="dxa"/>
            <w:vAlign w:val="center"/>
          </w:tcPr>
          <w:p>
            <w:pPr>
              <w:pStyle w:val="12"/>
            </w:pPr>
            <w:r>
              <w:t>15</w:t>
            </w:r>
          </w:p>
        </w:tc>
        <w:tc>
          <w:tcPr>
            <w:tcW w:w="850" w:type="dxa"/>
            <w:vAlign w:val="center"/>
          </w:tcPr>
          <w:p>
            <w:pPr>
              <w:pStyle w:val="12"/>
            </w:pPr>
            <w:r>
              <w:t>0.16</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21.45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4</w:t>
            </w:r>
          </w:p>
        </w:tc>
        <w:tc>
          <w:tcPr>
            <w:tcW w:w="850" w:type="dxa"/>
            <w:vAlign w:val="center"/>
          </w:tcPr>
          <w:p>
            <w:pPr>
              <w:pStyle w:val="12"/>
            </w:pPr>
            <w:r>
              <w:t>0.29</w:t>
            </w:r>
          </w:p>
        </w:tc>
        <w:tc>
          <w:tcPr>
            <w:tcW w:w="964" w:type="dxa"/>
            <w:vAlign w:val="center"/>
          </w:tcPr>
          <w:p>
            <w:pPr>
              <w:pStyle w:val="12"/>
            </w:pPr>
            <w:r>
              <w:t>1.15</w:t>
            </w:r>
          </w:p>
        </w:tc>
        <w:tc>
          <w:tcPr>
            <w:tcW w:w="964" w:type="dxa"/>
            <w:vAlign w:val="center"/>
          </w:tcPr>
          <w:p>
            <w:pPr>
              <w:pStyle w:val="12"/>
            </w:pPr>
            <w:r>
              <w:t>1.15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21.45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1250</w:t>
            </w:r>
          </w:p>
        </w:tc>
        <w:tc>
          <w:tcPr>
            <w:tcW w:w="850" w:type="dxa"/>
            <w:vAlign w:val="center"/>
          </w:tcPr>
          <w:p>
            <w:pPr>
              <w:pStyle w:val="12"/>
            </w:pPr>
            <w:r>
              <w:t>0.00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15.90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0.40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15.90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1.75</w:t>
            </w:r>
          </w:p>
        </w:tc>
        <w:tc>
          <w:tcPr>
            <w:tcW w:w="964" w:type="dxa"/>
            <w:vAlign w:val="center"/>
          </w:tcPr>
          <w:p>
            <w:pPr>
              <w:pStyle w:val="12"/>
            </w:pPr>
            <w:r>
              <w:t>1.75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15.90</w:t>
            </w:r>
          </w:p>
        </w:tc>
        <w:tc>
          <w:tcPr>
            <w:tcW w:w="1134" w:type="dxa"/>
            <w:vAlign w:val="center"/>
          </w:tcPr>
          <w:p>
            <w:pPr>
              <w:pStyle w:val="13"/>
            </w:pPr>
            <w:r>
              <w:t>纸及纸板</w:t>
            </w:r>
          </w:p>
        </w:tc>
        <w:tc>
          <w:tcPr>
            <w:tcW w:w="1134" w:type="dxa"/>
            <w:vAlign w:val="center"/>
          </w:tcPr>
          <w:p>
            <w:pPr>
              <w:pStyle w:val="13"/>
            </w:pPr>
            <w:r>
              <w:t>A07100200</w:t>
            </w:r>
          </w:p>
        </w:tc>
        <w:tc>
          <w:tcPr>
            <w:tcW w:w="709" w:type="dxa"/>
            <w:vAlign w:val="center"/>
          </w:tcPr>
          <w:p>
            <w:pPr>
              <w:pStyle w:val="14"/>
            </w:pPr>
            <w:r>
              <w:t>箱</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1.25</w:t>
            </w:r>
          </w:p>
        </w:tc>
        <w:tc>
          <w:tcPr>
            <w:tcW w:w="964" w:type="dxa"/>
            <w:vAlign w:val="center"/>
          </w:tcPr>
          <w:p>
            <w:pPr>
              <w:pStyle w:val="12"/>
            </w:pPr>
            <w:r>
              <w:t>1.25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15.90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张</w:t>
            </w:r>
          </w:p>
        </w:tc>
        <w:tc>
          <w:tcPr>
            <w:tcW w:w="850" w:type="dxa"/>
            <w:vAlign w:val="center"/>
          </w:tcPr>
          <w:p>
            <w:pPr>
              <w:pStyle w:val="12"/>
            </w:pPr>
            <w:r>
              <w:t>15000</w:t>
            </w:r>
          </w:p>
        </w:tc>
        <w:tc>
          <w:tcPr>
            <w:tcW w:w="850" w:type="dxa"/>
            <w:vAlign w:val="center"/>
          </w:tcPr>
          <w:p>
            <w:pPr>
              <w:pStyle w:val="12"/>
            </w:pPr>
            <w:r>
              <w:t>0.00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15.90</w:t>
            </w:r>
          </w:p>
        </w:tc>
        <w:tc>
          <w:tcPr>
            <w:tcW w:w="1134" w:type="dxa"/>
            <w:vAlign w:val="center"/>
          </w:tcPr>
          <w:p>
            <w:pPr>
              <w:pStyle w:val="13"/>
            </w:pPr>
            <w:r>
              <w:t>邮政服务</w:t>
            </w:r>
          </w:p>
        </w:tc>
        <w:tc>
          <w:tcPr>
            <w:tcW w:w="1134" w:type="dxa"/>
            <w:vAlign w:val="center"/>
          </w:tcPr>
          <w:p>
            <w:pPr>
              <w:pStyle w:val="13"/>
            </w:pPr>
            <w:r>
              <w:t>C23100100</w:t>
            </w:r>
          </w:p>
        </w:tc>
        <w:tc>
          <w:tcPr>
            <w:tcW w:w="709" w:type="dxa"/>
            <w:vAlign w:val="center"/>
          </w:tcPr>
          <w:p>
            <w:pPr>
              <w:pStyle w:val="14"/>
            </w:pPr>
            <w:r>
              <w:t>次</w:t>
            </w:r>
          </w:p>
        </w:tc>
        <w:tc>
          <w:tcPr>
            <w:tcW w:w="850" w:type="dxa"/>
            <w:vAlign w:val="center"/>
          </w:tcPr>
          <w:p>
            <w:pPr>
              <w:pStyle w:val="12"/>
            </w:pPr>
            <w:r>
              <w:t>50</w:t>
            </w:r>
          </w:p>
        </w:tc>
        <w:tc>
          <w:tcPr>
            <w:tcW w:w="850" w:type="dxa"/>
            <w:vAlign w:val="center"/>
          </w:tcPr>
          <w:p>
            <w:pPr>
              <w:pStyle w:val="12"/>
            </w:pPr>
            <w:r>
              <w:t>0.00</w:t>
            </w:r>
          </w:p>
        </w:tc>
        <w:tc>
          <w:tcPr>
            <w:tcW w:w="964" w:type="dxa"/>
            <w:vAlign w:val="center"/>
          </w:tcPr>
          <w:p>
            <w:pPr>
              <w:pStyle w:val="12"/>
            </w:pPr>
            <w:r>
              <w:t>0.08</w:t>
            </w:r>
          </w:p>
        </w:tc>
        <w:tc>
          <w:tcPr>
            <w:tcW w:w="964" w:type="dxa"/>
            <w:vAlign w:val="center"/>
          </w:tcPr>
          <w:p>
            <w:pPr>
              <w:pStyle w:val="12"/>
            </w:pPr>
            <w:r>
              <w:t>0.08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国资监管企业财务会计审计服务费用</w:t>
            </w:r>
          </w:p>
        </w:tc>
        <w:tc>
          <w:tcPr>
            <w:tcW w:w="964" w:type="dxa"/>
            <w:vAlign w:val="center"/>
          </w:tcPr>
          <w:p>
            <w:pPr>
              <w:pStyle w:val="12"/>
            </w:pPr>
            <w:r>
              <w:t>35.00</w:t>
            </w:r>
          </w:p>
        </w:tc>
        <w:tc>
          <w:tcPr>
            <w:tcW w:w="1134" w:type="dxa"/>
            <w:vAlign w:val="center"/>
          </w:tcPr>
          <w:p>
            <w:pPr>
              <w:pStyle w:val="13"/>
            </w:pPr>
            <w:r>
              <w:t>审计服务</w:t>
            </w:r>
          </w:p>
        </w:tc>
        <w:tc>
          <w:tcPr>
            <w:tcW w:w="1134" w:type="dxa"/>
            <w:vAlign w:val="center"/>
          </w:tcPr>
          <w:p>
            <w:pPr>
              <w:pStyle w:val="13"/>
            </w:pPr>
            <w:r>
              <w:t>C23030000</w:t>
            </w:r>
          </w:p>
        </w:tc>
        <w:tc>
          <w:tcPr>
            <w:tcW w:w="709" w:type="dxa"/>
            <w:vAlign w:val="center"/>
          </w:tcPr>
          <w:p>
            <w:pPr>
              <w:pStyle w:val="14"/>
            </w:pPr>
            <w:r>
              <w:t>家</w:t>
            </w:r>
          </w:p>
        </w:tc>
        <w:tc>
          <w:tcPr>
            <w:tcW w:w="850" w:type="dxa"/>
            <w:vAlign w:val="center"/>
          </w:tcPr>
          <w:p>
            <w:pPr>
              <w:pStyle w:val="12"/>
            </w:pPr>
            <w:r>
              <w:t>2</w:t>
            </w:r>
          </w:p>
        </w:tc>
        <w:tc>
          <w:tcPr>
            <w:tcW w:w="850" w:type="dxa"/>
            <w:vAlign w:val="center"/>
          </w:tcPr>
          <w:p>
            <w:pPr>
              <w:pStyle w:val="12"/>
            </w:pPr>
            <w:r>
              <w:t>17.50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财政管理及评审经费</w:t>
            </w:r>
          </w:p>
        </w:tc>
        <w:tc>
          <w:tcPr>
            <w:tcW w:w="964" w:type="dxa"/>
            <w:vAlign w:val="center"/>
          </w:tcPr>
          <w:p>
            <w:pPr>
              <w:pStyle w:val="12"/>
            </w:pPr>
            <w:r>
              <w:t>600.00</w:t>
            </w:r>
          </w:p>
        </w:tc>
        <w:tc>
          <w:tcPr>
            <w:tcW w:w="1134" w:type="dxa"/>
            <w:vAlign w:val="center"/>
          </w:tcPr>
          <w:p>
            <w:pPr>
              <w:pStyle w:val="13"/>
            </w:pPr>
            <w:r>
              <w:t>评审咨询服务</w:t>
            </w:r>
          </w:p>
        </w:tc>
        <w:tc>
          <w:tcPr>
            <w:tcW w:w="1134" w:type="dxa"/>
            <w:vAlign w:val="center"/>
          </w:tcPr>
          <w:p>
            <w:pPr>
              <w:pStyle w:val="13"/>
            </w:pPr>
            <w:r>
              <w:t>C20030900</w:t>
            </w:r>
          </w:p>
        </w:tc>
        <w:tc>
          <w:tcPr>
            <w:tcW w:w="709" w:type="dxa"/>
            <w:vAlign w:val="center"/>
          </w:tcPr>
          <w:p>
            <w:pPr>
              <w:pStyle w:val="14"/>
            </w:pPr>
            <w:r>
              <w:t>项</w:t>
            </w:r>
          </w:p>
        </w:tc>
        <w:tc>
          <w:tcPr>
            <w:tcW w:w="850" w:type="dxa"/>
            <w:vAlign w:val="center"/>
          </w:tcPr>
          <w:p>
            <w:pPr>
              <w:pStyle w:val="12"/>
            </w:pPr>
            <w:r>
              <w:t>100</w:t>
            </w:r>
          </w:p>
        </w:tc>
        <w:tc>
          <w:tcPr>
            <w:tcW w:w="850" w:type="dxa"/>
            <w:vAlign w:val="center"/>
          </w:tcPr>
          <w:p>
            <w:pPr>
              <w:pStyle w:val="12"/>
            </w:pPr>
            <w:r>
              <w:t>5.90</w:t>
            </w:r>
          </w:p>
        </w:tc>
        <w:tc>
          <w:tcPr>
            <w:tcW w:w="964" w:type="dxa"/>
            <w:vAlign w:val="center"/>
          </w:tcPr>
          <w:p>
            <w:pPr>
              <w:pStyle w:val="12"/>
            </w:pPr>
            <w:r>
              <w:t>590.00</w:t>
            </w:r>
          </w:p>
        </w:tc>
        <w:tc>
          <w:tcPr>
            <w:tcW w:w="964" w:type="dxa"/>
            <w:vAlign w:val="center"/>
          </w:tcPr>
          <w:p>
            <w:pPr>
              <w:pStyle w:val="12"/>
            </w:pPr>
            <w:r>
              <w:t>590.00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金融小镇及基金招商运营管理费</w:t>
            </w:r>
          </w:p>
        </w:tc>
        <w:tc>
          <w:tcPr>
            <w:tcW w:w="964" w:type="dxa"/>
            <w:vAlign w:val="center"/>
          </w:tcPr>
          <w:p>
            <w:pPr>
              <w:pStyle w:val="12"/>
            </w:pPr>
            <w:r>
              <w:t>190.00</w:t>
            </w:r>
          </w:p>
        </w:tc>
        <w:tc>
          <w:tcPr>
            <w:tcW w:w="1134" w:type="dxa"/>
            <w:vAlign w:val="center"/>
          </w:tcPr>
          <w:p>
            <w:pPr>
              <w:pStyle w:val="13"/>
            </w:pPr>
            <w:r>
              <w:t>其他金融服务</w:t>
            </w:r>
          </w:p>
        </w:tc>
        <w:tc>
          <w:tcPr>
            <w:tcW w:w="1134" w:type="dxa"/>
            <w:vAlign w:val="center"/>
          </w:tcPr>
          <w:p>
            <w:pPr>
              <w:pStyle w:val="13"/>
            </w:pPr>
            <w:r>
              <w:t>C18990000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125.00</w:t>
            </w:r>
          </w:p>
        </w:tc>
        <w:tc>
          <w:tcPr>
            <w:tcW w:w="964" w:type="dxa"/>
            <w:vAlign w:val="center"/>
          </w:tcPr>
          <w:p>
            <w:pPr>
              <w:pStyle w:val="12"/>
            </w:pPr>
            <w:r>
              <w:t>125.00</w:t>
            </w:r>
          </w:p>
        </w:tc>
        <w:tc>
          <w:tcPr>
            <w:tcW w:w="964" w:type="dxa"/>
            <w:vAlign w:val="center"/>
          </w:tcPr>
          <w:p>
            <w:pPr>
              <w:pStyle w:val="12"/>
            </w:pPr>
            <w:r>
              <w:t>125.00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秦财农[2024]515号-提前下达2025年中央农村综合改革转移支付资金</w:t>
            </w:r>
          </w:p>
        </w:tc>
        <w:tc>
          <w:tcPr>
            <w:tcW w:w="964" w:type="dxa"/>
            <w:vAlign w:val="center"/>
          </w:tcPr>
          <w:p>
            <w:pPr>
              <w:pStyle w:val="12"/>
            </w:pPr>
            <w:r>
              <w:t>60.00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秦财农[2024]554号-提前下达2025年省级农村综合改革转移支付资金</w:t>
            </w:r>
          </w:p>
        </w:tc>
        <w:tc>
          <w:tcPr>
            <w:tcW w:w="964" w:type="dxa"/>
            <w:vAlign w:val="center"/>
          </w:tcPr>
          <w:p>
            <w:pPr>
              <w:pStyle w:val="12"/>
            </w:pPr>
            <w:r>
              <w:t>57.00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57.00</w:t>
            </w:r>
          </w:p>
        </w:tc>
        <w:tc>
          <w:tcPr>
            <w:tcW w:w="964" w:type="dxa"/>
            <w:vAlign w:val="center"/>
          </w:tcPr>
          <w:p>
            <w:pPr>
              <w:pStyle w:val="12"/>
            </w:pPr>
            <w:r>
              <w:t>57.00</w:t>
            </w:r>
          </w:p>
        </w:tc>
        <w:tc>
          <w:tcPr>
            <w:tcW w:w="964" w:type="dxa"/>
            <w:vAlign w:val="center"/>
          </w:tcPr>
          <w:p>
            <w:pPr>
              <w:pStyle w:val="12"/>
            </w:pPr>
            <w:r>
              <w:t>57.00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秦财预【2024】540号关于提前下达2025年边境地区转移支付预算的通知</w:t>
            </w:r>
          </w:p>
        </w:tc>
        <w:tc>
          <w:tcPr>
            <w:tcW w:w="964" w:type="dxa"/>
            <w:vAlign w:val="center"/>
          </w:tcPr>
          <w:p>
            <w:pPr>
              <w:pStyle w:val="12"/>
            </w:pPr>
            <w:r>
              <w:t>293.00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项</w:t>
            </w:r>
          </w:p>
        </w:tc>
        <w:tc>
          <w:tcPr>
            <w:tcW w:w="850" w:type="dxa"/>
            <w:vAlign w:val="center"/>
          </w:tcPr>
          <w:p>
            <w:pPr>
              <w:pStyle w:val="12"/>
            </w:pPr>
            <w:r>
              <w:t>2</w:t>
            </w:r>
          </w:p>
        </w:tc>
        <w:tc>
          <w:tcPr>
            <w:tcW w:w="850" w:type="dxa"/>
            <w:vAlign w:val="center"/>
          </w:tcPr>
          <w:p>
            <w:pPr>
              <w:pStyle w:val="12"/>
            </w:pPr>
            <w:r>
              <w:t>146.50</w:t>
            </w:r>
          </w:p>
        </w:tc>
        <w:tc>
          <w:tcPr>
            <w:tcW w:w="964" w:type="dxa"/>
            <w:vAlign w:val="center"/>
          </w:tcPr>
          <w:p>
            <w:pPr>
              <w:pStyle w:val="12"/>
            </w:pPr>
            <w:r>
              <w:t>293.00</w:t>
            </w:r>
          </w:p>
        </w:tc>
        <w:tc>
          <w:tcPr>
            <w:tcW w:w="964" w:type="dxa"/>
            <w:vAlign w:val="center"/>
          </w:tcPr>
          <w:p>
            <w:pPr>
              <w:pStyle w:val="12"/>
            </w:pPr>
            <w:r>
              <w:t>293.00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秦皇岛北戴河新区财政局（含所属单位）上年末固定资产金额为20.72万元（详见下表）。本年度拟购置固定资产总额为1.20万元，已按要求列入政府采购预算，详见政府采购预算表。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318秦皇岛北戴河新区财政局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144</w:t>
            </w:r>
          </w:p>
        </w:tc>
        <w:tc>
          <w:tcPr>
            <w:tcW w:w="2835" w:type="dxa"/>
            <w:vAlign w:val="center"/>
          </w:tcPr>
          <w:p>
            <w:pPr>
              <w:pStyle w:val="12"/>
            </w:pPr>
            <w:r>
              <w:t>303.79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C0D62"/>
    <w:multiLevelType w:val="singleLevel"/>
    <w:tmpl w:val="C3EC0D6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E7D31C0"/>
    <w:rsid w:val="7C072DE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TotalTime>8</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2025-02-19T10:56:00Z</dcterms:created>
  <dc:creator>XQZW</dc:creator>
  <cp:lastModifiedBy>XQZW</cp:lastModifiedBy>
  <dcterms:modified xsi:type="dcterms:W3CDTF">2025-02-19T06:58:13Z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