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1021.70</w:t>
            </w:r>
          </w:p>
        </w:tc>
        <w:tc>
          <w:tcPr>
            <w:tcW w:w="4535" w:type="dxa"/>
            <w:vAlign w:val="center"/>
          </w:tcPr>
          <w:p>
            <w:pPr>
              <w:pStyle w:val="13"/>
            </w:pPr>
            <w:r>
              <w:t>一、一般公共服务支出</w:t>
            </w:r>
          </w:p>
        </w:tc>
        <w:tc>
          <w:tcPr>
            <w:tcW w:w="2126" w:type="dxa"/>
            <w:vAlign w:val="center"/>
          </w:tcPr>
          <w:p>
            <w:pPr>
              <w:pStyle w:val="12"/>
            </w:pPr>
            <w:r>
              <w:t>865.82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1021.70</w:t>
            </w:r>
          </w:p>
        </w:tc>
        <w:tc>
          <w:tcPr>
            <w:tcW w:w="4535" w:type="dxa"/>
            <w:vAlign w:val="center"/>
          </w:tcPr>
          <w:p>
            <w:pPr>
              <w:pStyle w:val="15"/>
            </w:pPr>
            <w:r>
              <w:t>本年支出合计</w:t>
            </w:r>
          </w:p>
        </w:tc>
        <w:tc>
          <w:tcPr>
            <w:tcW w:w="2126" w:type="dxa"/>
            <w:vAlign w:val="center"/>
          </w:tcPr>
          <w:p>
            <w:pPr>
              <w:pStyle w:val="16"/>
            </w:pPr>
            <w:r>
              <w:t>1021.70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1021.70</w:t>
            </w:r>
          </w:p>
        </w:tc>
        <w:tc>
          <w:tcPr>
            <w:tcW w:w="4535" w:type="dxa"/>
            <w:vAlign w:val="center"/>
          </w:tcPr>
          <w:p>
            <w:pPr>
              <w:pStyle w:val="15"/>
            </w:pPr>
            <w:r>
              <w:t>支出总计</w:t>
            </w:r>
          </w:p>
        </w:tc>
        <w:tc>
          <w:tcPr>
            <w:tcW w:w="2126" w:type="dxa"/>
            <w:vAlign w:val="center"/>
          </w:tcPr>
          <w:p>
            <w:pPr>
              <w:pStyle w:val="16"/>
            </w:pPr>
            <w:r>
              <w:t>1021.70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1021.70</w:t>
            </w:r>
          </w:p>
        </w:tc>
        <w:tc>
          <w:tcPr>
            <w:tcW w:w="1134" w:type="dxa"/>
            <w:vAlign w:val="center"/>
          </w:tcPr>
          <w:p>
            <w:pPr>
              <w:pStyle w:val="16"/>
            </w:pPr>
            <w:r>
              <w:t>1021.70</w:t>
            </w:r>
          </w:p>
        </w:tc>
        <w:tc>
          <w:tcPr>
            <w:tcW w:w="1134" w:type="dxa"/>
            <w:vAlign w:val="center"/>
          </w:tcPr>
          <w:p>
            <w:pPr>
              <w:pStyle w:val="16"/>
            </w:pPr>
            <w:r>
              <w:t>1021.70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865.82</w:t>
            </w:r>
          </w:p>
        </w:tc>
        <w:tc>
          <w:tcPr>
            <w:tcW w:w="1134" w:type="dxa"/>
            <w:vAlign w:val="center"/>
          </w:tcPr>
          <w:p>
            <w:pPr>
              <w:pStyle w:val="12"/>
            </w:pPr>
            <w:r>
              <w:t>865.82</w:t>
            </w:r>
          </w:p>
        </w:tc>
        <w:tc>
          <w:tcPr>
            <w:tcW w:w="1134" w:type="dxa"/>
            <w:vAlign w:val="center"/>
          </w:tcPr>
          <w:p>
            <w:pPr>
              <w:pStyle w:val="12"/>
            </w:pPr>
            <w:r>
              <w:t>865.82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865.82</w:t>
            </w:r>
          </w:p>
        </w:tc>
        <w:tc>
          <w:tcPr>
            <w:tcW w:w="1134" w:type="dxa"/>
            <w:vAlign w:val="center"/>
          </w:tcPr>
          <w:p>
            <w:pPr>
              <w:pStyle w:val="12"/>
            </w:pPr>
            <w:r>
              <w:t>865.82</w:t>
            </w:r>
          </w:p>
        </w:tc>
        <w:tc>
          <w:tcPr>
            <w:tcW w:w="1134" w:type="dxa"/>
            <w:vAlign w:val="center"/>
          </w:tcPr>
          <w:p>
            <w:pPr>
              <w:pStyle w:val="12"/>
            </w:pPr>
            <w:r>
              <w:t>865.82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439.52</w:t>
            </w:r>
          </w:p>
        </w:tc>
        <w:tc>
          <w:tcPr>
            <w:tcW w:w="1134" w:type="dxa"/>
            <w:vAlign w:val="center"/>
          </w:tcPr>
          <w:p>
            <w:pPr>
              <w:pStyle w:val="12"/>
            </w:pPr>
            <w:r>
              <w:t>439.52</w:t>
            </w:r>
          </w:p>
        </w:tc>
        <w:tc>
          <w:tcPr>
            <w:tcW w:w="1134" w:type="dxa"/>
            <w:vAlign w:val="center"/>
          </w:tcPr>
          <w:p>
            <w:pPr>
              <w:pStyle w:val="12"/>
            </w:pPr>
            <w:r>
              <w:t>439.52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409.00</w:t>
            </w:r>
          </w:p>
        </w:tc>
        <w:tc>
          <w:tcPr>
            <w:tcW w:w="1134" w:type="dxa"/>
            <w:vAlign w:val="center"/>
          </w:tcPr>
          <w:p>
            <w:pPr>
              <w:pStyle w:val="12"/>
            </w:pPr>
            <w:r>
              <w:t>409.00</w:t>
            </w:r>
          </w:p>
        </w:tc>
        <w:tc>
          <w:tcPr>
            <w:tcW w:w="1134" w:type="dxa"/>
            <w:vAlign w:val="center"/>
          </w:tcPr>
          <w:p>
            <w:pPr>
              <w:pStyle w:val="12"/>
            </w:pPr>
            <w:r>
              <w:t>409.00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2011399</w:t>
            </w:r>
          </w:p>
        </w:tc>
        <w:tc>
          <w:tcPr>
            <w:tcW w:w="1559" w:type="dxa"/>
            <w:vAlign w:val="center"/>
          </w:tcPr>
          <w:p>
            <w:pPr>
              <w:pStyle w:val="13"/>
            </w:pPr>
            <w:r>
              <w:t>其他商贸事务支出</w:t>
            </w:r>
          </w:p>
        </w:tc>
        <w:tc>
          <w:tcPr>
            <w:tcW w:w="1134" w:type="dxa"/>
            <w:vAlign w:val="center"/>
          </w:tcPr>
          <w:p>
            <w:pPr>
              <w:pStyle w:val="12"/>
            </w:pPr>
            <w:r>
              <w:t>17.30</w:t>
            </w:r>
          </w:p>
        </w:tc>
        <w:tc>
          <w:tcPr>
            <w:tcW w:w="1134" w:type="dxa"/>
            <w:vAlign w:val="center"/>
          </w:tcPr>
          <w:p>
            <w:pPr>
              <w:pStyle w:val="12"/>
            </w:pPr>
            <w:r>
              <w:t>17.30</w:t>
            </w:r>
          </w:p>
        </w:tc>
        <w:tc>
          <w:tcPr>
            <w:tcW w:w="1134" w:type="dxa"/>
            <w:vAlign w:val="center"/>
          </w:tcPr>
          <w:p>
            <w:pPr>
              <w:pStyle w:val="12"/>
            </w:pPr>
            <w:r>
              <w:t>17.30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65.79</w:t>
            </w:r>
          </w:p>
        </w:tc>
        <w:tc>
          <w:tcPr>
            <w:tcW w:w="1134" w:type="dxa"/>
            <w:vAlign w:val="center"/>
          </w:tcPr>
          <w:p>
            <w:pPr>
              <w:pStyle w:val="12"/>
            </w:pPr>
            <w:r>
              <w:t>65.79</w:t>
            </w:r>
          </w:p>
        </w:tc>
        <w:tc>
          <w:tcPr>
            <w:tcW w:w="1134" w:type="dxa"/>
            <w:vAlign w:val="center"/>
          </w:tcPr>
          <w:p>
            <w:pPr>
              <w:pStyle w:val="12"/>
            </w:pPr>
            <w:r>
              <w:t>65.79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65.79</w:t>
            </w:r>
          </w:p>
        </w:tc>
        <w:tc>
          <w:tcPr>
            <w:tcW w:w="1134" w:type="dxa"/>
            <w:vAlign w:val="center"/>
          </w:tcPr>
          <w:p>
            <w:pPr>
              <w:pStyle w:val="12"/>
            </w:pPr>
            <w:r>
              <w:t>65.79</w:t>
            </w:r>
          </w:p>
        </w:tc>
        <w:tc>
          <w:tcPr>
            <w:tcW w:w="1134" w:type="dxa"/>
            <w:vAlign w:val="center"/>
          </w:tcPr>
          <w:p>
            <w:pPr>
              <w:pStyle w:val="12"/>
            </w:pPr>
            <w:r>
              <w:t>65.79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8.01</w:t>
            </w:r>
          </w:p>
        </w:tc>
        <w:tc>
          <w:tcPr>
            <w:tcW w:w="1134" w:type="dxa"/>
            <w:vAlign w:val="center"/>
          </w:tcPr>
          <w:p>
            <w:pPr>
              <w:pStyle w:val="12"/>
            </w:pPr>
            <w:r>
              <w:t>8.01</w:t>
            </w:r>
          </w:p>
        </w:tc>
        <w:tc>
          <w:tcPr>
            <w:tcW w:w="1134" w:type="dxa"/>
            <w:vAlign w:val="center"/>
          </w:tcPr>
          <w:p>
            <w:pPr>
              <w:pStyle w:val="12"/>
            </w:pPr>
            <w:r>
              <w:t>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54.80</w:t>
            </w:r>
          </w:p>
        </w:tc>
        <w:tc>
          <w:tcPr>
            <w:tcW w:w="1134" w:type="dxa"/>
            <w:vAlign w:val="center"/>
          </w:tcPr>
          <w:p>
            <w:pPr>
              <w:pStyle w:val="12"/>
            </w:pPr>
            <w:r>
              <w:t>54.80</w:t>
            </w:r>
          </w:p>
        </w:tc>
        <w:tc>
          <w:tcPr>
            <w:tcW w:w="1134" w:type="dxa"/>
            <w:vAlign w:val="center"/>
          </w:tcPr>
          <w:p>
            <w:pPr>
              <w:pStyle w:val="12"/>
            </w:pPr>
            <w:r>
              <w:t>54.80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45.15</w:t>
            </w:r>
          </w:p>
        </w:tc>
        <w:tc>
          <w:tcPr>
            <w:tcW w:w="1134" w:type="dxa"/>
            <w:vAlign w:val="center"/>
          </w:tcPr>
          <w:p>
            <w:pPr>
              <w:pStyle w:val="12"/>
            </w:pPr>
            <w:r>
              <w:t>45.15</w:t>
            </w:r>
          </w:p>
        </w:tc>
        <w:tc>
          <w:tcPr>
            <w:tcW w:w="1134" w:type="dxa"/>
            <w:vAlign w:val="center"/>
          </w:tcPr>
          <w:p>
            <w:pPr>
              <w:pStyle w:val="12"/>
            </w:pPr>
            <w:r>
              <w:t>45.15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45.15</w:t>
            </w:r>
          </w:p>
        </w:tc>
        <w:tc>
          <w:tcPr>
            <w:tcW w:w="1134" w:type="dxa"/>
            <w:vAlign w:val="center"/>
          </w:tcPr>
          <w:p>
            <w:pPr>
              <w:pStyle w:val="12"/>
            </w:pPr>
            <w:r>
              <w:t>45.15</w:t>
            </w:r>
          </w:p>
        </w:tc>
        <w:tc>
          <w:tcPr>
            <w:tcW w:w="1134" w:type="dxa"/>
            <w:vAlign w:val="center"/>
          </w:tcPr>
          <w:p>
            <w:pPr>
              <w:pStyle w:val="12"/>
            </w:pPr>
            <w:r>
              <w:t>45.15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45.15</w:t>
            </w:r>
          </w:p>
        </w:tc>
        <w:tc>
          <w:tcPr>
            <w:tcW w:w="1134" w:type="dxa"/>
            <w:vAlign w:val="center"/>
          </w:tcPr>
          <w:p>
            <w:pPr>
              <w:pStyle w:val="12"/>
            </w:pPr>
            <w:r>
              <w:t>45.15</w:t>
            </w:r>
          </w:p>
        </w:tc>
        <w:tc>
          <w:tcPr>
            <w:tcW w:w="1134" w:type="dxa"/>
            <w:vAlign w:val="center"/>
          </w:tcPr>
          <w:p>
            <w:pPr>
              <w:pStyle w:val="12"/>
            </w:pPr>
            <w:r>
              <w:t>45.15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44.94</w:t>
            </w:r>
          </w:p>
        </w:tc>
        <w:tc>
          <w:tcPr>
            <w:tcW w:w="1134" w:type="dxa"/>
            <w:vAlign w:val="center"/>
          </w:tcPr>
          <w:p>
            <w:pPr>
              <w:pStyle w:val="12"/>
            </w:pPr>
            <w:r>
              <w:t>44.94</w:t>
            </w:r>
          </w:p>
        </w:tc>
        <w:tc>
          <w:tcPr>
            <w:tcW w:w="1134" w:type="dxa"/>
            <w:vAlign w:val="center"/>
          </w:tcPr>
          <w:p>
            <w:pPr>
              <w:pStyle w:val="12"/>
            </w:pPr>
            <w:r>
              <w:t>44.94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44.94</w:t>
            </w:r>
          </w:p>
        </w:tc>
        <w:tc>
          <w:tcPr>
            <w:tcW w:w="1134" w:type="dxa"/>
            <w:vAlign w:val="center"/>
          </w:tcPr>
          <w:p>
            <w:pPr>
              <w:pStyle w:val="12"/>
            </w:pPr>
            <w:r>
              <w:t>44.94</w:t>
            </w:r>
          </w:p>
        </w:tc>
        <w:tc>
          <w:tcPr>
            <w:tcW w:w="1134" w:type="dxa"/>
            <w:vAlign w:val="center"/>
          </w:tcPr>
          <w:p>
            <w:pPr>
              <w:pStyle w:val="12"/>
            </w:pPr>
            <w:r>
              <w:t>44.94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44.94</w:t>
            </w:r>
          </w:p>
        </w:tc>
        <w:tc>
          <w:tcPr>
            <w:tcW w:w="1134" w:type="dxa"/>
            <w:vAlign w:val="center"/>
          </w:tcPr>
          <w:p>
            <w:pPr>
              <w:pStyle w:val="12"/>
            </w:pPr>
            <w:r>
              <w:t>44.94</w:t>
            </w:r>
          </w:p>
        </w:tc>
        <w:tc>
          <w:tcPr>
            <w:tcW w:w="1134" w:type="dxa"/>
            <w:vAlign w:val="center"/>
          </w:tcPr>
          <w:p>
            <w:pPr>
              <w:pStyle w:val="12"/>
            </w:pPr>
            <w:r>
              <w:t>44.94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1021.70</w:t>
            </w:r>
          </w:p>
        </w:tc>
        <w:tc>
          <w:tcPr>
            <w:tcW w:w="1361" w:type="dxa"/>
            <w:vAlign w:val="center"/>
          </w:tcPr>
          <w:p>
            <w:pPr>
              <w:pStyle w:val="16"/>
            </w:pPr>
            <w:r>
              <w:t>595.40</w:t>
            </w:r>
          </w:p>
        </w:tc>
        <w:tc>
          <w:tcPr>
            <w:tcW w:w="1361" w:type="dxa"/>
            <w:vAlign w:val="center"/>
          </w:tcPr>
          <w:p>
            <w:pPr>
              <w:pStyle w:val="16"/>
            </w:pPr>
            <w:r>
              <w:t>426.30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865.82</w:t>
            </w:r>
          </w:p>
        </w:tc>
        <w:tc>
          <w:tcPr>
            <w:tcW w:w="1361" w:type="dxa"/>
            <w:vAlign w:val="center"/>
          </w:tcPr>
          <w:p>
            <w:pPr>
              <w:pStyle w:val="12"/>
            </w:pPr>
            <w:r>
              <w:t>439.52</w:t>
            </w:r>
          </w:p>
        </w:tc>
        <w:tc>
          <w:tcPr>
            <w:tcW w:w="1361" w:type="dxa"/>
            <w:vAlign w:val="center"/>
          </w:tcPr>
          <w:p>
            <w:pPr>
              <w:pStyle w:val="12"/>
            </w:pPr>
            <w:r>
              <w:t>426.30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865.82</w:t>
            </w:r>
          </w:p>
        </w:tc>
        <w:tc>
          <w:tcPr>
            <w:tcW w:w="1361" w:type="dxa"/>
            <w:vAlign w:val="center"/>
          </w:tcPr>
          <w:p>
            <w:pPr>
              <w:pStyle w:val="12"/>
            </w:pPr>
            <w:r>
              <w:t>439.52</w:t>
            </w:r>
          </w:p>
        </w:tc>
        <w:tc>
          <w:tcPr>
            <w:tcW w:w="1361" w:type="dxa"/>
            <w:vAlign w:val="center"/>
          </w:tcPr>
          <w:p>
            <w:pPr>
              <w:pStyle w:val="12"/>
            </w:pPr>
            <w:r>
              <w:t>426.30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439.52</w:t>
            </w:r>
          </w:p>
        </w:tc>
        <w:tc>
          <w:tcPr>
            <w:tcW w:w="1361" w:type="dxa"/>
            <w:vAlign w:val="center"/>
          </w:tcPr>
          <w:p>
            <w:pPr>
              <w:pStyle w:val="12"/>
            </w:pPr>
            <w:r>
              <w:t>439.52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409.00</w:t>
            </w:r>
          </w:p>
        </w:tc>
        <w:tc>
          <w:tcPr>
            <w:tcW w:w="1361" w:type="dxa"/>
            <w:vAlign w:val="center"/>
          </w:tcPr>
          <w:p>
            <w:pPr>
              <w:pStyle w:val="12"/>
            </w:pPr>
          </w:p>
        </w:tc>
        <w:tc>
          <w:tcPr>
            <w:tcW w:w="1361" w:type="dxa"/>
            <w:vAlign w:val="center"/>
          </w:tcPr>
          <w:p>
            <w:pPr>
              <w:pStyle w:val="12"/>
            </w:pPr>
            <w:r>
              <w:t>409.00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2011399</w:t>
            </w:r>
          </w:p>
        </w:tc>
        <w:tc>
          <w:tcPr>
            <w:tcW w:w="4535" w:type="dxa"/>
            <w:vAlign w:val="center"/>
          </w:tcPr>
          <w:p>
            <w:pPr>
              <w:pStyle w:val="13"/>
            </w:pPr>
            <w:r>
              <w:t>其他商贸事务支出</w:t>
            </w:r>
          </w:p>
        </w:tc>
        <w:tc>
          <w:tcPr>
            <w:tcW w:w="1361" w:type="dxa"/>
            <w:vAlign w:val="center"/>
          </w:tcPr>
          <w:p>
            <w:pPr>
              <w:pStyle w:val="12"/>
            </w:pPr>
            <w:r>
              <w:t>17.30</w:t>
            </w:r>
          </w:p>
        </w:tc>
        <w:tc>
          <w:tcPr>
            <w:tcW w:w="1361" w:type="dxa"/>
            <w:vAlign w:val="center"/>
          </w:tcPr>
          <w:p>
            <w:pPr>
              <w:pStyle w:val="12"/>
            </w:pPr>
          </w:p>
        </w:tc>
        <w:tc>
          <w:tcPr>
            <w:tcW w:w="1361" w:type="dxa"/>
            <w:vAlign w:val="center"/>
          </w:tcPr>
          <w:p>
            <w:pPr>
              <w:pStyle w:val="12"/>
            </w:pPr>
            <w:r>
              <w:t>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65.79</w:t>
            </w:r>
          </w:p>
        </w:tc>
        <w:tc>
          <w:tcPr>
            <w:tcW w:w="1361" w:type="dxa"/>
            <w:vAlign w:val="center"/>
          </w:tcPr>
          <w:p>
            <w:pPr>
              <w:pStyle w:val="12"/>
            </w:pPr>
            <w:r>
              <w:t>65.79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65.79</w:t>
            </w:r>
          </w:p>
        </w:tc>
        <w:tc>
          <w:tcPr>
            <w:tcW w:w="1361" w:type="dxa"/>
            <w:vAlign w:val="center"/>
          </w:tcPr>
          <w:p>
            <w:pPr>
              <w:pStyle w:val="12"/>
            </w:pPr>
            <w:r>
              <w:t>65.79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8.01</w:t>
            </w:r>
          </w:p>
        </w:tc>
        <w:tc>
          <w:tcPr>
            <w:tcW w:w="1361" w:type="dxa"/>
            <w:vAlign w:val="center"/>
          </w:tcPr>
          <w:p>
            <w:pPr>
              <w:pStyle w:val="12"/>
            </w:pPr>
            <w:r>
              <w:t>8.01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54.80</w:t>
            </w:r>
          </w:p>
        </w:tc>
        <w:tc>
          <w:tcPr>
            <w:tcW w:w="1361" w:type="dxa"/>
            <w:vAlign w:val="center"/>
          </w:tcPr>
          <w:p>
            <w:pPr>
              <w:pStyle w:val="12"/>
            </w:pPr>
            <w:r>
              <w:t>54.80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2.99</w:t>
            </w:r>
          </w:p>
        </w:tc>
        <w:tc>
          <w:tcPr>
            <w:tcW w:w="1361" w:type="dxa"/>
            <w:vAlign w:val="center"/>
          </w:tcPr>
          <w:p>
            <w:pPr>
              <w:pStyle w:val="12"/>
            </w:pPr>
            <w:r>
              <w:t>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45.15</w:t>
            </w:r>
          </w:p>
        </w:tc>
        <w:tc>
          <w:tcPr>
            <w:tcW w:w="1361" w:type="dxa"/>
            <w:vAlign w:val="center"/>
          </w:tcPr>
          <w:p>
            <w:pPr>
              <w:pStyle w:val="12"/>
            </w:pPr>
            <w:r>
              <w:t>45.15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45.15</w:t>
            </w:r>
          </w:p>
        </w:tc>
        <w:tc>
          <w:tcPr>
            <w:tcW w:w="1361" w:type="dxa"/>
            <w:vAlign w:val="center"/>
          </w:tcPr>
          <w:p>
            <w:pPr>
              <w:pStyle w:val="12"/>
            </w:pPr>
            <w:r>
              <w:t>45.15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45.15</w:t>
            </w:r>
          </w:p>
        </w:tc>
        <w:tc>
          <w:tcPr>
            <w:tcW w:w="1361" w:type="dxa"/>
            <w:vAlign w:val="center"/>
          </w:tcPr>
          <w:p>
            <w:pPr>
              <w:pStyle w:val="12"/>
            </w:pPr>
            <w:r>
              <w:t>45.15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44.94</w:t>
            </w:r>
          </w:p>
        </w:tc>
        <w:tc>
          <w:tcPr>
            <w:tcW w:w="1361" w:type="dxa"/>
            <w:vAlign w:val="center"/>
          </w:tcPr>
          <w:p>
            <w:pPr>
              <w:pStyle w:val="12"/>
            </w:pPr>
            <w:r>
              <w:t>44.94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44.94</w:t>
            </w:r>
          </w:p>
        </w:tc>
        <w:tc>
          <w:tcPr>
            <w:tcW w:w="1361" w:type="dxa"/>
            <w:vAlign w:val="center"/>
          </w:tcPr>
          <w:p>
            <w:pPr>
              <w:pStyle w:val="12"/>
            </w:pPr>
            <w:r>
              <w:t>44.94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44.94</w:t>
            </w:r>
          </w:p>
        </w:tc>
        <w:tc>
          <w:tcPr>
            <w:tcW w:w="1361" w:type="dxa"/>
            <w:vAlign w:val="center"/>
          </w:tcPr>
          <w:p>
            <w:pPr>
              <w:pStyle w:val="12"/>
            </w:pPr>
            <w:r>
              <w:t>44.94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1021.70</w:t>
            </w:r>
          </w:p>
        </w:tc>
        <w:tc>
          <w:tcPr>
            <w:tcW w:w="3402" w:type="dxa"/>
            <w:vAlign w:val="center"/>
          </w:tcPr>
          <w:p>
            <w:pPr>
              <w:pStyle w:val="13"/>
            </w:pPr>
            <w:r>
              <w:t>一、一般公共服务支出</w:t>
            </w:r>
          </w:p>
        </w:tc>
        <w:tc>
          <w:tcPr>
            <w:tcW w:w="1474" w:type="dxa"/>
            <w:vAlign w:val="center"/>
          </w:tcPr>
          <w:p>
            <w:pPr>
              <w:pStyle w:val="12"/>
            </w:pPr>
            <w:r>
              <w:t>865.82</w:t>
            </w:r>
          </w:p>
        </w:tc>
        <w:tc>
          <w:tcPr>
            <w:tcW w:w="1474" w:type="dxa"/>
            <w:vAlign w:val="center"/>
          </w:tcPr>
          <w:p>
            <w:pPr>
              <w:pStyle w:val="12"/>
            </w:pPr>
            <w:r>
              <w:t>865.82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65.79</w:t>
            </w:r>
          </w:p>
        </w:tc>
        <w:tc>
          <w:tcPr>
            <w:tcW w:w="1474" w:type="dxa"/>
            <w:vAlign w:val="center"/>
          </w:tcPr>
          <w:p>
            <w:pPr>
              <w:pStyle w:val="12"/>
            </w:pPr>
            <w:r>
              <w:t>65.79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45.15</w:t>
            </w:r>
          </w:p>
        </w:tc>
        <w:tc>
          <w:tcPr>
            <w:tcW w:w="1474" w:type="dxa"/>
            <w:vAlign w:val="center"/>
          </w:tcPr>
          <w:p>
            <w:pPr>
              <w:pStyle w:val="12"/>
            </w:pPr>
            <w:r>
              <w:t>45.15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44.94</w:t>
            </w:r>
          </w:p>
        </w:tc>
        <w:tc>
          <w:tcPr>
            <w:tcW w:w="1474" w:type="dxa"/>
            <w:vAlign w:val="center"/>
          </w:tcPr>
          <w:p>
            <w:pPr>
              <w:pStyle w:val="12"/>
            </w:pPr>
            <w:r>
              <w:t>44.94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1021.70</w:t>
            </w:r>
          </w:p>
        </w:tc>
        <w:tc>
          <w:tcPr>
            <w:tcW w:w="3402" w:type="dxa"/>
            <w:vAlign w:val="center"/>
          </w:tcPr>
          <w:p>
            <w:pPr>
              <w:pStyle w:val="15"/>
            </w:pPr>
            <w:r>
              <w:t>本年支出合计</w:t>
            </w:r>
          </w:p>
        </w:tc>
        <w:tc>
          <w:tcPr>
            <w:tcW w:w="1474" w:type="dxa"/>
            <w:vAlign w:val="center"/>
          </w:tcPr>
          <w:p>
            <w:pPr>
              <w:pStyle w:val="16"/>
            </w:pPr>
            <w:r>
              <w:t>1021.70</w:t>
            </w:r>
          </w:p>
        </w:tc>
        <w:tc>
          <w:tcPr>
            <w:tcW w:w="1474" w:type="dxa"/>
            <w:vAlign w:val="center"/>
          </w:tcPr>
          <w:p>
            <w:pPr>
              <w:pStyle w:val="16"/>
            </w:pPr>
            <w:r>
              <w:t>1021.70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1021.70</w:t>
            </w:r>
          </w:p>
        </w:tc>
        <w:tc>
          <w:tcPr>
            <w:tcW w:w="3402" w:type="dxa"/>
            <w:vAlign w:val="center"/>
          </w:tcPr>
          <w:p>
            <w:pPr>
              <w:pStyle w:val="15"/>
            </w:pPr>
            <w:r>
              <w:t>支出总计</w:t>
            </w:r>
          </w:p>
        </w:tc>
        <w:tc>
          <w:tcPr>
            <w:tcW w:w="1474" w:type="dxa"/>
            <w:vAlign w:val="center"/>
          </w:tcPr>
          <w:p>
            <w:pPr>
              <w:pStyle w:val="16"/>
            </w:pPr>
            <w:r>
              <w:t>1021.70</w:t>
            </w:r>
          </w:p>
        </w:tc>
        <w:tc>
          <w:tcPr>
            <w:tcW w:w="1474" w:type="dxa"/>
            <w:vAlign w:val="center"/>
          </w:tcPr>
          <w:p>
            <w:pPr>
              <w:pStyle w:val="16"/>
            </w:pPr>
            <w:r>
              <w:t>1021.70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1021.70</w:t>
            </w:r>
          </w:p>
        </w:tc>
        <w:tc>
          <w:tcPr>
            <w:tcW w:w="2551" w:type="dxa"/>
            <w:vAlign w:val="center"/>
          </w:tcPr>
          <w:p>
            <w:pPr>
              <w:pStyle w:val="16"/>
            </w:pPr>
            <w:r>
              <w:t>595.40</w:t>
            </w:r>
          </w:p>
        </w:tc>
        <w:tc>
          <w:tcPr>
            <w:tcW w:w="2551" w:type="dxa"/>
            <w:vAlign w:val="center"/>
          </w:tcPr>
          <w:p>
            <w:pPr>
              <w:pStyle w:val="16"/>
            </w:pPr>
            <w:r>
              <w:t>426.30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865.82</w:t>
            </w:r>
          </w:p>
        </w:tc>
        <w:tc>
          <w:tcPr>
            <w:tcW w:w="2551" w:type="dxa"/>
            <w:vAlign w:val="center"/>
          </w:tcPr>
          <w:p>
            <w:pPr>
              <w:pStyle w:val="12"/>
            </w:pPr>
            <w:r>
              <w:t>439.52</w:t>
            </w:r>
          </w:p>
        </w:tc>
        <w:tc>
          <w:tcPr>
            <w:tcW w:w="2551" w:type="dxa"/>
            <w:vAlign w:val="center"/>
          </w:tcPr>
          <w:p>
            <w:pPr>
              <w:pStyle w:val="12"/>
            </w:pPr>
            <w:r>
              <w:t>426.30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865.82</w:t>
            </w:r>
          </w:p>
        </w:tc>
        <w:tc>
          <w:tcPr>
            <w:tcW w:w="2551" w:type="dxa"/>
            <w:vAlign w:val="center"/>
          </w:tcPr>
          <w:p>
            <w:pPr>
              <w:pStyle w:val="12"/>
            </w:pPr>
            <w:r>
              <w:t>439.52</w:t>
            </w:r>
          </w:p>
        </w:tc>
        <w:tc>
          <w:tcPr>
            <w:tcW w:w="2551" w:type="dxa"/>
            <w:vAlign w:val="center"/>
          </w:tcPr>
          <w:p>
            <w:pPr>
              <w:pStyle w:val="12"/>
            </w:pPr>
            <w:r>
              <w:t>426.30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439.52</w:t>
            </w:r>
          </w:p>
        </w:tc>
        <w:tc>
          <w:tcPr>
            <w:tcW w:w="2551" w:type="dxa"/>
            <w:vAlign w:val="center"/>
          </w:tcPr>
          <w:p>
            <w:pPr>
              <w:pStyle w:val="12"/>
            </w:pPr>
            <w:r>
              <w:t>439.52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409.00</w:t>
            </w:r>
          </w:p>
        </w:tc>
        <w:tc>
          <w:tcPr>
            <w:tcW w:w="2551" w:type="dxa"/>
            <w:vAlign w:val="center"/>
          </w:tcPr>
          <w:p>
            <w:pPr>
              <w:pStyle w:val="12"/>
            </w:pPr>
          </w:p>
        </w:tc>
        <w:tc>
          <w:tcPr>
            <w:tcW w:w="2551" w:type="dxa"/>
            <w:vAlign w:val="center"/>
          </w:tcPr>
          <w:p>
            <w:pPr>
              <w:pStyle w:val="12"/>
            </w:pPr>
            <w:r>
              <w:t>409.00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2011399</w:t>
            </w:r>
          </w:p>
        </w:tc>
        <w:tc>
          <w:tcPr>
            <w:tcW w:w="4535" w:type="dxa"/>
            <w:vAlign w:val="center"/>
          </w:tcPr>
          <w:p>
            <w:pPr>
              <w:pStyle w:val="13"/>
            </w:pPr>
            <w:r>
              <w:t>其他商贸事务支出</w:t>
            </w:r>
          </w:p>
        </w:tc>
        <w:tc>
          <w:tcPr>
            <w:tcW w:w="2551" w:type="dxa"/>
            <w:vAlign w:val="center"/>
          </w:tcPr>
          <w:p>
            <w:pPr>
              <w:pStyle w:val="12"/>
            </w:pPr>
            <w:r>
              <w:t>17.30</w:t>
            </w:r>
          </w:p>
        </w:tc>
        <w:tc>
          <w:tcPr>
            <w:tcW w:w="2551" w:type="dxa"/>
            <w:vAlign w:val="center"/>
          </w:tcPr>
          <w:p>
            <w:pPr>
              <w:pStyle w:val="12"/>
            </w:pPr>
          </w:p>
        </w:tc>
        <w:tc>
          <w:tcPr>
            <w:tcW w:w="2551" w:type="dxa"/>
            <w:vAlign w:val="center"/>
          </w:tcPr>
          <w:p>
            <w:pPr>
              <w:pStyle w:val="12"/>
            </w:pPr>
            <w: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65.79</w:t>
            </w:r>
          </w:p>
        </w:tc>
        <w:tc>
          <w:tcPr>
            <w:tcW w:w="2551" w:type="dxa"/>
            <w:vAlign w:val="center"/>
          </w:tcPr>
          <w:p>
            <w:pPr>
              <w:pStyle w:val="12"/>
            </w:pPr>
            <w:r>
              <w:t>65.79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65.79</w:t>
            </w:r>
          </w:p>
        </w:tc>
        <w:tc>
          <w:tcPr>
            <w:tcW w:w="2551" w:type="dxa"/>
            <w:vAlign w:val="center"/>
          </w:tcPr>
          <w:p>
            <w:pPr>
              <w:pStyle w:val="12"/>
            </w:pPr>
            <w:r>
              <w:t>65.79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8.01</w:t>
            </w:r>
          </w:p>
        </w:tc>
        <w:tc>
          <w:tcPr>
            <w:tcW w:w="2551" w:type="dxa"/>
            <w:vAlign w:val="center"/>
          </w:tcPr>
          <w:p>
            <w:pPr>
              <w:pStyle w:val="12"/>
            </w:pPr>
            <w:r>
              <w:t>8.01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54.80</w:t>
            </w:r>
          </w:p>
        </w:tc>
        <w:tc>
          <w:tcPr>
            <w:tcW w:w="2551" w:type="dxa"/>
            <w:vAlign w:val="center"/>
          </w:tcPr>
          <w:p>
            <w:pPr>
              <w:pStyle w:val="12"/>
            </w:pPr>
            <w:r>
              <w:t>54.80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45.15</w:t>
            </w:r>
          </w:p>
        </w:tc>
        <w:tc>
          <w:tcPr>
            <w:tcW w:w="2551" w:type="dxa"/>
            <w:vAlign w:val="center"/>
          </w:tcPr>
          <w:p>
            <w:pPr>
              <w:pStyle w:val="12"/>
            </w:pPr>
            <w:r>
              <w:t>45.15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45.15</w:t>
            </w:r>
          </w:p>
        </w:tc>
        <w:tc>
          <w:tcPr>
            <w:tcW w:w="2551" w:type="dxa"/>
            <w:vAlign w:val="center"/>
          </w:tcPr>
          <w:p>
            <w:pPr>
              <w:pStyle w:val="12"/>
            </w:pPr>
            <w:r>
              <w:t>45.15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45.15</w:t>
            </w:r>
          </w:p>
        </w:tc>
        <w:tc>
          <w:tcPr>
            <w:tcW w:w="2551" w:type="dxa"/>
            <w:vAlign w:val="center"/>
          </w:tcPr>
          <w:p>
            <w:pPr>
              <w:pStyle w:val="12"/>
            </w:pPr>
            <w:r>
              <w:t>45.15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44.94</w:t>
            </w:r>
          </w:p>
        </w:tc>
        <w:tc>
          <w:tcPr>
            <w:tcW w:w="2551" w:type="dxa"/>
            <w:vAlign w:val="center"/>
          </w:tcPr>
          <w:p>
            <w:pPr>
              <w:pStyle w:val="12"/>
            </w:pPr>
            <w:r>
              <w:t>44.94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44.94</w:t>
            </w:r>
          </w:p>
        </w:tc>
        <w:tc>
          <w:tcPr>
            <w:tcW w:w="2551" w:type="dxa"/>
            <w:vAlign w:val="center"/>
          </w:tcPr>
          <w:p>
            <w:pPr>
              <w:pStyle w:val="12"/>
            </w:pPr>
            <w:r>
              <w:t>44.94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44.94</w:t>
            </w:r>
          </w:p>
        </w:tc>
        <w:tc>
          <w:tcPr>
            <w:tcW w:w="2551" w:type="dxa"/>
            <w:vAlign w:val="center"/>
          </w:tcPr>
          <w:p>
            <w:pPr>
              <w:pStyle w:val="12"/>
            </w:pPr>
            <w:r>
              <w:t>44.94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595.40</w:t>
            </w:r>
          </w:p>
        </w:tc>
        <w:tc>
          <w:tcPr>
            <w:tcW w:w="2551" w:type="dxa"/>
            <w:vAlign w:val="center"/>
          </w:tcPr>
          <w:p>
            <w:pPr>
              <w:pStyle w:val="16"/>
            </w:pPr>
            <w:r>
              <w:t>557.33</w:t>
            </w:r>
          </w:p>
        </w:tc>
        <w:tc>
          <w:tcPr>
            <w:tcW w:w="2551" w:type="dxa"/>
            <w:vAlign w:val="center"/>
          </w:tcPr>
          <w:p>
            <w:pPr>
              <w:pStyle w:val="16"/>
            </w:pPr>
            <w:r>
              <w:t>38.07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549.60</w:t>
            </w:r>
          </w:p>
        </w:tc>
        <w:tc>
          <w:tcPr>
            <w:tcW w:w="2551" w:type="dxa"/>
            <w:vAlign w:val="center"/>
          </w:tcPr>
          <w:p>
            <w:pPr>
              <w:pStyle w:val="12"/>
            </w:pPr>
            <w:r>
              <w:t>549.60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194.97</w:t>
            </w:r>
          </w:p>
        </w:tc>
        <w:tc>
          <w:tcPr>
            <w:tcW w:w="2551" w:type="dxa"/>
            <w:vAlign w:val="center"/>
          </w:tcPr>
          <w:p>
            <w:pPr>
              <w:pStyle w:val="12"/>
            </w:pPr>
            <w:r>
              <w:t>194.97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34.70</w:t>
            </w:r>
          </w:p>
        </w:tc>
        <w:tc>
          <w:tcPr>
            <w:tcW w:w="2551" w:type="dxa"/>
            <w:vAlign w:val="center"/>
          </w:tcPr>
          <w:p>
            <w:pPr>
              <w:pStyle w:val="12"/>
            </w:pPr>
            <w:r>
              <w:t>34.70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13.53</w:t>
            </w:r>
          </w:p>
        </w:tc>
        <w:tc>
          <w:tcPr>
            <w:tcW w:w="2551" w:type="dxa"/>
            <w:vAlign w:val="center"/>
          </w:tcPr>
          <w:p>
            <w:pPr>
              <w:pStyle w:val="12"/>
            </w:pPr>
            <w:r>
              <w:t>13.53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155.35</w:t>
            </w:r>
          </w:p>
        </w:tc>
        <w:tc>
          <w:tcPr>
            <w:tcW w:w="2551" w:type="dxa"/>
            <w:vAlign w:val="center"/>
          </w:tcPr>
          <w:p>
            <w:pPr>
              <w:pStyle w:val="12"/>
            </w:pPr>
            <w:r>
              <w:t>155.35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54.80</w:t>
            </w:r>
          </w:p>
        </w:tc>
        <w:tc>
          <w:tcPr>
            <w:tcW w:w="2551" w:type="dxa"/>
            <w:vAlign w:val="center"/>
          </w:tcPr>
          <w:p>
            <w:pPr>
              <w:pStyle w:val="12"/>
            </w:pPr>
            <w:r>
              <w:t>54.80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23.41</w:t>
            </w:r>
          </w:p>
        </w:tc>
        <w:tc>
          <w:tcPr>
            <w:tcW w:w="2551" w:type="dxa"/>
            <w:vAlign w:val="center"/>
          </w:tcPr>
          <w:p>
            <w:pPr>
              <w:pStyle w:val="12"/>
            </w:pPr>
            <w:r>
              <w:t>23.41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21.74</w:t>
            </w:r>
          </w:p>
        </w:tc>
        <w:tc>
          <w:tcPr>
            <w:tcW w:w="2551" w:type="dxa"/>
            <w:vAlign w:val="center"/>
          </w:tcPr>
          <w:p>
            <w:pPr>
              <w:pStyle w:val="12"/>
            </w:pPr>
            <w:r>
              <w:t>21.74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44.94</w:t>
            </w:r>
          </w:p>
        </w:tc>
        <w:tc>
          <w:tcPr>
            <w:tcW w:w="2551" w:type="dxa"/>
            <w:vAlign w:val="center"/>
          </w:tcPr>
          <w:p>
            <w:pPr>
              <w:pStyle w:val="12"/>
            </w:pPr>
            <w:r>
              <w:t>44.94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36.79</w:t>
            </w:r>
          </w:p>
        </w:tc>
        <w:tc>
          <w:tcPr>
            <w:tcW w:w="2551" w:type="dxa"/>
            <w:vAlign w:val="center"/>
          </w:tcPr>
          <w:p>
            <w:pPr>
              <w:pStyle w:val="12"/>
            </w:pPr>
          </w:p>
        </w:tc>
        <w:tc>
          <w:tcPr>
            <w:tcW w:w="2551" w:type="dxa"/>
            <w:vAlign w:val="center"/>
          </w:tcPr>
          <w:p>
            <w:pPr>
              <w:pStyle w:val="12"/>
            </w:pPr>
            <w:r>
              <w:t>36.79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9.28</w:t>
            </w:r>
          </w:p>
        </w:tc>
        <w:tc>
          <w:tcPr>
            <w:tcW w:w="2551" w:type="dxa"/>
            <w:vAlign w:val="center"/>
          </w:tcPr>
          <w:p>
            <w:pPr>
              <w:pStyle w:val="12"/>
            </w:pPr>
          </w:p>
        </w:tc>
        <w:tc>
          <w:tcPr>
            <w:tcW w:w="2551" w:type="dxa"/>
            <w:vAlign w:val="center"/>
          </w:tcPr>
          <w:p>
            <w:pPr>
              <w:pStyle w:val="12"/>
            </w:pPr>
            <w:r>
              <w:t>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5.12</w:t>
            </w:r>
          </w:p>
        </w:tc>
        <w:tc>
          <w:tcPr>
            <w:tcW w:w="2551" w:type="dxa"/>
            <w:vAlign w:val="center"/>
          </w:tcPr>
          <w:p>
            <w:pPr>
              <w:pStyle w:val="12"/>
            </w:pPr>
          </w:p>
        </w:tc>
        <w:tc>
          <w:tcPr>
            <w:tcW w:w="2551" w:type="dxa"/>
            <w:vAlign w:val="center"/>
          </w:tcPr>
          <w:p>
            <w:pPr>
              <w:pStyle w:val="12"/>
            </w:pPr>
            <w:r>
              <w:t>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3.24</w:t>
            </w:r>
          </w:p>
        </w:tc>
        <w:tc>
          <w:tcPr>
            <w:tcW w:w="2551" w:type="dxa"/>
            <w:vAlign w:val="center"/>
          </w:tcPr>
          <w:p>
            <w:pPr>
              <w:pStyle w:val="12"/>
            </w:pPr>
          </w:p>
        </w:tc>
        <w:tc>
          <w:tcPr>
            <w:tcW w:w="2551" w:type="dxa"/>
            <w:vAlign w:val="center"/>
          </w:tcPr>
          <w:p>
            <w:pPr>
              <w:pStyle w:val="12"/>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0.38</w:t>
            </w:r>
          </w:p>
        </w:tc>
        <w:tc>
          <w:tcPr>
            <w:tcW w:w="2551" w:type="dxa"/>
            <w:vAlign w:val="center"/>
          </w:tcPr>
          <w:p>
            <w:pPr>
              <w:pStyle w:val="12"/>
            </w:pPr>
          </w:p>
        </w:tc>
        <w:tc>
          <w:tcPr>
            <w:tcW w:w="2551" w:type="dxa"/>
            <w:vAlign w:val="center"/>
          </w:tcPr>
          <w:p>
            <w:pPr>
              <w:pStyle w:val="12"/>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4.32</w:t>
            </w:r>
          </w:p>
        </w:tc>
        <w:tc>
          <w:tcPr>
            <w:tcW w:w="2551" w:type="dxa"/>
            <w:vAlign w:val="center"/>
          </w:tcPr>
          <w:p>
            <w:pPr>
              <w:pStyle w:val="12"/>
            </w:pPr>
          </w:p>
        </w:tc>
        <w:tc>
          <w:tcPr>
            <w:tcW w:w="2551" w:type="dxa"/>
            <w:vAlign w:val="center"/>
          </w:tcPr>
          <w:p>
            <w:pPr>
              <w:pStyle w:val="12"/>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2.62</w:t>
            </w:r>
          </w:p>
        </w:tc>
        <w:tc>
          <w:tcPr>
            <w:tcW w:w="2551" w:type="dxa"/>
            <w:vAlign w:val="center"/>
          </w:tcPr>
          <w:p>
            <w:pPr>
              <w:pStyle w:val="12"/>
            </w:pPr>
          </w:p>
        </w:tc>
        <w:tc>
          <w:tcPr>
            <w:tcW w:w="2551" w:type="dxa"/>
            <w:vAlign w:val="center"/>
          </w:tcPr>
          <w:p>
            <w:pPr>
              <w:pStyle w:val="12"/>
            </w:pPr>
            <w:r>
              <w:t>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7.73</w:t>
            </w:r>
          </w:p>
        </w:tc>
        <w:tc>
          <w:tcPr>
            <w:tcW w:w="2551" w:type="dxa"/>
            <w:vAlign w:val="center"/>
          </w:tcPr>
          <w:p>
            <w:pPr>
              <w:pStyle w:val="12"/>
            </w:pPr>
            <w:r>
              <w:t>7.73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7.73</w:t>
            </w:r>
          </w:p>
        </w:tc>
        <w:tc>
          <w:tcPr>
            <w:tcW w:w="2551" w:type="dxa"/>
            <w:vAlign w:val="center"/>
          </w:tcPr>
          <w:p>
            <w:pPr>
              <w:pStyle w:val="12"/>
            </w:pPr>
            <w:r>
              <w:t>7.73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40.38</w:t>
            </w:r>
          </w:p>
        </w:tc>
        <w:tc>
          <w:tcPr>
            <w:tcW w:w="2381" w:type="dxa"/>
            <w:vAlign w:val="center"/>
          </w:tcPr>
          <w:p>
            <w:pPr>
              <w:pStyle w:val="16"/>
            </w:pPr>
            <w:r>
              <w:t>40.38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40.38</w:t>
            </w:r>
          </w:p>
        </w:tc>
        <w:tc>
          <w:tcPr>
            <w:tcW w:w="2381" w:type="dxa"/>
            <w:vAlign w:val="center"/>
          </w:tcPr>
          <w:p>
            <w:pPr>
              <w:pStyle w:val="12"/>
            </w:pPr>
            <w:r>
              <w:t>40.38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40.38</w:t>
            </w:r>
          </w:p>
        </w:tc>
        <w:tc>
          <w:tcPr>
            <w:tcW w:w="2381" w:type="dxa"/>
            <w:vAlign w:val="center"/>
          </w:tcPr>
          <w:p>
            <w:pPr>
              <w:pStyle w:val="12"/>
            </w:pPr>
            <w:r>
              <w:t>40.38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秦皇岛北戴河新区招商和投资促进局2025年部门预算信息公开情况说明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秦皇岛北戴河新区招商和投资促进局2025年部门预算信息公开情况说明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按照《中华人民共和国预算法》、《地方预决算公开操作规程》和《关于进一步推进预算公开工作的实施意见》规定，现将秦皇岛北戴河新区招商和投资促进局2025年部门预算公开如下：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区有关招商引资战略、政策和相关法律法规，组织拟订全区招商引资战略、中长期规划、方针政策及招商引资工作流程、服务规范，建立健全招商引资综合考核评价体系，报管委会批准后组织实施。</w:t>
      </w:r>
    </w:p>
    <w:p>
      <w:pPr>
        <w:pStyle w:val="18"/>
      </w:pPr>
      <w:r>
        <w:t>（二）制定全区阶段性招商引资工作目标和年度招商工作计划，报管委会批准后组织实施。</w:t>
      </w:r>
    </w:p>
    <w:p>
      <w:pPr>
        <w:pStyle w:val="18"/>
      </w:pPr>
      <w:r>
        <w:t>（三）组织全区招商工作相关会议，统筹全区招商引资工作，会同有关部门做好全区招商项目签约工作。</w:t>
      </w:r>
    </w:p>
    <w:p>
      <w:pPr>
        <w:pStyle w:val="18"/>
      </w:pPr>
      <w:r>
        <w:t>（四）负责统筹全区招商引资活动，做好招商渠道建设及维护工作，开展产业项目招商。</w:t>
      </w:r>
    </w:p>
    <w:p>
      <w:pPr>
        <w:pStyle w:val="18"/>
      </w:pPr>
      <w:r>
        <w:t>（五）负责新区驻外招商联络处及投资之家的建设和管理工作。</w:t>
      </w:r>
    </w:p>
    <w:p>
      <w:pPr>
        <w:pStyle w:val="18"/>
      </w:pPr>
      <w:r>
        <w:t>（六）负责联络来区投资企业及各级涉侨涉外机构，做好招商项目协调服务工作，会同有关部门协调、落实重大招商项目落地条件。</w:t>
      </w:r>
    </w:p>
    <w:p>
      <w:pPr>
        <w:pStyle w:val="18"/>
      </w:pPr>
      <w:r>
        <w:t>（七）负责侨梦苑（侨商产业聚集区）开发建设工作。</w:t>
      </w:r>
    </w:p>
    <w:p>
      <w:pPr>
        <w:pStyle w:val="18"/>
      </w:pPr>
      <w:r>
        <w:t>（八）完成新区工委、管委交办的其他任务。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秦皇岛北戴河新区招商和投资促进局本级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按照预算管理有关规定，目前部门预算的编制实行综合预算管理，即全部收入和支出都反映在预算中。秦皇岛北戴河新区招商和投资促进局机关及所属事业单位的收支包含在部门预算中。</w:t>
      </w:r>
    </w:p>
    <w:p>
      <w:pPr>
        <w:pStyle w:val="19"/>
      </w:pPr>
      <w:r>
        <w:t>1、收入说明</w:t>
      </w:r>
    </w:p>
    <w:p>
      <w:pPr>
        <w:pStyle w:val="19"/>
      </w:pPr>
      <w:r>
        <w:t>反映本部门当年全部收入。2025年预算收入1021.70万元，其中：一般公共预算收入1021.70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招商和投资促进局年度部门预算中支出预算的总体情况。2025年支出预算1021.70万元，其中基本支出595.40万元，包括人员经费557.33万元和日常公用经费38.07万元；项目支出426.30万元，主要为招商日常基本工作使用，以及人员的工资及保险使用。</w:t>
      </w:r>
    </w:p>
    <w:p>
      <w:pPr>
        <w:pStyle w:val="19"/>
        <w:keepNext w:val="0"/>
        <w:keepLines w:val="0"/>
        <w:pageBreakBefore w:val="0"/>
        <w:widowControl/>
        <w:kinsoku/>
        <w:wordWrap/>
        <w:overflowPunct/>
        <w:topLinePunct w:val="0"/>
        <w:autoSpaceDE/>
        <w:autoSpaceDN/>
        <w:bidi w:val="0"/>
        <w:adjustRightInd/>
        <w:snapToGrid/>
        <w:spacing w:line="240" w:lineRule="auto"/>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line="240" w:lineRule="auto"/>
        <w:textAlignment w:val="auto"/>
      </w:pPr>
      <w:r>
        <w:t>2025年预算收支安排1021.70万元，较2024年预算增加37.12万元，其中：基本支出增加20.82万元，主要为主要由于本年度人员增加，导致基本支出增加。项目支出增加16.30万元，主要为主要增加项目为驻京交流学习的住宿费及往返差旅费。</w:t>
      </w:r>
    </w:p>
    <w:p>
      <w:pPr>
        <w:keepNext w:val="0"/>
        <w:keepLines w:val="0"/>
        <w:pageBreakBefore w:val="0"/>
        <w:widowControl/>
        <w:numPr>
          <w:ilvl w:val="0"/>
          <w:numId w:val="1"/>
        </w:numPr>
        <w:kinsoku/>
        <w:wordWrap/>
        <w:overflowPunct/>
        <w:topLinePunct w:val="0"/>
        <w:autoSpaceDE/>
        <w:autoSpaceDN/>
        <w:bidi w:val="0"/>
        <w:adjustRightInd/>
        <w:snapToGrid/>
        <w:spacing w:before="10" w:after="10" w:line="240" w:lineRule="auto"/>
        <w:ind w:firstLine="640"/>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jc w:val="left"/>
        <w:textAlignment w:val="auto"/>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  </w:t>
      </w: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 xml:space="preserve"> 2025年，我部门机关运行经费共计安排38.07万元，主要用于日常维修、办公用房水电费、办公用房取暖费等日常运行支出。</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240" w:lineRule="auto"/>
        <w:textAlignment w:val="auto"/>
      </w:pPr>
      <w:r>
        <w:t>2025年，我部门财政拨款“三公”经费预算安排40.38万元，其中因公出国（境）费0.00万元；公务用车购置及运维费0.00万元（其中：公务用车购置费为0.00万元，公务用车运维费0.00万元)；公务接待费40.38万元。与2024年相比增加0.07万元，增减变化的主要原因是人员增加，接待频次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北戴河新区将全面深入实施招商引资“倍增计划”，力争全年各项任务指标实现翻倍：</w:t>
      </w:r>
    </w:p>
    <w:p>
      <w:pPr>
        <w:pStyle w:val="22"/>
      </w:pPr>
      <w:r>
        <w:t>开展“请进来、走出去”小团组精准招商活动，力争小组团精准招商活动不少于200次；创新招商活动类型，力争举办招商推介活动不少于16次；新增入库重大在谈5000万元以上项目不少于80个；全年实现签约落地项目不少于32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北戴河新区将全面深入实施招商引资“倍增计划”，力争全年各项任务指标实现翻倍：</w:t>
      </w:r>
    </w:p>
    <w:p>
      <w:pPr>
        <w:pStyle w:val="23"/>
      </w:pPr>
      <w:r>
        <w:t>开展“请进来、走出去”小团组精准招商活动，力争小组团精准招商活动不少于200次；创新招商活动类型，力争举办招商推介活动不少于16次；新增入库重大在谈5000万元以上项目不少于80个；全年实现签约落地项目不少于32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在项目招引上实现突破。一是紧盯国内外500强、大型国企央企、业内明星和龙头企业的产业布局和投资动态，做好招大引强。着力引进落地一批标志性、引领性、示范性强的大项目好项目。二是紧紧围绕生命健康和高新技术两条主导产业链和“541”产业体系，深入做好招商引资产业顶层设计，进一步明确细化产业链分类和当前重点招商产业开展招商。三是扎实推进京东项目、阿那亚鱼嘴片区、多晶硅还原炉生产制造项目、微元合成生物、珠海科创储能电站项目、华芢生物TPG凝胶剂型新药生产项目、华恒生物合成生物制造项目等重点项目取得突破性进展，以龙头企业、产业链领头企业带动招商引资。四是锚定京津冀、石家庄、长三角、珠三角、东三省等重点区域，多渠道、多模式开展小团组招商活动，持续强化高质量项目储备。特别围绕京津地区，分产业分区域精准分析、深入项目挖掘资源开展精准式驻点招商。</w:t>
      </w:r>
    </w:p>
    <w:p>
      <w:pPr>
        <w:pStyle w:val="24"/>
      </w:pPr>
      <w:r>
        <w:t>2.在招商方式上实现突破。一是充分发挥基金引导，助力资本招商，特别要用好新区两支产业投资基金，推动产业与金融融合发展，开展“基金招商”“金融招商”“产业链+资本链”“基金+项目+产业园”等融合招商模式。二是深入开展以商招商、以情招商。扩充企业家资料库，坚持用好北京中关村100企业家俱乐部、秦皇岛籍、河北籍高管、燕大校友、华商华侨等优质企业资源。充分利用阿那亚、远洋、石药集团、宏兴文旅、葡萄岛等现有项目企业家拓展招商资源。加强与中科院、燕大、东大等各大高校及各大行业协会、产业联盟、投资机构、研究院所等招商合作联系，吸引社会力量参与招商。三是结合现有可出让地块、厂房、园区，精心包装谋划项目，加快推出开发价值突出的优质地块，利用国家、省级大型活动进行项目发布，定期组织市内外企业，举办专题地块招商活动，以土地和包装项目招商。四是继续深入与实战平台（深圳）招商引资服务有限公司、深圳市康复辅助器具智能技术应用协会、谷川联行、翠湖科创、中关村协同发展基金会等委托招商机构对接，筛选确定更多市场化委托招商机构，实现政府主导方向与市场化精准招商双轮驱动，不断增加对外招商的精准度与接触面。</w:t>
      </w:r>
    </w:p>
    <w:p>
      <w:pPr>
        <w:pStyle w:val="24"/>
      </w:pPr>
      <w:r>
        <w:t>3.在谋划活动上实现突破。一是充分利用国家级、省级以上平台，积极参加中国发展论坛、博鳌论坛、国际服贸会、数博会等高层次论坛、高端峰会、产业大会等大型活动，争取对接招引一批500强、产业龙头和明星企业，推动重大活动的招商提效。近期正在筹备参加重庆生命健康产业发展大会；配合举办第六届康养产业发展论坛等相关活动。二是绕京津冀、长三角、珠三角、东北等重点区域开展系列招商推介活动，并积极谋划开展赴西安、上海、杭州、北京、天津等一系列小组团招商活动。计划近期赴北京和雄安新区举办北戴河生命健康产业创新示范区投资环境推介会。三是利用生命健康和高新技术两支基金平台开展项目路演活动。近期已开展三次项目路演活动，对接生命健康和高新技术类项目10余个。计划明年每季度开展1-2次项目路演活动，开展重点产业领域开展大赛式、竞赛式招商项目路演评选活动。四是围绕生命健康、高新技术等重点产业开展专题招商活动。近期拟于在新区举办国家科技计划成果路演行动专场活动，活动采取线上线下相结合的方式，聚集生命健康产业、电子信息产业领域60个产业项目参加路演。同时，争取到国家药品监督管理局、河北省药品监督管理局支持，拟与河北省生物医学工程学会联合举办医疗器械创新成果转化暨生物材料在IVD中的应用高峰论坛，活动将邀请相关领域院士、专家、学者以及医疗器械生产企业会员代表约100余人参加。</w:t>
      </w:r>
    </w:p>
    <w:p>
      <w:pPr>
        <w:pStyle w:val="24"/>
      </w:pPr>
      <w:r>
        <w:t>4.在配套服务上实现突破。一是围绕重点政策，以“7+6”、省自贸区28条、新区27条等特殊、特色政策为抓手，吸引项目落地。积极争取形成更大的政策优势，特别是“7+6”创新政策清单、支持脐带血库设置或增设、跨境电商线下自提店等突破性政策；收集分析招商重点区域产业转移需求及痛点，制定出台生物医药、医疗器械企业扶持政策，提升新区政策竞争力。二是研究制定项目引入及落地流程。出台项目准入评审机制、项目签约落地服务流程等，进一步提高项目评审效率，优化工作机制，提升精准化服务水平，为招商项目提供全过程全方位服务，聚力推动项目早签约快落地。三是继续加大投资之家建设力度，启动投资之家2.0建设，进一步丰富服务企业功能，搭建基金、银行、社会投资机构与企业交流平台，通过基金导入、设备质押、专利质押、融资租赁等模式, 着力破解企业融资难问题。四是做好项目用地保障工作。积极对接规划、国土等部门深入挖掘土地、厂房等现有可挖掘资源，全面保障项目落地需求。</w:t>
      </w:r>
    </w:p>
    <w:p>
      <w:pPr>
        <w:pStyle w:val="24"/>
        <w:sectPr>
          <w:pgSz w:w="16840" w:h="11900" w:orient="landscape"/>
          <w:pgMar w:top="1361" w:right="1020" w:bottom="1361" w:left="1020" w:header="720" w:footer="720" w:gutter="0"/>
          <w:cols w:space="720" w:num="1"/>
        </w:sectPr>
      </w:pPr>
      <w:r>
        <w:t>5.在队伍建设上实现突破。强化专业招商队伍建设，常态化开展招商干部综合能力提升工程，建立专业招商干部遴选、培养、考核机制。一是开展多方式专业培训。加大培训力度，开展招商培训，采取请进来和走出去相结合，定期与不定期相结合，培训班与考察调研相结合的多方式培训。二是开展队伍人才挂职交流。向合作企业、兄弟单位、中介机构等合作开展人才互换、跟班学习、挂职锻炼，深入掌握投资政策、学习产业经济、了解客商投资需求。三是围绕京津冀、长三角、珠三角、东北等重点区域，根据重点产业和重点企业，结合招商实际落实精准驻点招商。四是进一步完善考核办法，落实硬任务，实施硬考核，通过采取明确考核重点、细化考核指标、规范考核程序、杜绝考核漏洞等措施，切实提高考核工作的可操作性。</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1、选派干部赴国家药监局跟班学习工作经费绩效目标表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13031325P00880510503J</w:t>
            </w:r>
          </w:p>
        </w:tc>
        <w:tc>
          <w:tcPr>
            <w:tcW w:w="2835" w:type="dxa"/>
            <w:vAlign w:val="center"/>
          </w:tcPr>
          <w:p>
            <w:pPr>
              <w:pStyle w:val="11"/>
            </w:pPr>
            <w:r>
              <w:t>项目名称</w:t>
            </w:r>
          </w:p>
        </w:tc>
        <w:tc>
          <w:tcPr>
            <w:tcW w:w="6095" w:type="dxa"/>
            <w:gridSpan w:val="3"/>
            <w:vAlign w:val="center"/>
          </w:tcPr>
          <w:p>
            <w:pPr>
              <w:pStyle w:val="13"/>
            </w:pPr>
            <w:r>
              <w:t>选派干部赴国家药监局跟班学习工作经费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17.30</w:t>
            </w:r>
          </w:p>
        </w:tc>
        <w:tc>
          <w:tcPr>
            <w:tcW w:w="2835" w:type="dxa"/>
            <w:vAlign w:val="center"/>
          </w:tcPr>
          <w:p>
            <w:pPr>
              <w:pStyle w:val="11"/>
            </w:pPr>
            <w:r>
              <w:t>其中：财政    资金</w:t>
            </w:r>
          </w:p>
        </w:tc>
        <w:tc>
          <w:tcPr>
            <w:tcW w:w="2551" w:type="dxa"/>
            <w:vAlign w:val="center"/>
          </w:tcPr>
          <w:p>
            <w:pPr>
              <w:pStyle w:val="13"/>
            </w:pPr>
            <w:r>
              <w:t>17.30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用于张宇鹏同志赴国家药监局跟班学习差旅费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1.按照工管委安排部署，拟选派招商和投资促进局张宇鹏同志赴国家药监局跟班学习，顺利完成工作。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参加跟班学习次数</w:t>
            </w:r>
          </w:p>
        </w:tc>
        <w:tc>
          <w:tcPr>
            <w:tcW w:w="5386" w:type="dxa"/>
            <w:vAlign w:val="center"/>
          </w:tcPr>
          <w:p>
            <w:pPr>
              <w:pStyle w:val="13"/>
            </w:pPr>
            <w:r>
              <w:t>参加跟班学习次数</w:t>
            </w:r>
          </w:p>
        </w:tc>
        <w:tc>
          <w:tcPr>
            <w:tcW w:w="2268" w:type="dxa"/>
            <w:vAlign w:val="center"/>
          </w:tcPr>
          <w:p>
            <w:pPr>
              <w:pStyle w:val="13"/>
            </w:pPr>
            <w:r>
              <w:t>≥1次</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完成学习进度</w:t>
            </w:r>
          </w:p>
        </w:tc>
        <w:tc>
          <w:tcPr>
            <w:tcW w:w="5386" w:type="dxa"/>
            <w:vAlign w:val="center"/>
          </w:tcPr>
          <w:p>
            <w:pPr>
              <w:pStyle w:val="13"/>
            </w:pPr>
            <w:r>
              <w:t>完成学习进度</w:t>
            </w:r>
          </w:p>
        </w:tc>
        <w:tc>
          <w:tcPr>
            <w:tcW w:w="2268" w:type="dxa"/>
            <w:vAlign w:val="center"/>
          </w:tcPr>
          <w:p>
            <w:pPr>
              <w:pStyle w:val="13"/>
            </w:pPr>
            <w:r>
              <w:t>≥90%</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按各项任务时间节点及时完成</w:t>
            </w:r>
          </w:p>
        </w:tc>
        <w:tc>
          <w:tcPr>
            <w:tcW w:w="2268" w:type="dxa"/>
            <w:vAlign w:val="center"/>
          </w:tcPr>
          <w:p>
            <w:pPr>
              <w:pStyle w:val="13"/>
            </w:pPr>
            <w:r>
              <w:t>及时完成</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实际支出金额小于等于预算控制数</w:t>
            </w:r>
          </w:p>
        </w:tc>
        <w:tc>
          <w:tcPr>
            <w:tcW w:w="2268" w:type="dxa"/>
            <w:vAlign w:val="center"/>
          </w:tcPr>
          <w:p>
            <w:pPr>
              <w:pStyle w:val="13"/>
            </w:pPr>
            <w:r>
              <w:t>≤17.3万元</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乘坐公共交通的比率</w:t>
            </w:r>
          </w:p>
        </w:tc>
        <w:tc>
          <w:tcPr>
            <w:tcW w:w="5386" w:type="dxa"/>
            <w:vAlign w:val="center"/>
          </w:tcPr>
          <w:p>
            <w:pPr>
              <w:pStyle w:val="13"/>
            </w:pPr>
            <w:r>
              <w:t>乘坐公共交通的比率</w:t>
            </w:r>
          </w:p>
        </w:tc>
        <w:tc>
          <w:tcPr>
            <w:tcW w:w="2268" w:type="dxa"/>
            <w:vAlign w:val="center"/>
          </w:tcPr>
          <w:p>
            <w:pPr>
              <w:pStyle w:val="13"/>
            </w:pPr>
            <w:r>
              <w:t>≥90%</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学习招商引资顺利程度</w:t>
            </w:r>
          </w:p>
        </w:tc>
        <w:tc>
          <w:tcPr>
            <w:tcW w:w="5386" w:type="dxa"/>
            <w:vAlign w:val="center"/>
          </w:tcPr>
          <w:p>
            <w:pPr>
              <w:pStyle w:val="13"/>
            </w:pPr>
            <w:r>
              <w:t>学习招商引资顺利程度</w:t>
            </w:r>
          </w:p>
        </w:tc>
        <w:tc>
          <w:tcPr>
            <w:tcW w:w="2268" w:type="dxa"/>
            <w:vAlign w:val="center"/>
          </w:tcPr>
          <w:p>
            <w:pPr>
              <w:pStyle w:val="13"/>
            </w:pPr>
            <w:r>
              <w:t>成果有效</w:t>
            </w:r>
          </w:p>
        </w:tc>
        <w:tc>
          <w:tcPr>
            <w:tcW w:w="1276" w:type="dxa"/>
            <w:vAlign w:val="center"/>
          </w:tcPr>
          <w:p>
            <w:pPr>
              <w:pStyle w:val="13"/>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被调查群体对部门工作的满意程度</w:t>
            </w:r>
          </w:p>
        </w:tc>
        <w:tc>
          <w:tcPr>
            <w:tcW w:w="2268" w:type="dxa"/>
            <w:vAlign w:val="center"/>
          </w:tcPr>
          <w:p>
            <w:pPr>
              <w:pStyle w:val="13"/>
            </w:pPr>
            <w:r>
              <w:t>≥90%</w:t>
            </w:r>
          </w:p>
        </w:tc>
        <w:tc>
          <w:tcPr>
            <w:tcW w:w="1276" w:type="dxa"/>
            <w:vAlign w:val="center"/>
          </w:tcPr>
          <w:p>
            <w:pPr>
              <w:pStyle w:val="13"/>
            </w:pPr>
            <w:r>
              <w:t>历史数据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2、招商日常工作经费绩效目标表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13031325P00880510494P</w:t>
            </w:r>
          </w:p>
        </w:tc>
        <w:tc>
          <w:tcPr>
            <w:tcW w:w="2835" w:type="dxa"/>
            <w:vAlign w:val="center"/>
          </w:tcPr>
          <w:p>
            <w:pPr>
              <w:pStyle w:val="11"/>
            </w:pPr>
            <w:r>
              <w:t>项目名称</w:t>
            </w:r>
          </w:p>
        </w:tc>
        <w:tc>
          <w:tcPr>
            <w:tcW w:w="6095" w:type="dxa"/>
            <w:gridSpan w:val="3"/>
            <w:vAlign w:val="center"/>
          </w:tcPr>
          <w:p>
            <w:pPr>
              <w:pStyle w:val="13"/>
            </w:pPr>
            <w:r>
              <w:t>招商日常工作经费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举办招商活动，签约招商项目。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1.签约招商项目，提高签约数量。</w:t>
            </w:r>
          </w:p>
          <w:p>
            <w:pPr>
              <w:pStyle w:val="13"/>
            </w:pPr>
            <w:r>
              <w:t>2.举办招商引资活动，提高影响知名度。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到会客商人数</w:t>
            </w:r>
          </w:p>
        </w:tc>
        <w:tc>
          <w:tcPr>
            <w:tcW w:w="5386" w:type="dxa"/>
            <w:vAlign w:val="center"/>
          </w:tcPr>
          <w:p>
            <w:pPr>
              <w:pStyle w:val="13"/>
            </w:pPr>
            <w:r>
              <w:t>到会客商人数</w:t>
            </w:r>
          </w:p>
        </w:tc>
        <w:tc>
          <w:tcPr>
            <w:tcW w:w="2268" w:type="dxa"/>
            <w:vAlign w:val="center"/>
          </w:tcPr>
          <w:p>
            <w:pPr>
              <w:pStyle w:val="13"/>
            </w:pPr>
            <w:r>
              <w:t>≥100人</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累计发布信息</w:t>
            </w:r>
          </w:p>
        </w:tc>
        <w:tc>
          <w:tcPr>
            <w:tcW w:w="5386" w:type="dxa"/>
            <w:vAlign w:val="center"/>
          </w:tcPr>
          <w:p>
            <w:pPr>
              <w:pStyle w:val="13"/>
            </w:pPr>
            <w:r>
              <w:t>累计发布信息</w:t>
            </w:r>
          </w:p>
        </w:tc>
        <w:tc>
          <w:tcPr>
            <w:tcW w:w="2268" w:type="dxa"/>
            <w:vAlign w:val="center"/>
          </w:tcPr>
          <w:p>
            <w:pPr>
              <w:pStyle w:val="13"/>
            </w:pPr>
            <w:r>
              <w:t>≥20次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招商活动的签约项目个数（个）</w:t>
            </w:r>
          </w:p>
        </w:tc>
        <w:tc>
          <w:tcPr>
            <w:tcW w:w="5386" w:type="dxa"/>
            <w:vAlign w:val="center"/>
          </w:tcPr>
          <w:p>
            <w:pPr>
              <w:pStyle w:val="13"/>
            </w:pPr>
            <w:r>
              <w:t>招商活动的签约项目个数（个）</w:t>
            </w:r>
          </w:p>
        </w:tc>
        <w:tc>
          <w:tcPr>
            <w:tcW w:w="2268" w:type="dxa"/>
            <w:vAlign w:val="center"/>
          </w:tcPr>
          <w:p>
            <w:pPr>
              <w:pStyle w:val="13"/>
            </w:pPr>
            <w:r>
              <w:t>≥30个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会议费标准</w:t>
            </w:r>
          </w:p>
        </w:tc>
        <w:tc>
          <w:tcPr>
            <w:tcW w:w="5386" w:type="dxa"/>
            <w:vAlign w:val="center"/>
          </w:tcPr>
          <w:p>
            <w:pPr>
              <w:pStyle w:val="13"/>
            </w:pPr>
            <w:r>
              <w:t>会议费标准</w:t>
            </w:r>
          </w:p>
        </w:tc>
        <w:tc>
          <w:tcPr>
            <w:tcW w:w="2268" w:type="dxa"/>
            <w:vAlign w:val="center"/>
          </w:tcPr>
          <w:p>
            <w:pPr>
              <w:pStyle w:val="13"/>
            </w:pPr>
            <w:r>
              <w:t>≤400元</w:t>
            </w:r>
          </w:p>
        </w:tc>
        <w:tc>
          <w:tcPr>
            <w:tcW w:w="1276" w:type="dxa"/>
            <w:vAlign w:val="center"/>
          </w:tcPr>
          <w:p>
            <w:pPr>
              <w:pStyle w:val="13"/>
            </w:pPr>
            <w:r>
              <w:t>会议费文件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招商活动的签约项目金额（亿元）</w:t>
            </w:r>
          </w:p>
        </w:tc>
        <w:tc>
          <w:tcPr>
            <w:tcW w:w="5386" w:type="dxa"/>
            <w:vAlign w:val="center"/>
          </w:tcPr>
          <w:p>
            <w:pPr>
              <w:pStyle w:val="13"/>
            </w:pPr>
            <w:r>
              <w:t>招商活动的签约项目金额（亿元）</w:t>
            </w:r>
          </w:p>
        </w:tc>
        <w:tc>
          <w:tcPr>
            <w:tcW w:w="2268" w:type="dxa"/>
            <w:vAlign w:val="center"/>
          </w:tcPr>
          <w:p>
            <w:pPr>
              <w:pStyle w:val="13"/>
            </w:pPr>
            <w:r>
              <w:t>≥18亿元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正常</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≥20家</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使用公共交通工具出差</w:t>
            </w:r>
          </w:p>
        </w:tc>
        <w:tc>
          <w:tcPr>
            <w:tcW w:w="5386" w:type="dxa"/>
            <w:vAlign w:val="center"/>
          </w:tcPr>
          <w:p>
            <w:pPr>
              <w:pStyle w:val="13"/>
            </w:pPr>
            <w:r>
              <w:t>使用公共交通工具出差</w:t>
            </w:r>
          </w:p>
        </w:tc>
        <w:tc>
          <w:tcPr>
            <w:tcW w:w="2268" w:type="dxa"/>
            <w:vAlign w:val="center"/>
          </w:tcPr>
          <w:p>
            <w:pPr>
              <w:pStyle w:val="13"/>
            </w:pPr>
            <w:r>
              <w:t>≥95百分比</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3、招商活动经费绩效目标表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13031325P00880111065Y</w:t>
            </w:r>
          </w:p>
        </w:tc>
        <w:tc>
          <w:tcPr>
            <w:tcW w:w="2835" w:type="dxa"/>
            <w:vAlign w:val="center"/>
          </w:tcPr>
          <w:p>
            <w:pPr>
              <w:pStyle w:val="11"/>
            </w:pPr>
            <w:r>
              <w:t>项目名称</w:t>
            </w:r>
          </w:p>
        </w:tc>
        <w:tc>
          <w:tcPr>
            <w:tcW w:w="6095" w:type="dxa"/>
            <w:gridSpan w:val="3"/>
            <w:vAlign w:val="center"/>
          </w:tcPr>
          <w:p>
            <w:pPr>
              <w:pStyle w:val="13"/>
            </w:pPr>
            <w:r>
              <w:t>招商活动经费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举办招商活动，签约招商项目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1.签约完成招商活动项目</w:t>
            </w:r>
          </w:p>
          <w:p>
            <w:pPr>
              <w:pStyle w:val="13"/>
            </w:pPr>
            <w:r>
              <w:t>2.举办招商引资活动数，增强影响力。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举办招商引资活动数量（个）</w:t>
            </w:r>
          </w:p>
        </w:tc>
        <w:tc>
          <w:tcPr>
            <w:tcW w:w="5386" w:type="dxa"/>
            <w:vAlign w:val="center"/>
          </w:tcPr>
          <w:p>
            <w:pPr>
              <w:pStyle w:val="13"/>
            </w:pPr>
            <w:r>
              <w:t>举办招商引资活动数量（个）</w:t>
            </w:r>
          </w:p>
        </w:tc>
        <w:tc>
          <w:tcPr>
            <w:tcW w:w="2268" w:type="dxa"/>
            <w:vAlign w:val="center"/>
          </w:tcPr>
          <w:p>
            <w:pPr>
              <w:pStyle w:val="13"/>
            </w:pPr>
            <w:r>
              <w:t>≥200个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招商活动的签约项目个数</w:t>
            </w:r>
          </w:p>
        </w:tc>
        <w:tc>
          <w:tcPr>
            <w:tcW w:w="5386" w:type="dxa"/>
            <w:vAlign w:val="center"/>
          </w:tcPr>
          <w:p>
            <w:pPr>
              <w:pStyle w:val="13"/>
            </w:pPr>
            <w:r>
              <w:t>招商活动的签约项目个数</w:t>
            </w:r>
          </w:p>
        </w:tc>
        <w:tc>
          <w:tcPr>
            <w:tcW w:w="2268" w:type="dxa"/>
            <w:vAlign w:val="center"/>
          </w:tcPr>
          <w:p>
            <w:pPr>
              <w:pStyle w:val="13"/>
            </w:pPr>
            <w:r>
              <w:t>≥40个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按时完成印刷任务</w:t>
            </w:r>
          </w:p>
        </w:tc>
        <w:tc>
          <w:tcPr>
            <w:tcW w:w="5386" w:type="dxa"/>
            <w:vAlign w:val="center"/>
          </w:tcPr>
          <w:p>
            <w:pPr>
              <w:pStyle w:val="13"/>
            </w:pPr>
            <w:r>
              <w:t>按时完成印刷任务</w:t>
            </w:r>
          </w:p>
        </w:tc>
        <w:tc>
          <w:tcPr>
            <w:tcW w:w="2268" w:type="dxa"/>
            <w:vAlign w:val="center"/>
          </w:tcPr>
          <w:p>
            <w:pPr>
              <w:pStyle w:val="13"/>
            </w:pPr>
            <w:r>
              <w:t>≥90百分比</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接待标准</w:t>
            </w:r>
          </w:p>
        </w:tc>
        <w:tc>
          <w:tcPr>
            <w:tcW w:w="5386" w:type="dxa"/>
            <w:vAlign w:val="center"/>
          </w:tcPr>
          <w:p>
            <w:pPr>
              <w:pStyle w:val="13"/>
            </w:pPr>
            <w:r>
              <w:t>接待标准</w:t>
            </w:r>
          </w:p>
        </w:tc>
        <w:tc>
          <w:tcPr>
            <w:tcW w:w="2268" w:type="dxa"/>
            <w:vAlign w:val="center"/>
          </w:tcPr>
          <w:p>
            <w:pPr>
              <w:pStyle w:val="13"/>
            </w:pPr>
            <w:r>
              <w:t>≤300元/人</w:t>
            </w:r>
          </w:p>
        </w:tc>
        <w:tc>
          <w:tcPr>
            <w:tcW w:w="1276" w:type="dxa"/>
            <w:vAlign w:val="center"/>
          </w:tcPr>
          <w:p>
            <w:pPr>
              <w:pStyle w:val="13"/>
            </w:pPr>
            <w:r>
              <w:t>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招商活动的签约项目金额（亿元）</w:t>
            </w:r>
          </w:p>
        </w:tc>
        <w:tc>
          <w:tcPr>
            <w:tcW w:w="5386" w:type="dxa"/>
            <w:vAlign w:val="center"/>
          </w:tcPr>
          <w:p>
            <w:pPr>
              <w:pStyle w:val="13"/>
            </w:pPr>
            <w:r>
              <w:t>招商活动的签约项目金额（亿元）</w:t>
            </w:r>
          </w:p>
        </w:tc>
        <w:tc>
          <w:tcPr>
            <w:tcW w:w="2268" w:type="dxa"/>
            <w:vAlign w:val="center"/>
          </w:tcPr>
          <w:p>
            <w:pPr>
              <w:pStyle w:val="13"/>
            </w:pPr>
            <w:r>
              <w:t>≥18亿元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项目带动就业能力</w:t>
            </w:r>
          </w:p>
        </w:tc>
        <w:tc>
          <w:tcPr>
            <w:tcW w:w="5386" w:type="dxa"/>
            <w:vAlign w:val="center"/>
          </w:tcPr>
          <w:p>
            <w:pPr>
              <w:pStyle w:val="13"/>
            </w:pPr>
            <w:r>
              <w:t>项目带动就业能力</w:t>
            </w:r>
          </w:p>
        </w:tc>
        <w:tc>
          <w:tcPr>
            <w:tcW w:w="2268" w:type="dxa"/>
            <w:vAlign w:val="center"/>
          </w:tcPr>
          <w:p>
            <w:pPr>
              <w:pStyle w:val="13"/>
            </w:pPr>
            <w:r>
              <w:t>≥1000人</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使用公共交通次数</w:t>
            </w:r>
          </w:p>
        </w:tc>
        <w:tc>
          <w:tcPr>
            <w:tcW w:w="5386" w:type="dxa"/>
            <w:vAlign w:val="center"/>
          </w:tcPr>
          <w:p>
            <w:pPr>
              <w:pStyle w:val="13"/>
            </w:pPr>
            <w:r>
              <w:t>使用公共交通工具出差的次数占总出差次数的百分比</w:t>
            </w:r>
          </w:p>
        </w:tc>
        <w:tc>
          <w:tcPr>
            <w:tcW w:w="2268" w:type="dxa"/>
            <w:vAlign w:val="center"/>
          </w:tcPr>
          <w:p>
            <w:pPr>
              <w:pStyle w:val="13"/>
            </w:pPr>
            <w:r>
              <w:t>≥80百分比</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≥100家</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110.96</w:t>
            </w:r>
          </w:p>
        </w:tc>
        <w:tc>
          <w:tcPr>
            <w:tcW w:w="964" w:type="dxa"/>
            <w:vAlign w:val="center"/>
          </w:tcPr>
          <w:p>
            <w:pPr>
              <w:pStyle w:val="16"/>
            </w:pPr>
            <w:r>
              <w:t>110.96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秦皇岛北戴河新区招商和投资促进局本级小计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110.96</w:t>
            </w:r>
          </w:p>
        </w:tc>
        <w:tc>
          <w:tcPr>
            <w:tcW w:w="964" w:type="dxa"/>
            <w:vAlign w:val="center"/>
          </w:tcPr>
          <w:p>
            <w:pPr>
              <w:pStyle w:val="16"/>
            </w:pPr>
            <w:r>
              <w:t>110.96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16.96</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1.28</w:t>
            </w:r>
          </w:p>
        </w:tc>
        <w:tc>
          <w:tcPr>
            <w:tcW w:w="964" w:type="dxa"/>
            <w:vAlign w:val="center"/>
          </w:tcPr>
          <w:p>
            <w:pPr>
              <w:pStyle w:val="12"/>
            </w:pPr>
            <w:r>
              <w:t>1.28</w:t>
            </w:r>
          </w:p>
        </w:tc>
        <w:tc>
          <w:tcPr>
            <w:tcW w:w="964" w:type="dxa"/>
            <w:vAlign w:val="center"/>
          </w:tcPr>
          <w:p>
            <w:pPr>
              <w:pStyle w:val="12"/>
            </w:pPr>
            <w:r>
              <w:t>1.28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16.96</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0.64</w:t>
            </w:r>
          </w:p>
        </w:tc>
        <w:tc>
          <w:tcPr>
            <w:tcW w:w="964" w:type="dxa"/>
            <w:vAlign w:val="center"/>
          </w:tcPr>
          <w:p>
            <w:pPr>
              <w:pStyle w:val="12"/>
            </w:pPr>
            <w:r>
              <w:t>1.28</w:t>
            </w:r>
          </w:p>
        </w:tc>
        <w:tc>
          <w:tcPr>
            <w:tcW w:w="964" w:type="dxa"/>
            <w:vAlign w:val="center"/>
          </w:tcPr>
          <w:p>
            <w:pPr>
              <w:pStyle w:val="12"/>
            </w:pPr>
            <w:r>
              <w:t>1.28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16.96</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0.84</w:t>
            </w:r>
          </w:p>
        </w:tc>
        <w:tc>
          <w:tcPr>
            <w:tcW w:w="964" w:type="dxa"/>
            <w:vAlign w:val="center"/>
          </w:tcPr>
          <w:p>
            <w:pPr>
              <w:pStyle w:val="12"/>
            </w:pPr>
            <w:r>
              <w:t>8.40</w:t>
            </w:r>
          </w:p>
        </w:tc>
        <w:tc>
          <w:tcPr>
            <w:tcW w:w="964" w:type="dxa"/>
            <w:vAlign w:val="center"/>
          </w:tcPr>
          <w:p>
            <w:pPr>
              <w:pStyle w:val="12"/>
            </w:pPr>
            <w:r>
              <w:t>8.40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招商活动经费</w:t>
            </w:r>
          </w:p>
        </w:tc>
        <w:tc>
          <w:tcPr>
            <w:tcW w:w="964" w:type="dxa"/>
            <w:vAlign w:val="center"/>
          </w:tcPr>
          <w:p>
            <w:pPr>
              <w:pStyle w:val="12"/>
            </w:pPr>
            <w:r>
              <w:t>400.00</w:t>
            </w:r>
          </w:p>
        </w:tc>
        <w:tc>
          <w:tcPr>
            <w:tcW w:w="1134" w:type="dxa"/>
            <w:vAlign w:val="center"/>
          </w:tcPr>
          <w:p>
            <w:pPr>
              <w:pStyle w:val="13"/>
            </w:pPr>
            <w:r>
              <w:t>餐饮服务</w:t>
            </w:r>
          </w:p>
        </w:tc>
        <w:tc>
          <w:tcPr>
            <w:tcW w:w="1134" w:type="dxa"/>
            <w:vAlign w:val="center"/>
          </w:tcPr>
          <w:p>
            <w:pPr>
              <w:pStyle w:val="13"/>
            </w:pPr>
            <w:r>
              <w:t>C22040000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秦皇岛北戴河新区招商和投资促进局（含所属单位）上年末固定资产金额为</w:t>
      </w:r>
      <w:r>
        <w:rPr>
          <w:rFonts w:hint="eastAsia" w:eastAsia="方正仿宋_GBK" w:cs="Times New Roman"/>
          <w:b w:val="0"/>
          <w:color w:val="000000"/>
          <w:sz w:val="28"/>
          <w:lang w:val="en-US" w:eastAsia="zh-CN"/>
        </w:rPr>
        <w:t>64.61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322秦皇岛北戴河新区招商和投资促进局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eastAsia" w:eastAsia="方正书宋_GBK"/>
                <w:lang w:eastAsia="zh-CN"/>
              </w:rPr>
            </w:pPr>
            <w:r>
              <w:rPr>
                <w:rFonts w:hint="eastAsia"/>
                <w:lang w:eastAsia="zh-CN"/>
              </w:rP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default" w:eastAsia="方正书宋_GBK"/>
                <w:lang w:val="en-US" w:eastAsia="zh-CN"/>
              </w:rPr>
            </w:pPr>
            <w:r>
              <w:rPr>
                <w:rFonts w:hint="eastAsia"/>
                <w:lang w:val="en-US" w:eastAsia="zh-CN"/>
              </w:rP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default" w:eastAsia="方正书宋_GBK"/>
                <w:lang w:val="en-US" w:eastAsia="zh-CN"/>
              </w:rPr>
            </w:pPr>
            <w:r>
              <w:rPr>
                <w:rFonts w:hint="eastAsia"/>
                <w:lang w:val="en-US" w:eastAsia="zh-CN"/>
              </w:rPr>
              <w:t>2、车辆（台、辆）</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rPr>
                <w:rFonts w:hint="default" w:eastAsia="方正书宋_GBK"/>
                <w:lang w:val="en-US" w:eastAsia="zh-CN"/>
              </w:rPr>
            </w:pPr>
            <w:r>
              <w:rPr>
                <w:rFonts w:hint="eastAsia"/>
                <w:lang w:val="en-US" w:eastAsia="zh-CN"/>
              </w:rPr>
              <w:t>19.61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default"/>
                <w:lang w:val="en-US" w:eastAsia="zh-CN"/>
              </w:rPr>
            </w:pPr>
            <w:r>
              <w:rPr>
                <w:rFonts w:hint="eastAsia"/>
                <w:lang w:val="en-US" w:eastAsia="zh-CN"/>
              </w:rP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default"/>
                <w:lang w:val="en-US" w:eastAsia="zh-CN"/>
              </w:rPr>
            </w:pPr>
            <w:r>
              <w:rPr>
                <w:rFonts w:hint="eastAsia"/>
                <w:lang w:val="en-US" w:eastAsia="zh-CN"/>
              </w:rPr>
              <w:t>4、其他固定资产</w:t>
            </w:r>
          </w:p>
        </w:tc>
        <w:tc>
          <w:tcPr>
            <w:tcW w:w="2835" w:type="dxa"/>
            <w:vAlign w:val="center"/>
          </w:tcPr>
          <w:p>
            <w:pPr>
              <w:pStyle w:val="14"/>
              <w:rPr>
                <w:rFonts w:hint="default" w:eastAsia="方正书宋_GBK"/>
                <w:lang w:val="en-US" w:eastAsia="zh-CN"/>
              </w:rPr>
            </w:pPr>
            <w:r>
              <w:rPr>
                <w:rFonts w:hint="eastAsia"/>
                <w:lang w:val="en-US" w:eastAsia="zh-CN"/>
              </w:rPr>
              <w:t>229</w:t>
            </w:r>
          </w:p>
        </w:tc>
        <w:tc>
          <w:tcPr>
            <w:tcW w:w="2835" w:type="dxa"/>
            <w:vAlign w:val="center"/>
          </w:tcPr>
          <w:p>
            <w:pPr>
              <w:pStyle w:val="12"/>
              <w:rPr>
                <w:rFonts w:hint="default" w:eastAsia="方正书宋_GBK"/>
                <w:lang w:val="en-US" w:eastAsia="zh-CN"/>
              </w:rPr>
            </w:pPr>
            <w:r>
              <w:rPr>
                <w:rFonts w:hint="eastAsia"/>
                <w:lang w:val="en-US" w:eastAsia="zh-CN"/>
              </w:rPr>
              <w:t>45</w:t>
            </w:r>
          </w:p>
        </w:tc>
      </w:tr>
    </w:tbl>
    <w:p>
      <w:pPr>
        <w:spacing w:before="0" w:after="0"/>
        <w:ind w:firstLine="640"/>
        <w:jc w:val="left"/>
        <w:outlineLvl w:val="9"/>
      </w:pPr>
      <w:bookmarkStart w:id="20" w:name="_GoBack"/>
      <w:bookmarkEnd w:id="20"/>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47F7"/>
    <w:multiLevelType w:val="singleLevel"/>
    <w:tmpl w:val="394947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4251A"/>
    <w:rsid w:val="141C1684"/>
    <w:rsid w:val="1A853BB0"/>
    <w:rsid w:val="579F63E4"/>
    <w:rsid w:val="5DC77F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19</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2025-02-18T14:08:00Z</dcterms:created>
  <dc:creator>Administrator</dc:creator>
  <cp:lastModifiedBy>XQZW</cp:lastModifiedBy>
  <dcterms:modified xsi:type="dcterms:W3CDTF">2025-02-19T01:50:32Z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20370E80D4BB40A9868154EF97460158</vt:lpwstr>
  </property>
</Properties>
</file>