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713.03</w:t>
            </w:r>
          </w:p>
        </w:tc>
        <w:tc>
          <w:tcPr>
            <w:tcW w:w="4535" w:type="dxa"/>
            <w:vAlign w:val="center"/>
          </w:tcPr>
          <w:p>
            <w:pPr>
              <w:pStyle w:val="13"/>
            </w:pPr>
            <w:r>
              <w:t>一、一般公共服务支出</w:t>
            </w:r>
          </w:p>
        </w:tc>
        <w:tc>
          <w:tcPr>
            <w:tcW w:w="2126" w:type="dxa"/>
            <w:vAlign w:val="center"/>
          </w:tcPr>
          <w:p>
            <w:pPr>
              <w:pStyle w:val="12"/>
            </w:pPr>
            <w:r>
              <w:t>535.33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713.03</w:t>
            </w:r>
          </w:p>
        </w:tc>
        <w:tc>
          <w:tcPr>
            <w:tcW w:w="4535" w:type="dxa"/>
            <w:vAlign w:val="center"/>
          </w:tcPr>
          <w:p>
            <w:pPr>
              <w:pStyle w:val="15"/>
            </w:pPr>
            <w:r>
              <w:t>本年支出合计</w:t>
            </w:r>
          </w:p>
        </w:tc>
        <w:tc>
          <w:tcPr>
            <w:tcW w:w="2126" w:type="dxa"/>
            <w:vAlign w:val="center"/>
          </w:tcPr>
          <w:p>
            <w:pPr>
              <w:pStyle w:val="16"/>
            </w:pPr>
            <w:r>
              <w:t>713.03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713.03</w:t>
            </w:r>
          </w:p>
        </w:tc>
        <w:tc>
          <w:tcPr>
            <w:tcW w:w="4535" w:type="dxa"/>
            <w:vAlign w:val="center"/>
          </w:tcPr>
          <w:p>
            <w:pPr>
              <w:pStyle w:val="15"/>
            </w:pPr>
            <w:r>
              <w:t>支出总计</w:t>
            </w:r>
          </w:p>
        </w:tc>
        <w:tc>
          <w:tcPr>
            <w:tcW w:w="2126" w:type="dxa"/>
            <w:vAlign w:val="center"/>
          </w:tcPr>
          <w:p>
            <w:pPr>
              <w:pStyle w:val="16"/>
            </w:pPr>
            <w:r>
              <w:t>713.03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713.03</w:t>
            </w:r>
          </w:p>
        </w:tc>
        <w:tc>
          <w:tcPr>
            <w:tcW w:w="1134" w:type="dxa"/>
            <w:vAlign w:val="center"/>
          </w:tcPr>
          <w:p>
            <w:pPr>
              <w:pStyle w:val="16"/>
            </w:pPr>
            <w:r>
              <w:t>713.03</w:t>
            </w:r>
          </w:p>
        </w:tc>
        <w:tc>
          <w:tcPr>
            <w:tcW w:w="1134" w:type="dxa"/>
            <w:vAlign w:val="center"/>
          </w:tcPr>
          <w:p>
            <w:pPr>
              <w:pStyle w:val="16"/>
            </w:pPr>
            <w:r>
              <w:t>713.03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535.33</w:t>
            </w:r>
          </w:p>
        </w:tc>
        <w:tc>
          <w:tcPr>
            <w:tcW w:w="1134" w:type="dxa"/>
            <w:vAlign w:val="center"/>
          </w:tcPr>
          <w:p>
            <w:pPr>
              <w:pStyle w:val="12"/>
            </w:pPr>
            <w:r>
              <w:t>535.33</w:t>
            </w:r>
          </w:p>
        </w:tc>
        <w:tc>
          <w:tcPr>
            <w:tcW w:w="1134" w:type="dxa"/>
            <w:vAlign w:val="center"/>
          </w:tcPr>
          <w:p>
            <w:pPr>
              <w:pStyle w:val="12"/>
            </w:pPr>
            <w:r>
              <w:t>535.33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535.33</w:t>
            </w:r>
          </w:p>
        </w:tc>
        <w:tc>
          <w:tcPr>
            <w:tcW w:w="1134" w:type="dxa"/>
            <w:vAlign w:val="center"/>
          </w:tcPr>
          <w:p>
            <w:pPr>
              <w:pStyle w:val="12"/>
            </w:pPr>
            <w:r>
              <w:t>535.33</w:t>
            </w:r>
          </w:p>
        </w:tc>
        <w:tc>
          <w:tcPr>
            <w:tcW w:w="1134" w:type="dxa"/>
            <w:vAlign w:val="center"/>
          </w:tcPr>
          <w:p>
            <w:pPr>
              <w:pStyle w:val="12"/>
            </w:pPr>
            <w:r>
              <w:t>535.33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2010306</w:t>
            </w:r>
          </w:p>
        </w:tc>
        <w:tc>
          <w:tcPr>
            <w:tcW w:w="1559" w:type="dxa"/>
            <w:vAlign w:val="center"/>
          </w:tcPr>
          <w:p>
            <w:pPr>
              <w:pStyle w:val="13"/>
            </w:pPr>
            <w:r>
              <w:t>政务公开审批</w:t>
            </w:r>
          </w:p>
        </w:tc>
        <w:tc>
          <w:tcPr>
            <w:tcW w:w="1134" w:type="dxa"/>
            <w:vAlign w:val="center"/>
          </w:tcPr>
          <w:p>
            <w:pPr>
              <w:pStyle w:val="12"/>
            </w:pPr>
            <w:r>
              <w:t>535.33</w:t>
            </w:r>
          </w:p>
        </w:tc>
        <w:tc>
          <w:tcPr>
            <w:tcW w:w="1134" w:type="dxa"/>
            <w:vAlign w:val="center"/>
          </w:tcPr>
          <w:p>
            <w:pPr>
              <w:pStyle w:val="12"/>
            </w:pPr>
            <w:r>
              <w:t>535.33</w:t>
            </w:r>
          </w:p>
        </w:tc>
        <w:tc>
          <w:tcPr>
            <w:tcW w:w="1134" w:type="dxa"/>
            <w:vAlign w:val="center"/>
          </w:tcPr>
          <w:p>
            <w:pPr>
              <w:pStyle w:val="12"/>
            </w:pPr>
            <w:r>
              <w:t>535.33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84.40</w:t>
            </w:r>
          </w:p>
        </w:tc>
        <w:tc>
          <w:tcPr>
            <w:tcW w:w="1134" w:type="dxa"/>
            <w:vAlign w:val="center"/>
          </w:tcPr>
          <w:p>
            <w:pPr>
              <w:pStyle w:val="12"/>
            </w:pPr>
            <w:r>
              <w:t>84.40</w:t>
            </w:r>
          </w:p>
        </w:tc>
        <w:tc>
          <w:tcPr>
            <w:tcW w:w="1134" w:type="dxa"/>
            <w:vAlign w:val="center"/>
          </w:tcPr>
          <w:p>
            <w:pPr>
              <w:pStyle w:val="12"/>
            </w:pPr>
            <w:r>
              <w:t>84.40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84.40</w:t>
            </w:r>
          </w:p>
        </w:tc>
        <w:tc>
          <w:tcPr>
            <w:tcW w:w="1134" w:type="dxa"/>
            <w:vAlign w:val="center"/>
          </w:tcPr>
          <w:p>
            <w:pPr>
              <w:pStyle w:val="12"/>
            </w:pPr>
            <w:r>
              <w:t>84.40</w:t>
            </w:r>
          </w:p>
        </w:tc>
        <w:tc>
          <w:tcPr>
            <w:tcW w:w="1134" w:type="dxa"/>
            <w:vAlign w:val="center"/>
          </w:tcPr>
          <w:p>
            <w:pPr>
              <w:pStyle w:val="12"/>
            </w:pPr>
            <w:r>
              <w:t>84.40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22.48</w:t>
            </w:r>
          </w:p>
        </w:tc>
        <w:tc>
          <w:tcPr>
            <w:tcW w:w="1134" w:type="dxa"/>
            <w:vAlign w:val="center"/>
          </w:tcPr>
          <w:p>
            <w:pPr>
              <w:pStyle w:val="12"/>
            </w:pPr>
            <w:r>
              <w:t>22.48</w:t>
            </w:r>
          </w:p>
        </w:tc>
        <w:tc>
          <w:tcPr>
            <w:tcW w:w="1134" w:type="dxa"/>
            <w:vAlign w:val="center"/>
          </w:tcPr>
          <w:p>
            <w:pPr>
              <w:pStyle w:val="12"/>
            </w:pPr>
            <w:r>
              <w:t>22.48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47.81</w:t>
            </w:r>
          </w:p>
        </w:tc>
        <w:tc>
          <w:tcPr>
            <w:tcW w:w="1134" w:type="dxa"/>
            <w:vAlign w:val="center"/>
          </w:tcPr>
          <w:p>
            <w:pPr>
              <w:pStyle w:val="12"/>
            </w:pPr>
            <w:r>
              <w:t>47.81</w:t>
            </w:r>
          </w:p>
        </w:tc>
        <w:tc>
          <w:tcPr>
            <w:tcW w:w="1134" w:type="dxa"/>
            <w:vAlign w:val="center"/>
          </w:tcPr>
          <w:p>
            <w:pPr>
              <w:pStyle w:val="12"/>
            </w:pPr>
            <w:r>
              <w:t>47.81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47.81</w:t>
            </w:r>
          </w:p>
        </w:tc>
        <w:tc>
          <w:tcPr>
            <w:tcW w:w="1134" w:type="dxa"/>
            <w:vAlign w:val="center"/>
          </w:tcPr>
          <w:p>
            <w:pPr>
              <w:pStyle w:val="12"/>
            </w:pPr>
            <w:r>
              <w:t>47.81</w:t>
            </w:r>
          </w:p>
        </w:tc>
        <w:tc>
          <w:tcPr>
            <w:tcW w:w="1134" w:type="dxa"/>
            <w:vAlign w:val="center"/>
          </w:tcPr>
          <w:p>
            <w:pPr>
              <w:pStyle w:val="12"/>
            </w:pPr>
            <w:r>
              <w:t>47.81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47.81</w:t>
            </w:r>
          </w:p>
        </w:tc>
        <w:tc>
          <w:tcPr>
            <w:tcW w:w="1134" w:type="dxa"/>
            <w:vAlign w:val="center"/>
          </w:tcPr>
          <w:p>
            <w:pPr>
              <w:pStyle w:val="12"/>
            </w:pPr>
            <w:r>
              <w:t>47.81</w:t>
            </w:r>
          </w:p>
        </w:tc>
        <w:tc>
          <w:tcPr>
            <w:tcW w:w="1134" w:type="dxa"/>
            <w:vAlign w:val="center"/>
          </w:tcPr>
          <w:p>
            <w:pPr>
              <w:pStyle w:val="12"/>
            </w:pPr>
            <w:r>
              <w:t>47.81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45.50</w:t>
            </w:r>
          </w:p>
        </w:tc>
        <w:tc>
          <w:tcPr>
            <w:tcW w:w="1134" w:type="dxa"/>
            <w:vAlign w:val="center"/>
          </w:tcPr>
          <w:p>
            <w:pPr>
              <w:pStyle w:val="12"/>
            </w:pPr>
            <w:r>
              <w:t>45.50</w:t>
            </w:r>
          </w:p>
        </w:tc>
        <w:tc>
          <w:tcPr>
            <w:tcW w:w="1134" w:type="dxa"/>
            <w:vAlign w:val="center"/>
          </w:tcPr>
          <w:p>
            <w:pPr>
              <w:pStyle w:val="12"/>
            </w:pPr>
            <w:r>
              <w:t>45.50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45.50</w:t>
            </w:r>
          </w:p>
        </w:tc>
        <w:tc>
          <w:tcPr>
            <w:tcW w:w="1134" w:type="dxa"/>
            <w:vAlign w:val="center"/>
          </w:tcPr>
          <w:p>
            <w:pPr>
              <w:pStyle w:val="12"/>
            </w:pPr>
            <w:r>
              <w:t>45.50</w:t>
            </w:r>
          </w:p>
        </w:tc>
        <w:tc>
          <w:tcPr>
            <w:tcW w:w="1134" w:type="dxa"/>
            <w:vAlign w:val="center"/>
          </w:tcPr>
          <w:p>
            <w:pPr>
              <w:pStyle w:val="12"/>
            </w:pPr>
            <w:r>
              <w:t>45.50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45.50</w:t>
            </w:r>
          </w:p>
        </w:tc>
        <w:tc>
          <w:tcPr>
            <w:tcW w:w="1134" w:type="dxa"/>
            <w:vAlign w:val="center"/>
          </w:tcPr>
          <w:p>
            <w:pPr>
              <w:pStyle w:val="12"/>
            </w:pPr>
            <w:r>
              <w:t>45.50</w:t>
            </w:r>
          </w:p>
        </w:tc>
        <w:tc>
          <w:tcPr>
            <w:tcW w:w="1134" w:type="dxa"/>
            <w:vAlign w:val="center"/>
          </w:tcPr>
          <w:p>
            <w:pPr>
              <w:pStyle w:val="12"/>
            </w:pPr>
            <w:r>
              <w:t>45.50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713.03</w:t>
            </w:r>
          </w:p>
        </w:tc>
        <w:tc>
          <w:tcPr>
            <w:tcW w:w="1361" w:type="dxa"/>
            <w:vAlign w:val="center"/>
          </w:tcPr>
          <w:p>
            <w:pPr>
              <w:pStyle w:val="16"/>
            </w:pPr>
            <w:r>
              <w:t>627.03</w:t>
            </w:r>
          </w:p>
        </w:tc>
        <w:tc>
          <w:tcPr>
            <w:tcW w:w="1361" w:type="dxa"/>
            <w:vAlign w:val="center"/>
          </w:tcPr>
          <w:p>
            <w:pPr>
              <w:pStyle w:val="16"/>
            </w:pPr>
            <w:r>
              <w:t>86.00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535.33</w:t>
            </w:r>
          </w:p>
        </w:tc>
        <w:tc>
          <w:tcPr>
            <w:tcW w:w="1361" w:type="dxa"/>
            <w:vAlign w:val="center"/>
          </w:tcPr>
          <w:p>
            <w:pPr>
              <w:pStyle w:val="12"/>
            </w:pPr>
            <w:r>
              <w:t>449.33</w:t>
            </w:r>
          </w:p>
        </w:tc>
        <w:tc>
          <w:tcPr>
            <w:tcW w:w="1361" w:type="dxa"/>
            <w:vAlign w:val="center"/>
          </w:tcPr>
          <w:p>
            <w:pPr>
              <w:pStyle w:val="12"/>
            </w:pPr>
            <w:r>
              <w:t>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535.33</w:t>
            </w:r>
          </w:p>
        </w:tc>
        <w:tc>
          <w:tcPr>
            <w:tcW w:w="1361" w:type="dxa"/>
            <w:vAlign w:val="center"/>
          </w:tcPr>
          <w:p>
            <w:pPr>
              <w:pStyle w:val="12"/>
            </w:pPr>
            <w:r>
              <w:t>449.33</w:t>
            </w:r>
          </w:p>
        </w:tc>
        <w:tc>
          <w:tcPr>
            <w:tcW w:w="1361" w:type="dxa"/>
            <w:vAlign w:val="center"/>
          </w:tcPr>
          <w:p>
            <w:pPr>
              <w:pStyle w:val="12"/>
            </w:pPr>
            <w:r>
              <w:t>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2010306</w:t>
            </w:r>
          </w:p>
        </w:tc>
        <w:tc>
          <w:tcPr>
            <w:tcW w:w="4535" w:type="dxa"/>
            <w:vAlign w:val="center"/>
          </w:tcPr>
          <w:p>
            <w:pPr>
              <w:pStyle w:val="13"/>
            </w:pPr>
            <w:r>
              <w:t>政务公开审批</w:t>
            </w:r>
          </w:p>
        </w:tc>
        <w:tc>
          <w:tcPr>
            <w:tcW w:w="1361" w:type="dxa"/>
            <w:vAlign w:val="center"/>
          </w:tcPr>
          <w:p>
            <w:pPr>
              <w:pStyle w:val="12"/>
            </w:pPr>
            <w:r>
              <w:t>535.33</w:t>
            </w:r>
          </w:p>
        </w:tc>
        <w:tc>
          <w:tcPr>
            <w:tcW w:w="1361" w:type="dxa"/>
            <w:vAlign w:val="center"/>
          </w:tcPr>
          <w:p>
            <w:pPr>
              <w:pStyle w:val="12"/>
            </w:pPr>
            <w:r>
              <w:t>449.33</w:t>
            </w:r>
          </w:p>
        </w:tc>
        <w:tc>
          <w:tcPr>
            <w:tcW w:w="1361" w:type="dxa"/>
            <w:vAlign w:val="center"/>
          </w:tcPr>
          <w:p>
            <w:pPr>
              <w:pStyle w:val="12"/>
            </w:pPr>
            <w:r>
              <w:t>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84.40</w:t>
            </w:r>
          </w:p>
        </w:tc>
        <w:tc>
          <w:tcPr>
            <w:tcW w:w="1361" w:type="dxa"/>
            <w:vAlign w:val="center"/>
          </w:tcPr>
          <w:p>
            <w:pPr>
              <w:pStyle w:val="12"/>
            </w:pPr>
            <w:r>
              <w:t>84.40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84.40</w:t>
            </w:r>
          </w:p>
        </w:tc>
        <w:tc>
          <w:tcPr>
            <w:tcW w:w="1361" w:type="dxa"/>
            <w:vAlign w:val="center"/>
          </w:tcPr>
          <w:p>
            <w:pPr>
              <w:pStyle w:val="12"/>
            </w:pPr>
            <w:r>
              <w:t>84.40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22.48</w:t>
            </w:r>
          </w:p>
        </w:tc>
        <w:tc>
          <w:tcPr>
            <w:tcW w:w="1361" w:type="dxa"/>
            <w:vAlign w:val="center"/>
          </w:tcPr>
          <w:p>
            <w:pPr>
              <w:pStyle w:val="12"/>
            </w:pPr>
            <w:r>
              <w:t>22.48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55.22</w:t>
            </w:r>
          </w:p>
        </w:tc>
        <w:tc>
          <w:tcPr>
            <w:tcW w:w="1361" w:type="dxa"/>
            <w:vAlign w:val="center"/>
          </w:tcPr>
          <w:p>
            <w:pPr>
              <w:pStyle w:val="12"/>
            </w:pPr>
            <w:r>
              <w:t>55.22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6.69</w:t>
            </w:r>
          </w:p>
        </w:tc>
        <w:tc>
          <w:tcPr>
            <w:tcW w:w="1361" w:type="dxa"/>
            <w:vAlign w:val="center"/>
          </w:tcPr>
          <w:p>
            <w:pPr>
              <w:pStyle w:val="12"/>
            </w:pPr>
            <w:r>
              <w:t>6.69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47.81</w:t>
            </w:r>
          </w:p>
        </w:tc>
        <w:tc>
          <w:tcPr>
            <w:tcW w:w="1361" w:type="dxa"/>
            <w:vAlign w:val="center"/>
          </w:tcPr>
          <w:p>
            <w:pPr>
              <w:pStyle w:val="12"/>
            </w:pPr>
            <w:r>
              <w:t>47.81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47.81</w:t>
            </w:r>
          </w:p>
        </w:tc>
        <w:tc>
          <w:tcPr>
            <w:tcW w:w="1361" w:type="dxa"/>
            <w:vAlign w:val="center"/>
          </w:tcPr>
          <w:p>
            <w:pPr>
              <w:pStyle w:val="12"/>
            </w:pPr>
            <w:r>
              <w:t>47.81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47.81</w:t>
            </w:r>
          </w:p>
        </w:tc>
        <w:tc>
          <w:tcPr>
            <w:tcW w:w="1361" w:type="dxa"/>
            <w:vAlign w:val="center"/>
          </w:tcPr>
          <w:p>
            <w:pPr>
              <w:pStyle w:val="12"/>
            </w:pPr>
            <w:r>
              <w:t>47.81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45.50</w:t>
            </w:r>
          </w:p>
        </w:tc>
        <w:tc>
          <w:tcPr>
            <w:tcW w:w="1361" w:type="dxa"/>
            <w:vAlign w:val="center"/>
          </w:tcPr>
          <w:p>
            <w:pPr>
              <w:pStyle w:val="12"/>
            </w:pPr>
            <w:r>
              <w:t>45.50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45.50</w:t>
            </w:r>
          </w:p>
        </w:tc>
        <w:tc>
          <w:tcPr>
            <w:tcW w:w="1361" w:type="dxa"/>
            <w:vAlign w:val="center"/>
          </w:tcPr>
          <w:p>
            <w:pPr>
              <w:pStyle w:val="12"/>
            </w:pPr>
            <w:r>
              <w:t>45.50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45.50</w:t>
            </w:r>
          </w:p>
        </w:tc>
        <w:tc>
          <w:tcPr>
            <w:tcW w:w="1361" w:type="dxa"/>
            <w:vAlign w:val="center"/>
          </w:tcPr>
          <w:p>
            <w:pPr>
              <w:pStyle w:val="12"/>
            </w:pPr>
            <w:r>
              <w:t>45.50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713.03</w:t>
            </w:r>
          </w:p>
        </w:tc>
        <w:tc>
          <w:tcPr>
            <w:tcW w:w="3402" w:type="dxa"/>
            <w:vAlign w:val="center"/>
          </w:tcPr>
          <w:p>
            <w:pPr>
              <w:pStyle w:val="13"/>
            </w:pPr>
            <w:r>
              <w:t>一、一般公共服务支出</w:t>
            </w:r>
          </w:p>
        </w:tc>
        <w:tc>
          <w:tcPr>
            <w:tcW w:w="1474" w:type="dxa"/>
            <w:vAlign w:val="center"/>
          </w:tcPr>
          <w:p>
            <w:pPr>
              <w:pStyle w:val="12"/>
            </w:pPr>
            <w:r>
              <w:t>535.33</w:t>
            </w:r>
          </w:p>
        </w:tc>
        <w:tc>
          <w:tcPr>
            <w:tcW w:w="1474" w:type="dxa"/>
            <w:vAlign w:val="center"/>
          </w:tcPr>
          <w:p>
            <w:pPr>
              <w:pStyle w:val="12"/>
            </w:pPr>
            <w:r>
              <w:t>535.33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84.40</w:t>
            </w:r>
          </w:p>
        </w:tc>
        <w:tc>
          <w:tcPr>
            <w:tcW w:w="1474" w:type="dxa"/>
            <w:vAlign w:val="center"/>
          </w:tcPr>
          <w:p>
            <w:pPr>
              <w:pStyle w:val="12"/>
            </w:pPr>
            <w:r>
              <w:t>84.40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47.81</w:t>
            </w:r>
          </w:p>
        </w:tc>
        <w:tc>
          <w:tcPr>
            <w:tcW w:w="1474" w:type="dxa"/>
            <w:vAlign w:val="center"/>
          </w:tcPr>
          <w:p>
            <w:pPr>
              <w:pStyle w:val="12"/>
            </w:pPr>
            <w:r>
              <w:t>47.81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45.50</w:t>
            </w:r>
          </w:p>
        </w:tc>
        <w:tc>
          <w:tcPr>
            <w:tcW w:w="1474" w:type="dxa"/>
            <w:vAlign w:val="center"/>
          </w:tcPr>
          <w:p>
            <w:pPr>
              <w:pStyle w:val="12"/>
            </w:pPr>
            <w:r>
              <w:t>45.50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713.03</w:t>
            </w:r>
          </w:p>
        </w:tc>
        <w:tc>
          <w:tcPr>
            <w:tcW w:w="3402" w:type="dxa"/>
            <w:vAlign w:val="center"/>
          </w:tcPr>
          <w:p>
            <w:pPr>
              <w:pStyle w:val="15"/>
            </w:pPr>
            <w:r>
              <w:t>本年支出合计</w:t>
            </w:r>
          </w:p>
        </w:tc>
        <w:tc>
          <w:tcPr>
            <w:tcW w:w="1474" w:type="dxa"/>
            <w:vAlign w:val="center"/>
          </w:tcPr>
          <w:p>
            <w:pPr>
              <w:pStyle w:val="16"/>
            </w:pPr>
            <w:r>
              <w:t>713.03</w:t>
            </w:r>
          </w:p>
        </w:tc>
        <w:tc>
          <w:tcPr>
            <w:tcW w:w="1474" w:type="dxa"/>
            <w:vAlign w:val="center"/>
          </w:tcPr>
          <w:p>
            <w:pPr>
              <w:pStyle w:val="16"/>
            </w:pPr>
            <w:r>
              <w:t>713.03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713.03</w:t>
            </w:r>
          </w:p>
        </w:tc>
        <w:tc>
          <w:tcPr>
            <w:tcW w:w="3402" w:type="dxa"/>
            <w:vAlign w:val="center"/>
          </w:tcPr>
          <w:p>
            <w:pPr>
              <w:pStyle w:val="15"/>
            </w:pPr>
            <w:r>
              <w:t>支出总计</w:t>
            </w:r>
          </w:p>
        </w:tc>
        <w:tc>
          <w:tcPr>
            <w:tcW w:w="1474" w:type="dxa"/>
            <w:vAlign w:val="center"/>
          </w:tcPr>
          <w:p>
            <w:pPr>
              <w:pStyle w:val="16"/>
            </w:pPr>
            <w:r>
              <w:t>713.03</w:t>
            </w:r>
          </w:p>
        </w:tc>
        <w:tc>
          <w:tcPr>
            <w:tcW w:w="1474" w:type="dxa"/>
            <w:vAlign w:val="center"/>
          </w:tcPr>
          <w:p>
            <w:pPr>
              <w:pStyle w:val="16"/>
            </w:pPr>
            <w:r>
              <w:t>713.03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713.03</w:t>
            </w:r>
          </w:p>
        </w:tc>
        <w:tc>
          <w:tcPr>
            <w:tcW w:w="2551" w:type="dxa"/>
            <w:vAlign w:val="center"/>
          </w:tcPr>
          <w:p>
            <w:pPr>
              <w:pStyle w:val="16"/>
            </w:pPr>
            <w:r>
              <w:t>627.03</w:t>
            </w:r>
          </w:p>
        </w:tc>
        <w:tc>
          <w:tcPr>
            <w:tcW w:w="2551" w:type="dxa"/>
            <w:vAlign w:val="center"/>
          </w:tcPr>
          <w:p>
            <w:pPr>
              <w:pStyle w:val="16"/>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535.33</w:t>
            </w:r>
          </w:p>
        </w:tc>
        <w:tc>
          <w:tcPr>
            <w:tcW w:w="2551" w:type="dxa"/>
            <w:vAlign w:val="center"/>
          </w:tcPr>
          <w:p>
            <w:pPr>
              <w:pStyle w:val="12"/>
            </w:pPr>
            <w:r>
              <w:t>449.33</w:t>
            </w:r>
          </w:p>
        </w:tc>
        <w:tc>
          <w:tcPr>
            <w:tcW w:w="2551" w:type="dxa"/>
            <w:vAlign w:val="center"/>
          </w:tcPr>
          <w:p>
            <w:pPr>
              <w:pStyle w:val="12"/>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535.33</w:t>
            </w:r>
          </w:p>
        </w:tc>
        <w:tc>
          <w:tcPr>
            <w:tcW w:w="2551" w:type="dxa"/>
            <w:vAlign w:val="center"/>
          </w:tcPr>
          <w:p>
            <w:pPr>
              <w:pStyle w:val="12"/>
            </w:pPr>
            <w:r>
              <w:t>449.33</w:t>
            </w:r>
          </w:p>
        </w:tc>
        <w:tc>
          <w:tcPr>
            <w:tcW w:w="2551" w:type="dxa"/>
            <w:vAlign w:val="center"/>
          </w:tcPr>
          <w:p>
            <w:pPr>
              <w:pStyle w:val="12"/>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2010306</w:t>
            </w:r>
          </w:p>
        </w:tc>
        <w:tc>
          <w:tcPr>
            <w:tcW w:w="4535" w:type="dxa"/>
            <w:vAlign w:val="center"/>
          </w:tcPr>
          <w:p>
            <w:pPr>
              <w:pStyle w:val="13"/>
            </w:pPr>
            <w:r>
              <w:t>政务公开审批</w:t>
            </w:r>
          </w:p>
        </w:tc>
        <w:tc>
          <w:tcPr>
            <w:tcW w:w="2551" w:type="dxa"/>
            <w:vAlign w:val="center"/>
          </w:tcPr>
          <w:p>
            <w:pPr>
              <w:pStyle w:val="12"/>
            </w:pPr>
            <w:r>
              <w:t>535.33</w:t>
            </w:r>
          </w:p>
        </w:tc>
        <w:tc>
          <w:tcPr>
            <w:tcW w:w="2551" w:type="dxa"/>
            <w:vAlign w:val="center"/>
          </w:tcPr>
          <w:p>
            <w:pPr>
              <w:pStyle w:val="12"/>
            </w:pPr>
            <w:r>
              <w:t>449.33</w:t>
            </w:r>
          </w:p>
        </w:tc>
        <w:tc>
          <w:tcPr>
            <w:tcW w:w="2551" w:type="dxa"/>
            <w:vAlign w:val="center"/>
          </w:tcPr>
          <w:p>
            <w:pPr>
              <w:pStyle w:val="12"/>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84.40</w:t>
            </w:r>
          </w:p>
        </w:tc>
        <w:tc>
          <w:tcPr>
            <w:tcW w:w="2551" w:type="dxa"/>
            <w:vAlign w:val="center"/>
          </w:tcPr>
          <w:p>
            <w:pPr>
              <w:pStyle w:val="12"/>
            </w:pPr>
            <w:r>
              <w:t>84.40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84.40</w:t>
            </w:r>
          </w:p>
        </w:tc>
        <w:tc>
          <w:tcPr>
            <w:tcW w:w="2551" w:type="dxa"/>
            <w:vAlign w:val="center"/>
          </w:tcPr>
          <w:p>
            <w:pPr>
              <w:pStyle w:val="12"/>
            </w:pPr>
            <w:r>
              <w:t>84.40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22.48</w:t>
            </w:r>
          </w:p>
        </w:tc>
        <w:tc>
          <w:tcPr>
            <w:tcW w:w="2551" w:type="dxa"/>
            <w:vAlign w:val="center"/>
          </w:tcPr>
          <w:p>
            <w:pPr>
              <w:pStyle w:val="12"/>
            </w:pPr>
            <w:r>
              <w:t>22.48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55.22</w:t>
            </w:r>
          </w:p>
        </w:tc>
        <w:tc>
          <w:tcPr>
            <w:tcW w:w="2551" w:type="dxa"/>
            <w:vAlign w:val="center"/>
          </w:tcPr>
          <w:p>
            <w:pPr>
              <w:pStyle w:val="12"/>
            </w:pPr>
            <w:r>
              <w:t>55.22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6.69</w:t>
            </w:r>
          </w:p>
        </w:tc>
        <w:tc>
          <w:tcPr>
            <w:tcW w:w="2551" w:type="dxa"/>
            <w:vAlign w:val="center"/>
          </w:tcPr>
          <w:p>
            <w:pPr>
              <w:pStyle w:val="12"/>
            </w:pPr>
            <w:r>
              <w:t>6.69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47.81</w:t>
            </w:r>
          </w:p>
        </w:tc>
        <w:tc>
          <w:tcPr>
            <w:tcW w:w="2551" w:type="dxa"/>
            <w:vAlign w:val="center"/>
          </w:tcPr>
          <w:p>
            <w:pPr>
              <w:pStyle w:val="12"/>
            </w:pPr>
            <w:r>
              <w:t>47.81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47.81</w:t>
            </w:r>
          </w:p>
        </w:tc>
        <w:tc>
          <w:tcPr>
            <w:tcW w:w="2551" w:type="dxa"/>
            <w:vAlign w:val="center"/>
          </w:tcPr>
          <w:p>
            <w:pPr>
              <w:pStyle w:val="12"/>
            </w:pPr>
            <w:r>
              <w:t>47.81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47.81</w:t>
            </w:r>
          </w:p>
        </w:tc>
        <w:tc>
          <w:tcPr>
            <w:tcW w:w="2551" w:type="dxa"/>
            <w:vAlign w:val="center"/>
          </w:tcPr>
          <w:p>
            <w:pPr>
              <w:pStyle w:val="12"/>
            </w:pPr>
            <w:r>
              <w:t>47.81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45.50</w:t>
            </w:r>
          </w:p>
        </w:tc>
        <w:tc>
          <w:tcPr>
            <w:tcW w:w="2551" w:type="dxa"/>
            <w:vAlign w:val="center"/>
          </w:tcPr>
          <w:p>
            <w:pPr>
              <w:pStyle w:val="12"/>
            </w:pPr>
            <w:r>
              <w:t>45.50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45.50</w:t>
            </w:r>
          </w:p>
        </w:tc>
        <w:tc>
          <w:tcPr>
            <w:tcW w:w="2551" w:type="dxa"/>
            <w:vAlign w:val="center"/>
          </w:tcPr>
          <w:p>
            <w:pPr>
              <w:pStyle w:val="12"/>
            </w:pPr>
            <w:r>
              <w:t>45.50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45.50</w:t>
            </w:r>
          </w:p>
        </w:tc>
        <w:tc>
          <w:tcPr>
            <w:tcW w:w="2551" w:type="dxa"/>
            <w:vAlign w:val="center"/>
          </w:tcPr>
          <w:p>
            <w:pPr>
              <w:pStyle w:val="12"/>
            </w:pPr>
            <w:r>
              <w:t>45.50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627.03</w:t>
            </w:r>
          </w:p>
        </w:tc>
        <w:tc>
          <w:tcPr>
            <w:tcW w:w="2551" w:type="dxa"/>
            <w:vAlign w:val="center"/>
          </w:tcPr>
          <w:p>
            <w:pPr>
              <w:pStyle w:val="16"/>
            </w:pPr>
            <w:r>
              <w:t>581.36</w:t>
            </w:r>
          </w:p>
        </w:tc>
        <w:tc>
          <w:tcPr>
            <w:tcW w:w="2551" w:type="dxa"/>
            <w:vAlign w:val="center"/>
          </w:tcPr>
          <w:p>
            <w:pPr>
              <w:pStyle w:val="16"/>
            </w:pPr>
            <w:r>
              <w:t>45.67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559.91</w:t>
            </w:r>
          </w:p>
        </w:tc>
        <w:tc>
          <w:tcPr>
            <w:tcW w:w="2551" w:type="dxa"/>
            <w:vAlign w:val="center"/>
          </w:tcPr>
          <w:p>
            <w:pPr>
              <w:pStyle w:val="12"/>
            </w:pPr>
            <w:r>
              <w:t>559.91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209.17</w:t>
            </w:r>
          </w:p>
        </w:tc>
        <w:tc>
          <w:tcPr>
            <w:tcW w:w="2551" w:type="dxa"/>
            <w:vAlign w:val="center"/>
          </w:tcPr>
          <w:p>
            <w:pPr>
              <w:pStyle w:val="12"/>
            </w:pPr>
            <w:r>
              <w:t>209.17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42.58</w:t>
            </w:r>
          </w:p>
        </w:tc>
        <w:tc>
          <w:tcPr>
            <w:tcW w:w="2551" w:type="dxa"/>
            <w:vAlign w:val="center"/>
          </w:tcPr>
          <w:p>
            <w:pPr>
              <w:pStyle w:val="12"/>
            </w:pPr>
            <w:r>
              <w:t>42.58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21.59</w:t>
            </w:r>
          </w:p>
        </w:tc>
        <w:tc>
          <w:tcPr>
            <w:tcW w:w="2551" w:type="dxa"/>
            <w:vAlign w:val="center"/>
          </w:tcPr>
          <w:p>
            <w:pPr>
              <w:pStyle w:val="12"/>
            </w:pPr>
            <w:r>
              <w:t>21.59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128.24</w:t>
            </w:r>
          </w:p>
        </w:tc>
        <w:tc>
          <w:tcPr>
            <w:tcW w:w="2551" w:type="dxa"/>
            <w:vAlign w:val="center"/>
          </w:tcPr>
          <w:p>
            <w:pPr>
              <w:pStyle w:val="12"/>
            </w:pPr>
            <w:r>
              <w:t>128.24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55.22</w:t>
            </w:r>
          </w:p>
        </w:tc>
        <w:tc>
          <w:tcPr>
            <w:tcW w:w="2551" w:type="dxa"/>
            <w:vAlign w:val="center"/>
          </w:tcPr>
          <w:p>
            <w:pPr>
              <w:pStyle w:val="12"/>
            </w:pPr>
            <w:r>
              <w:t>55.22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6.69</w:t>
            </w:r>
          </w:p>
        </w:tc>
        <w:tc>
          <w:tcPr>
            <w:tcW w:w="2551" w:type="dxa"/>
            <w:vAlign w:val="center"/>
          </w:tcPr>
          <w:p>
            <w:pPr>
              <w:pStyle w:val="12"/>
            </w:pPr>
            <w:r>
              <w:t>6.69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25.58</w:t>
            </w:r>
          </w:p>
        </w:tc>
        <w:tc>
          <w:tcPr>
            <w:tcW w:w="2551" w:type="dxa"/>
            <w:vAlign w:val="center"/>
          </w:tcPr>
          <w:p>
            <w:pPr>
              <w:pStyle w:val="12"/>
            </w:pPr>
            <w:r>
              <w:t>25.58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22.23</w:t>
            </w:r>
          </w:p>
        </w:tc>
        <w:tc>
          <w:tcPr>
            <w:tcW w:w="2551" w:type="dxa"/>
            <w:vAlign w:val="center"/>
          </w:tcPr>
          <w:p>
            <w:pPr>
              <w:pStyle w:val="12"/>
            </w:pPr>
            <w:r>
              <w:t>22.23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3.10</w:t>
            </w:r>
          </w:p>
        </w:tc>
        <w:tc>
          <w:tcPr>
            <w:tcW w:w="2551" w:type="dxa"/>
            <w:vAlign w:val="center"/>
          </w:tcPr>
          <w:p>
            <w:pPr>
              <w:pStyle w:val="12"/>
            </w:pPr>
            <w:r>
              <w:t>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45.50</w:t>
            </w:r>
          </w:p>
        </w:tc>
        <w:tc>
          <w:tcPr>
            <w:tcW w:w="2551" w:type="dxa"/>
            <w:vAlign w:val="center"/>
          </w:tcPr>
          <w:p>
            <w:pPr>
              <w:pStyle w:val="12"/>
            </w:pPr>
            <w:r>
              <w:t>45.50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44.31</w:t>
            </w:r>
          </w:p>
        </w:tc>
        <w:tc>
          <w:tcPr>
            <w:tcW w:w="2551" w:type="dxa"/>
            <w:vAlign w:val="center"/>
          </w:tcPr>
          <w:p>
            <w:pPr>
              <w:pStyle w:val="12"/>
            </w:pPr>
          </w:p>
        </w:tc>
        <w:tc>
          <w:tcPr>
            <w:tcW w:w="2551" w:type="dxa"/>
            <w:vAlign w:val="center"/>
          </w:tcPr>
          <w:p>
            <w:pPr>
              <w:pStyle w:val="12"/>
            </w:pPr>
            <w:r>
              <w:t>44.31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9.86</w:t>
            </w:r>
          </w:p>
        </w:tc>
        <w:tc>
          <w:tcPr>
            <w:tcW w:w="2551" w:type="dxa"/>
            <w:vAlign w:val="center"/>
          </w:tcPr>
          <w:p>
            <w:pPr>
              <w:pStyle w:val="12"/>
            </w:pPr>
          </w:p>
        </w:tc>
        <w:tc>
          <w:tcPr>
            <w:tcW w:w="2551" w:type="dxa"/>
            <w:vAlign w:val="center"/>
          </w:tcPr>
          <w:p>
            <w:pPr>
              <w:pStyle w:val="12"/>
            </w:pPr>
            <w:r>
              <w:t>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5.44</w:t>
            </w:r>
          </w:p>
        </w:tc>
        <w:tc>
          <w:tcPr>
            <w:tcW w:w="2551" w:type="dxa"/>
            <w:vAlign w:val="center"/>
          </w:tcPr>
          <w:p>
            <w:pPr>
              <w:pStyle w:val="12"/>
            </w:pPr>
          </w:p>
        </w:tc>
        <w:tc>
          <w:tcPr>
            <w:tcW w:w="2551" w:type="dxa"/>
            <w:vAlign w:val="center"/>
          </w:tcPr>
          <w:p>
            <w:pPr>
              <w:pStyle w:val="12"/>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4.96</w:t>
            </w:r>
          </w:p>
        </w:tc>
        <w:tc>
          <w:tcPr>
            <w:tcW w:w="2551" w:type="dxa"/>
            <w:vAlign w:val="center"/>
          </w:tcPr>
          <w:p>
            <w:pPr>
              <w:pStyle w:val="12"/>
            </w:pPr>
          </w:p>
        </w:tc>
        <w:tc>
          <w:tcPr>
            <w:tcW w:w="2551" w:type="dxa"/>
            <w:vAlign w:val="center"/>
          </w:tcPr>
          <w:p>
            <w:pPr>
              <w:pStyle w:val="12"/>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3.26</w:t>
            </w:r>
          </w:p>
        </w:tc>
        <w:tc>
          <w:tcPr>
            <w:tcW w:w="2551" w:type="dxa"/>
            <w:vAlign w:val="center"/>
          </w:tcPr>
          <w:p>
            <w:pPr>
              <w:pStyle w:val="12"/>
            </w:pPr>
          </w:p>
        </w:tc>
        <w:tc>
          <w:tcPr>
            <w:tcW w:w="2551" w:type="dxa"/>
            <w:vAlign w:val="center"/>
          </w:tcPr>
          <w:p>
            <w:pPr>
              <w:pStyle w:val="12"/>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3.84</w:t>
            </w:r>
          </w:p>
        </w:tc>
        <w:tc>
          <w:tcPr>
            <w:tcW w:w="2551" w:type="dxa"/>
            <w:vAlign w:val="center"/>
          </w:tcPr>
          <w:p>
            <w:pPr>
              <w:pStyle w:val="12"/>
            </w:pPr>
          </w:p>
        </w:tc>
        <w:tc>
          <w:tcPr>
            <w:tcW w:w="2551" w:type="dxa"/>
            <w:vAlign w:val="center"/>
          </w:tcPr>
          <w:p>
            <w:pPr>
              <w:pStyle w:val="12"/>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1.03</w:t>
            </w:r>
          </w:p>
        </w:tc>
        <w:tc>
          <w:tcPr>
            <w:tcW w:w="2551" w:type="dxa"/>
            <w:vAlign w:val="center"/>
          </w:tcPr>
          <w:p>
            <w:pPr>
              <w:pStyle w:val="12"/>
            </w:pPr>
          </w:p>
        </w:tc>
        <w:tc>
          <w:tcPr>
            <w:tcW w:w="2551"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21.46</w:t>
            </w:r>
          </w:p>
        </w:tc>
        <w:tc>
          <w:tcPr>
            <w:tcW w:w="2551" w:type="dxa"/>
            <w:vAlign w:val="center"/>
          </w:tcPr>
          <w:p>
            <w:pPr>
              <w:pStyle w:val="12"/>
            </w:pPr>
            <w:r>
              <w:t>21.46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21.46</w:t>
            </w:r>
          </w:p>
        </w:tc>
        <w:tc>
          <w:tcPr>
            <w:tcW w:w="2551" w:type="dxa"/>
            <w:vAlign w:val="center"/>
          </w:tcPr>
          <w:p>
            <w:pPr>
              <w:pStyle w:val="12"/>
            </w:pPr>
            <w:r>
              <w:t>21.46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2.75</w:t>
            </w:r>
          </w:p>
        </w:tc>
        <w:tc>
          <w:tcPr>
            <w:tcW w:w="2381" w:type="dxa"/>
            <w:vAlign w:val="center"/>
          </w:tcPr>
          <w:p>
            <w:pPr>
              <w:pStyle w:val="16"/>
            </w:pPr>
            <w:r>
              <w:t>2.75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2.75</w:t>
            </w:r>
          </w:p>
        </w:tc>
        <w:tc>
          <w:tcPr>
            <w:tcW w:w="2381" w:type="dxa"/>
            <w:vAlign w:val="center"/>
          </w:tcPr>
          <w:p>
            <w:pPr>
              <w:pStyle w:val="12"/>
            </w:pPr>
            <w:r>
              <w:t>2.75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秦皇岛北戴河新区行政审批局2025年部门预算信息公开情况说明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秦皇岛北戴河新区行政审批局2025年部门预算信息公开情况说明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按照《中华人民共和国预算法》、《地方预决算公开操作规程》和《关于进一步推进预算公开工作的实施意见》规定，现将秦皇岛北戴河新区行政审批局2025年部门预算公开如下：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（一）贯彻执行党中央、国务院和省委省政府、市委市政府、新区党工委、管委会行政审批制度改革、政务服务管理、公共资源交易市场管理、社会信用体系建设有关方针政策和法律法规。</w:t>
      </w:r>
    </w:p>
    <w:p>
      <w:pPr>
        <w:pStyle w:val="18"/>
      </w:pPr>
      <w:r>
        <w:t>（二）负责推进新区数据管理工作。按照中央、省、市和有关部门统一部署，统筹推进数字北戴河新区、数字经济、数字社会、数字政府建设，协调推动公共服务和社会治理信息化，协调促进智慧城市建设；统筹数据资源整合共享和开发利用，推动信息资源跨行业跨部门互联互通；统筹推进政务运行数字化转型，落实政务服务规范化、标准化、集约化建设。</w:t>
      </w:r>
    </w:p>
    <w:p>
      <w:pPr>
        <w:pStyle w:val="18"/>
      </w:pPr>
      <w:r>
        <w:t>（三）指导协调新区行政审批制度改革工作。推进简政放权，清理和规范各类行政许可、公共服务等管理事项；协调推进行政审批标准化工作。</w:t>
      </w:r>
    </w:p>
    <w:p>
      <w:pPr>
        <w:pStyle w:val="18"/>
      </w:pPr>
      <w:r>
        <w:t>（四）指导协调新区政务服务管理工作。负责优化政务服务供给，降低制度性交易成本，提升政务服务效能；负责推进审批服务便民化；负责公共资源交易市场行政管理和业务指导；指导协调新区有关部门为公民、法人或其他组织提供规范、高效、优质的政务服务。</w:t>
      </w:r>
    </w:p>
    <w:p>
      <w:pPr>
        <w:pStyle w:val="18"/>
      </w:pPr>
      <w:r>
        <w:t>（五）负责综合协调和监督管理新区各部门、垂管部门行政审批、政务服务事项的集中统一办理。组织相关部门开展审批服务事项的联合办理和联审会办。</w:t>
      </w:r>
    </w:p>
    <w:p>
      <w:pPr>
        <w:pStyle w:val="18"/>
      </w:pPr>
      <w:r>
        <w:t>（六）引导和推动社会信用体系建设。负责推动信用信息的汇聚、交换、共享和应用；负责开展守信联合激励和失信联合惩戒制度建设等相关工作，建立健全诚信综合监督体系；组织开展失信问题专项治理；加强城市信用建设，培育和发展信用服务市场。</w:t>
      </w:r>
    </w:p>
    <w:p>
      <w:pPr>
        <w:pStyle w:val="18"/>
      </w:pPr>
      <w:r>
        <w:t>（七）负责投资项目、市场服务、人民防空、生态环境、住建城管、社会事务、食品卫生、文教体卫、农林畜水等领域行政审批事项的办理及相关行政性收费，并承担相应的法律责任。</w:t>
      </w:r>
    </w:p>
    <w:p>
      <w:pPr>
        <w:pStyle w:val="18"/>
      </w:pPr>
      <w:r>
        <w:t>（八）承办新区党工委、管委会交办的其他事项。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秦皇岛北戴河新区行政审批局本级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秦皇岛北戴河新区政务服务中心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按照预算管理有关规定，目前部门预算的编制实行综合预算管理，即全部收入和支出都反映在预算中。秦皇岛北戴河新区行政审批局机关及所属事业单位的收支包含在部门预算中。</w:t>
      </w:r>
    </w:p>
    <w:p>
      <w:pPr>
        <w:pStyle w:val="19"/>
      </w:pPr>
      <w:r>
        <w:t>1、收入说明</w:t>
      </w:r>
    </w:p>
    <w:p>
      <w:pPr>
        <w:pStyle w:val="19"/>
      </w:pPr>
      <w:r>
        <w:t>反映本部门当年全部收入。2025年预算收入713.03万元，其中：一般公共预算收入713.03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秦皇岛北戴河新区行政审批局年度部门预算中支出预算的总体情况。2025年支出预算713.03万元，其中基本支出627.03万元，包括人员经费581.36万元和日常公用经费45.67万元；项目支出86.00万元，主要为行政审批工作经费和政务中心服务窗口工作经费</w:t>
      </w:r>
      <w:r>
        <w:rPr>
          <w:rFonts w:hint="eastAsia"/>
          <w:lang w:eastAsia="zh-CN"/>
        </w:rPr>
        <w:t>。</w:t>
      </w:r>
    </w:p>
    <w:p>
      <w:pPr>
        <w:pStyle w:val="19"/>
      </w:pPr>
      <w:r>
        <w:t>3、比上年增减情况</w:t>
      </w:r>
    </w:p>
    <w:p>
      <w:pPr>
        <w:pStyle w:val="19"/>
      </w:pPr>
      <w:r>
        <w:t>2025年预算收支安排713.03万元，较2024年预算减少64.81万元，其中：基本支出减少55.81万元，主要为人员和日常公用经费</w:t>
      </w:r>
      <w:r>
        <w:rPr>
          <w:rFonts w:hint="eastAsia"/>
          <w:lang w:eastAsia="zh-CN"/>
        </w:rPr>
        <w:t>。</w:t>
      </w:r>
      <w:r>
        <w:t>项目支出减少9.00万元，主要为行政审批工作经费缩减8万元，政务中心服务窗口工作经费缩减1万元。</w:t>
      </w:r>
      <w:bookmarkStart w:id="20" w:name="_GoBack"/>
      <w:bookmarkEnd w:id="20"/>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2025年，我部门机关运行经费共计安排45.67万元，主要用于日常维修、办公用房水电费、办公用房取暖费、办公用房物业管理费等日常运行支出。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2025年，我部门财政拨款“三公”经费预算安排2.75万元，其中因公出国（境）费0.00万元；公务用车购置及运维费2.30万元（其中：公务用车购置费为0.00万元，公务用车运维费2.30万元)；公务接待费0.45万元。与2024年相比减少0.05万元，增减变化的主要原因是公务接待费缩减0.05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贯彻执行党中央、国务院和省委省政府、市委市政府和新区工管委“放管服”改革、行政审批制度改革、政务服务管理、公共资源交易市场管理、社会信用体系建设有关方针政策和法律法规。</w:t>
      </w:r>
    </w:p>
    <w:p>
      <w:pPr>
        <w:pStyle w:val="22"/>
      </w:pPr>
      <w:r>
        <w:t>坚持以企业、群众实际需求为导向，创新工作思路、精简办事流程，以努力打造营商环境最优、办事成本最低、服务群众最好、办事效率最高的政务服务环境为目标，努力完成全面深化改革、“三创四建”、优化营商环境、助力企业复工复产等各项工作任务。以群众需求为目标，纵深推进行政审批改革以提供优质服务为基础，着力打造一流营商环境，以提升素质为核心，扎实做好机关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贯彻执行党中央、国务院和省委省政府、市委市政府和新区工管委“放管服”改革、行政审批制度改革、政务服务管理、公共资源交易市场管理、社会信用体系建设有关方针政策和法律法规。</w:t>
      </w:r>
    </w:p>
    <w:p>
      <w:pPr>
        <w:pStyle w:val="23"/>
      </w:pPr>
      <w:r>
        <w:t>坚持以企业、群众实际需求为导向，创新工作思路、精简办事流程，以努力打造营商环境最优、办事成本最低、服务群众最好、办事效率最高的政务服务环境为目标，努力完成全面深化改革、“三创四建”、优化营商环境、助力企业复工复产等各项工作任务。以群众需求为目标，纵深推进行政审批改革以提供优质服务为基础，着力打造一流营商环境，以提升素质为核心，扎实做好机关党建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w:t>
      </w:r>
    </w:p>
    <w:p>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pPr>
      <w:r>
        <w:rPr>
          <w:rFonts w:hint="eastAsia"/>
          <w:lang w:val="en-US" w:eastAsia="zh-CN"/>
        </w:rPr>
        <w:t>2.</w:t>
      </w:r>
      <w:r>
        <w:t>加强支出管理</w:t>
      </w:r>
    </w:p>
    <w:p>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pPr>
      <w:r>
        <w:rPr>
          <w:rFonts w:hint="eastAsia"/>
          <w:lang w:val="en-US" w:eastAsia="zh-CN"/>
        </w:rPr>
        <w:t>3.</w:t>
      </w:r>
      <w:r>
        <w:t>加强绩效运行监控</w:t>
      </w:r>
    </w:p>
    <w:p>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rPr>
          <w:rFonts w:hint="eastAsia"/>
          <w:lang w:val="en-US" w:eastAsia="zh-CN"/>
        </w:rPr>
        <w:t>4.</w:t>
      </w:r>
      <w:r>
        <w:t>做好绩效自评</w:t>
      </w:r>
    </w:p>
    <w:p>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rPr>
          <w:rFonts w:hint="eastAsia"/>
          <w:lang w:val="en-US" w:eastAsia="zh-CN"/>
        </w:rPr>
        <w:t>5.</w:t>
      </w:r>
      <w:r>
        <w:t>规范财务资产管理</w:t>
      </w:r>
    </w:p>
    <w:p>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rPr>
          <w:rFonts w:hint="eastAsia"/>
          <w:lang w:val="en-US" w:eastAsia="zh-CN"/>
        </w:rPr>
        <w:t>6.</w:t>
      </w:r>
      <w:r>
        <w:t>加强内部监督</w:t>
      </w:r>
    </w:p>
    <w:p>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pPr>
      <w:r>
        <w:rPr>
          <w:rFonts w:hint="eastAsia"/>
          <w:lang w:val="en-US" w:eastAsia="zh-CN"/>
        </w:rPr>
        <w:t>7.</w:t>
      </w:r>
      <w:r>
        <w:t>加强宣传培训调研等</w:t>
      </w:r>
    </w:p>
    <w:p>
      <w:pPr>
        <w:pStyle w:val="24"/>
        <w:sectPr>
          <w:pgSz w:w="16840" w:h="11900" w:orient="landscape"/>
          <w:pgMar w:top="1361" w:right="1020" w:bottom="1361" w:left="1020" w:header="720" w:footer="720" w:gutter="0"/>
          <w:cols w:space="720" w:num="1"/>
        </w:sectPr>
      </w:pPr>
      <w:r>
        <w:t>强化信息宣传，营造良好氛围。进一步加大信息宣传工作力度，扩大宣传范围，创新宣传方式，让各项制度简单明了、人人掌握，确保业务工作顺利进行。</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1、行政审批工作经费绩效目标表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13031325P00880510500P</w:t>
            </w:r>
          </w:p>
        </w:tc>
        <w:tc>
          <w:tcPr>
            <w:tcW w:w="2835" w:type="dxa"/>
            <w:vAlign w:val="center"/>
          </w:tcPr>
          <w:p>
            <w:pPr>
              <w:pStyle w:val="11"/>
            </w:pPr>
            <w:r>
              <w:t>项目名称</w:t>
            </w:r>
          </w:p>
        </w:tc>
        <w:tc>
          <w:tcPr>
            <w:tcW w:w="6095" w:type="dxa"/>
            <w:gridSpan w:val="3"/>
            <w:vAlign w:val="center"/>
          </w:tcPr>
          <w:p>
            <w:pPr>
              <w:pStyle w:val="13"/>
            </w:pPr>
            <w:r>
              <w:t>行政审批工作经费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w:t>
            </w:r>
          </w:p>
        </w:tc>
        <w:tc>
          <w:tcPr>
            <w:tcW w:w="2835" w:type="dxa"/>
            <w:vAlign w:val="center"/>
          </w:tcPr>
          <w:p>
            <w:pPr>
              <w:pStyle w:val="11"/>
            </w:pPr>
            <w:r>
              <w:t>其中：财政    资金</w:t>
            </w:r>
          </w:p>
        </w:tc>
        <w:tc>
          <w:tcPr>
            <w:tcW w:w="2551" w:type="dxa"/>
            <w:vAlign w:val="center"/>
          </w:tcPr>
          <w:p>
            <w:pPr>
              <w:pStyle w:val="13"/>
            </w:pPr>
            <w:r>
              <w:t>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行政审批工作经费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1.保障审批大厅各方面设备设施安全正常运行以保证业务审批正常运行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需要专家评审项目数</w:t>
            </w:r>
          </w:p>
        </w:tc>
        <w:tc>
          <w:tcPr>
            <w:tcW w:w="5386" w:type="dxa"/>
            <w:vAlign w:val="center"/>
          </w:tcPr>
          <w:p>
            <w:pPr>
              <w:pStyle w:val="13"/>
            </w:pPr>
            <w:r>
              <w:t>根据审批业务类型及相关文件</w:t>
            </w:r>
          </w:p>
        </w:tc>
        <w:tc>
          <w:tcPr>
            <w:tcW w:w="2268" w:type="dxa"/>
            <w:vAlign w:val="center"/>
          </w:tcPr>
          <w:p>
            <w:pPr>
              <w:pStyle w:val="13"/>
            </w:pPr>
            <w:r>
              <w:t>≥50个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评审验收合格率</w:t>
            </w:r>
          </w:p>
        </w:tc>
        <w:tc>
          <w:tcPr>
            <w:tcW w:w="5386" w:type="dxa"/>
            <w:vAlign w:val="center"/>
          </w:tcPr>
          <w:p>
            <w:pPr>
              <w:pStyle w:val="13"/>
            </w:pPr>
            <w:r>
              <w:t>专家评审项目评审验收合格率</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证件、耗材等办公项目保障时效</w:t>
            </w:r>
          </w:p>
        </w:tc>
        <w:tc>
          <w:tcPr>
            <w:tcW w:w="5386" w:type="dxa"/>
            <w:vAlign w:val="center"/>
          </w:tcPr>
          <w:p>
            <w:pPr>
              <w:pStyle w:val="13"/>
            </w:pPr>
            <w:r>
              <w:t>所有与审批相关的业务能否及时保障</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成本控制预算数</w:t>
            </w:r>
          </w:p>
        </w:tc>
        <w:tc>
          <w:tcPr>
            <w:tcW w:w="5386" w:type="dxa"/>
            <w:vAlign w:val="center"/>
          </w:tcPr>
          <w:p>
            <w:pPr>
              <w:pStyle w:val="13"/>
            </w:pPr>
            <w:r>
              <w:t>实际支出与预算控制数的关系</w:t>
            </w:r>
          </w:p>
        </w:tc>
        <w:tc>
          <w:tcPr>
            <w:tcW w:w="2268" w:type="dxa"/>
            <w:vAlign w:val="center"/>
          </w:tcPr>
          <w:p>
            <w:pPr>
              <w:pStyle w:val="13"/>
            </w:pPr>
            <w:r>
              <w:t>≤72万元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提升办事便利性</w:t>
            </w:r>
          </w:p>
        </w:tc>
        <w:tc>
          <w:tcPr>
            <w:tcW w:w="5386" w:type="dxa"/>
            <w:vAlign w:val="center"/>
          </w:tcPr>
          <w:p>
            <w:pPr>
              <w:pStyle w:val="13"/>
            </w:pPr>
            <w:r>
              <w:t>提供高效便利、公开透明的在线服务平台</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提升工作稳定、持续开展</w:t>
            </w:r>
          </w:p>
        </w:tc>
        <w:tc>
          <w:tcPr>
            <w:tcW w:w="5386" w:type="dxa"/>
            <w:vAlign w:val="center"/>
          </w:tcPr>
          <w:p>
            <w:pPr>
              <w:pStyle w:val="13"/>
            </w:pPr>
            <w:r>
              <w:t>有效保障业务工作顺利开展</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办理业务人员的满意度</w:t>
            </w:r>
          </w:p>
        </w:tc>
        <w:tc>
          <w:tcPr>
            <w:tcW w:w="5386" w:type="dxa"/>
            <w:vAlign w:val="center"/>
          </w:tcPr>
          <w:p>
            <w:pPr>
              <w:pStyle w:val="13"/>
            </w:pPr>
            <w:r>
              <w:t>办事人员满意度调查</w:t>
            </w:r>
          </w:p>
        </w:tc>
        <w:tc>
          <w:tcPr>
            <w:tcW w:w="2268" w:type="dxa"/>
            <w:vAlign w:val="center"/>
          </w:tcPr>
          <w:p>
            <w:pPr>
              <w:pStyle w:val="13"/>
            </w:pPr>
            <w:r>
              <w:t>≥100%</w:t>
            </w:r>
          </w:p>
        </w:tc>
        <w:tc>
          <w:tcPr>
            <w:tcW w:w="1276" w:type="dxa"/>
            <w:vAlign w:val="center"/>
          </w:tcPr>
          <w:p>
            <w:pPr>
              <w:pStyle w:val="13"/>
            </w:pPr>
            <w:r>
              <w:t>部门职责和工作计划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2、政务中心服务窗口管理工作经费绩效目标表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13031325P00880510501B</w:t>
            </w:r>
          </w:p>
        </w:tc>
        <w:tc>
          <w:tcPr>
            <w:tcW w:w="2835" w:type="dxa"/>
            <w:vAlign w:val="center"/>
          </w:tcPr>
          <w:p>
            <w:pPr>
              <w:pStyle w:val="11"/>
            </w:pPr>
            <w:r>
              <w:t>项目名称</w:t>
            </w:r>
          </w:p>
        </w:tc>
        <w:tc>
          <w:tcPr>
            <w:tcW w:w="6095" w:type="dxa"/>
            <w:gridSpan w:val="3"/>
            <w:vAlign w:val="center"/>
          </w:tcPr>
          <w:p>
            <w:pPr>
              <w:pStyle w:val="13"/>
            </w:pPr>
            <w:r>
              <w:t>政务中心服务窗口管理工作经费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政务中心服务窗口管理工作经费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1.为政务大厅窗口日常管理提供高效优质服务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审批业务完成率</w:t>
            </w:r>
          </w:p>
        </w:tc>
        <w:tc>
          <w:tcPr>
            <w:tcW w:w="5386" w:type="dxa"/>
            <w:vAlign w:val="center"/>
          </w:tcPr>
          <w:p>
            <w:pPr>
              <w:pStyle w:val="13"/>
            </w:pPr>
            <w:r>
              <w:t>反映政务中心服务窗口审批业务完成率</w:t>
            </w:r>
          </w:p>
        </w:tc>
        <w:tc>
          <w:tcPr>
            <w:tcW w:w="2268" w:type="dxa"/>
            <w:vAlign w:val="center"/>
          </w:tcPr>
          <w:p>
            <w:pPr>
              <w:pStyle w:val="13"/>
            </w:pPr>
            <w:r>
              <w:t>≥98%</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审批业务规范性</w:t>
            </w:r>
          </w:p>
        </w:tc>
        <w:tc>
          <w:tcPr>
            <w:tcW w:w="5386" w:type="dxa"/>
            <w:vAlign w:val="center"/>
          </w:tcPr>
          <w:p>
            <w:pPr>
              <w:pStyle w:val="13"/>
            </w:pPr>
            <w:r>
              <w:t>审批业务符合文件规定</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审批业务完成及时率</w:t>
            </w:r>
          </w:p>
        </w:tc>
        <w:tc>
          <w:tcPr>
            <w:tcW w:w="2268" w:type="dxa"/>
            <w:vAlign w:val="center"/>
          </w:tcPr>
          <w:p>
            <w:pPr>
              <w:pStyle w:val="13"/>
            </w:pPr>
            <w:r>
              <w:t>≥98%</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≤14万元</w:t>
            </w:r>
          </w:p>
        </w:tc>
        <w:tc>
          <w:tcPr>
            <w:tcW w:w="1276" w:type="dxa"/>
            <w:vAlign w:val="center"/>
          </w:tcPr>
          <w:p>
            <w:pPr>
              <w:pStyle w:val="13"/>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保持工作稳定持续开展</w:t>
            </w:r>
          </w:p>
        </w:tc>
        <w:tc>
          <w:tcPr>
            <w:tcW w:w="5386" w:type="dxa"/>
            <w:vAlign w:val="center"/>
          </w:tcPr>
          <w:p>
            <w:pPr>
              <w:pStyle w:val="13"/>
            </w:pPr>
            <w:r>
              <w:t>有效保障业务工作顺利开展</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提升办事便利性</w:t>
            </w:r>
          </w:p>
        </w:tc>
        <w:tc>
          <w:tcPr>
            <w:tcW w:w="5386" w:type="dxa"/>
            <w:vAlign w:val="center"/>
          </w:tcPr>
          <w:p>
            <w:pPr>
              <w:pStyle w:val="13"/>
            </w:pPr>
            <w:r>
              <w:t>提供高效便利、公开透明在线办理服务</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办事人员满意度</w:t>
            </w:r>
          </w:p>
        </w:tc>
        <w:tc>
          <w:tcPr>
            <w:tcW w:w="5386" w:type="dxa"/>
            <w:vAlign w:val="center"/>
          </w:tcPr>
          <w:p>
            <w:pPr>
              <w:pStyle w:val="13"/>
            </w:pPr>
            <w:r>
              <w:t>抽调调查办事人员满意度</w:t>
            </w:r>
          </w:p>
        </w:tc>
        <w:tc>
          <w:tcPr>
            <w:tcW w:w="2268" w:type="dxa"/>
            <w:vAlign w:val="center"/>
          </w:tcPr>
          <w:p>
            <w:pPr>
              <w:pStyle w:val="13"/>
            </w:pPr>
            <w:r>
              <w:t>≥100%</w:t>
            </w:r>
          </w:p>
        </w:tc>
        <w:tc>
          <w:tcPr>
            <w:tcW w:w="1276" w:type="dxa"/>
            <w:vAlign w:val="center"/>
          </w:tcPr>
          <w:p>
            <w:pPr>
              <w:pStyle w:val="13"/>
            </w:pPr>
            <w:r>
              <w:t>部门职责和工作计划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4.70</w:t>
            </w:r>
          </w:p>
        </w:tc>
        <w:tc>
          <w:tcPr>
            <w:tcW w:w="964" w:type="dxa"/>
            <w:vAlign w:val="center"/>
          </w:tcPr>
          <w:p>
            <w:pPr>
              <w:pStyle w:val="16"/>
            </w:pPr>
            <w:r>
              <w:t>4.70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秦皇岛北戴河新区行政审批局本级小计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4.70</w:t>
            </w:r>
          </w:p>
        </w:tc>
        <w:tc>
          <w:tcPr>
            <w:tcW w:w="964" w:type="dxa"/>
            <w:vAlign w:val="center"/>
          </w:tcPr>
          <w:p>
            <w:pPr>
              <w:pStyle w:val="16"/>
            </w:pPr>
            <w:r>
              <w:t>4.70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27.65</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万元</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27.65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.6</w:t>
            </w:r>
          </w:p>
        </w:tc>
        <w:tc>
          <w:tcPr>
            <w:tcW w:w="850" w:type="dxa"/>
            <w:vAlign w:val="center"/>
          </w:tcPr>
          <w:p>
            <w:pPr>
              <w:pStyle w:val="12"/>
            </w:pPr>
            <w:r>
              <w:t>1.00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27.65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1.2</w:t>
            </w:r>
          </w:p>
        </w:tc>
        <w:tc>
          <w:tcPr>
            <w:tcW w:w="850" w:type="dxa"/>
            <w:vAlign w:val="center"/>
          </w:tcPr>
          <w:p>
            <w:pPr>
              <w:pStyle w:val="12"/>
            </w:pPr>
            <w:r>
              <w:t>1.00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18.02</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18.02</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行政审批工作经费</w:t>
            </w:r>
          </w:p>
        </w:tc>
        <w:tc>
          <w:tcPr>
            <w:tcW w:w="964" w:type="dxa"/>
            <w:vAlign w:val="center"/>
          </w:tcPr>
          <w:p>
            <w:pPr>
              <w:pStyle w:val="12"/>
            </w:pPr>
            <w:r>
              <w:t>72.00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政务中心服务窗口管理工作经费</w:t>
            </w:r>
          </w:p>
        </w:tc>
        <w:tc>
          <w:tcPr>
            <w:tcW w:w="964" w:type="dxa"/>
            <w:vAlign w:val="center"/>
          </w:tcPr>
          <w:p>
            <w:pPr>
              <w:pStyle w:val="12"/>
            </w:pPr>
            <w:r>
              <w:t>14.00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秦皇岛北戴河新区行政审批局（含所属单位）上年末固定资产金额为266.16万元（详见下表）。本年度拟购置固定资产总额为10.00万元，已按要求列入政府采购预算，详见政府采购预算表。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316秦皇岛北戴河新区行政审批局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539</w:t>
            </w:r>
          </w:p>
        </w:tc>
        <w:tc>
          <w:tcPr>
            <w:tcW w:w="2835" w:type="dxa"/>
            <w:vAlign w:val="center"/>
          </w:tcPr>
          <w:p>
            <w:pPr>
              <w:pStyle w:val="12"/>
            </w:pPr>
            <w:r>
              <w:t>243.16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C7E73"/>
    <w:rsid w:val="2BFD08C4"/>
    <w:rsid w:val="40696065"/>
    <w:rsid w:val="431C7C8B"/>
    <w:rsid w:val="48FA7E11"/>
    <w:rsid w:val="57B936FA"/>
    <w:rsid w:val="66A655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277</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2025-02-21T09:25:00Z</dcterms:created>
  <dc:creator>Administrator</dc:creator>
  <cp:lastModifiedBy>Administrator</cp:lastModifiedBy>
  <cp:lastPrinted>2025-02-21T07:27:00Z</cp:lastPrinted>
  <dcterms:modified xsi:type="dcterms:W3CDTF">2025-03-03T07:40:11Z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AE9311B4AB9E4A75A1764A76F750CE52</vt:lpwstr>
  </property>
</Properties>
</file>