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一、秦皇岛北戴河新区招商和投资促进局本级收支预算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一、秦皇岛北戴河新区招商和投资促进局本级收支预算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322001秦皇岛北戴河新区招商和投资促进局本级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1021.70</w:t>
            </w:r>
          </w:p>
        </w:tc>
        <w:tc>
          <w:tcPr>
            <w:tcW w:w="4535" w:type="dxa"/>
            <w:vAlign w:val="center"/>
          </w:tcPr>
          <w:p>
            <w:pPr>
              <w:pStyle w:val="12"/>
            </w:pPr>
            <w:r>
              <w:t>一、一般公共服务支出</w:t>
            </w:r>
          </w:p>
        </w:tc>
        <w:tc>
          <w:tcPr>
            <w:tcW w:w="2126" w:type="dxa"/>
            <w:vAlign w:val="center"/>
          </w:tcPr>
          <w:p>
            <w:pPr>
              <w:pStyle w:val="11"/>
            </w:pPr>
            <w:r>
              <w:t>865.82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65.79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44.94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1021.70</w:t>
            </w:r>
          </w:p>
        </w:tc>
        <w:tc>
          <w:tcPr>
            <w:tcW w:w="4535" w:type="dxa"/>
            <w:vAlign w:val="center"/>
          </w:tcPr>
          <w:p>
            <w:pPr>
              <w:pStyle w:val="14"/>
            </w:pPr>
            <w:r>
              <w:t>本年支出合计</w:t>
            </w:r>
          </w:p>
        </w:tc>
        <w:tc>
          <w:tcPr>
            <w:tcW w:w="2126" w:type="dxa"/>
            <w:vAlign w:val="center"/>
          </w:tcPr>
          <w:p>
            <w:pPr>
              <w:pStyle w:val="15"/>
            </w:pPr>
            <w:r>
              <w:t>1021.70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1021.70</w:t>
            </w:r>
          </w:p>
        </w:tc>
        <w:tc>
          <w:tcPr>
            <w:tcW w:w="4535" w:type="dxa"/>
            <w:vAlign w:val="center"/>
          </w:tcPr>
          <w:p>
            <w:pPr>
              <w:pStyle w:val="14"/>
            </w:pPr>
            <w:r>
              <w:t>支出总计</w:t>
            </w:r>
          </w:p>
        </w:tc>
        <w:tc>
          <w:tcPr>
            <w:tcW w:w="2126" w:type="dxa"/>
            <w:vAlign w:val="center"/>
          </w:tcPr>
          <w:p>
            <w:pPr>
              <w:pStyle w:val="15"/>
            </w:pPr>
            <w:r>
              <w:t>1021.70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322001秦皇岛北戴河新区招商和投资促进局本级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1021.70</w:t>
            </w:r>
          </w:p>
        </w:tc>
        <w:tc>
          <w:tcPr>
            <w:tcW w:w="1134" w:type="dxa"/>
            <w:vAlign w:val="center"/>
          </w:tcPr>
          <w:p>
            <w:pPr>
              <w:pStyle w:val="15"/>
            </w:pPr>
            <w:r>
              <w:t>1021.70</w:t>
            </w:r>
          </w:p>
        </w:tc>
        <w:tc>
          <w:tcPr>
            <w:tcW w:w="1134" w:type="dxa"/>
            <w:vAlign w:val="center"/>
          </w:tcPr>
          <w:p>
            <w:pPr>
              <w:pStyle w:val="15"/>
            </w:pPr>
            <w:r>
              <w:t>1021.70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865.82</w:t>
            </w:r>
          </w:p>
        </w:tc>
        <w:tc>
          <w:tcPr>
            <w:tcW w:w="1134" w:type="dxa"/>
            <w:vAlign w:val="center"/>
          </w:tcPr>
          <w:p>
            <w:pPr>
              <w:pStyle w:val="11"/>
            </w:pPr>
            <w:r>
              <w:t>865.82</w:t>
            </w:r>
          </w:p>
        </w:tc>
        <w:tc>
          <w:tcPr>
            <w:tcW w:w="1134" w:type="dxa"/>
            <w:vAlign w:val="center"/>
          </w:tcPr>
          <w:p>
            <w:pPr>
              <w:pStyle w:val="11"/>
            </w:pPr>
            <w:r>
              <w:t>865.82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20113</w:t>
            </w:r>
          </w:p>
        </w:tc>
        <w:tc>
          <w:tcPr>
            <w:tcW w:w="1559" w:type="dxa"/>
            <w:vAlign w:val="center"/>
          </w:tcPr>
          <w:p>
            <w:pPr>
              <w:pStyle w:val="12"/>
            </w:pPr>
            <w:r>
              <w:t>商贸事务</w:t>
            </w:r>
          </w:p>
        </w:tc>
        <w:tc>
          <w:tcPr>
            <w:tcW w:w="1134" w:type="dxa"/>
            <w:vAlign w:val="center"/>
          </w:tcPr>
          <w:p>
            <w:pPr>
              <w:pStyle w:val="11"/>
            </w:pPr>
            <w:r>
              <w:t>865.82</w:t>
            </w:r>
          </w:p>
        </w:tc>
        <w:tc>
          <w:tcPr>
            <w:tcW w:w="1134" w:type="dxa"/>
            <w:vAlign w:val="center"/>
          </w:tcPr>
          <w:p>
            <w:pPr>
              <w:pStyle w:val="11"/>
            </w:pPr>
            <w:r>
              <w:t>865.82</w:t>
            </w:r>
          </w:p>
        </w:tc>
        <w:tc>
          <w:tcPr>
            <w:tcW w:w="1134" w:type="dxa"/>
            <w:vAlign w:val="center"/>
          </w:tcPr>
          <w:p>
            <w:pPr>
              <w:pStyle w:val="11"/>
            </w:pPr>
            <w:r>
              <w:t>865.82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2011301</w:t>
            </w:r>
          </w:p>
        </w:tc>
        <w:tc>
          <w:tcPr>
            <w:tcW w:w="1559" w:type="dxa"/>
            <w:vAlign w:val="center"/>
          </w:tcPr>
          <w:p>
            <w:pPr>
              <w:pStyle w:val="12"/>
            </w:pPr>
            <w:r>
              <w:t>行政运行</w:t>
            </w:r>
          </w:p>
        </w:tc>
        <w:tc>
          <w:tcPr>
            <w:tcW w:w="1134" w:type="dxa"/>
            <w:vAlign w:val="center"/>
          </w:tcPr>
          <w:p>
            <w:pPr>
              <w:pStyle w:val="11"/>
            </w:pPr>
            <w:r>
              <w:t>439.52</w:t>
            </w:r>
          </w:p>
        </w:tc>
        <w:tc>
          <w:tcPr>
            <w:tcW w:w="1134" w:type="dxa"/>
            <w:vAlign w:val="center"/>
          </w:tcPr>
          <w:p>
            <w:pPr>
              <w:pStyle w:val="11"/>
            </w:pPr>
            <w:r>
              <w:t>439.52</w:t>
            </w:r>
          </w:p>
        </w:tc>
        <w:tc>
          <w:tcPr>
            <w:tcW w:w="1134" w:type="dxa"/>
            <w:vAlign w:val="center"/>
          </w:tcPr>
          <w:p>
            <w:pPr>
              <w:pStyle w:val="11"/>
            </w:pPr>
            <w:r>
              <w:t>439.52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2011308</w:t>
            </w:r>
          </w:p>
        </w:tc>
        <w:tc>
          <w:tcPr>
            <w:tcW w:w="1559" w:type="dxa"/>
            <w:vAlign w:val="center"/>
          </w:tcPr>
          <w:p>
            <w:pPr>
              <w:pStyle w:val="12"/>
            </w:pPr>
            <w:r>
              <w:t>招商引资</w:t>
            </w:r>
          </w:p>
        </w:tc>
        <w:tc>
          <w:tcPr>
            <w:tcW w:w="1134" w:type="dxa"/>
            <w:vAlign w:val="center"/>
          </w:tcPr>
          <w:p>
            <w:pPr>
              <w:pStyle w:val="11"/>
            </w:pPr>
            <w:r>
              <w:t>409.00</w:t>
            </w:r>
          </w:p>
        </w:tc>
        <w:tc>
          <w:tcPr>
            <w:tcW w:w="1134" w:type="dxa"/>
            <w:vAlign w:val="center"/>
          </w:tcPr>
          <w:p>
            <w:pPr>
              <w:pStyle w:val="11"/>
            </w:pPr>
            <w:r>
              <w:t>409.00</w:t>
            </w:r>
          </w:p>
        </w:tc>
        <w:tc>
          <w:tcPr>
            <w:tcW w:w="1134" w:type="dxa"/>
            <w:vAlign w:val="center"/>
          </w:tcPr>
          <w:p>
            <w:pPr>
              <w:pStyle w:val="11"/>
            </w:pPr>
            <w:r>
              <w:t>409.00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2011399</w:t>
            </w:r>
          </w:p>
        </w:tc>
        <w:tc>
          <w:tcPr>
            <w:tcW w:w="1559" w:type="dxa"/>
            <w:vAlign w:val="center"/>
          </w:tcPr>
          <w:p>
            <w:pPr>
              <w:pStyle w:val="12"/>
            </w:pPr>
            <w:r>
              <w:t>其他商贸事务支出</w:t>
            </w:r>
          </w:p>
        </w:tc>
        <w:tc>
          <w:tcPr>
            <w:tcW w:w="1134" w:type="dxa"/>
            <w:vAlign w:val="center"/>
          </w:tcPr>
          <w:p>
            <w:pPr>
              <w:pStyle w:val="11"/>
            </w:pPr>
            <w:r>
              <w:t>17.30</w:t>
            </w:r>
          </w:p>
        </w:tc>
        <w:tc>
          <w:tcPr>
            <w:tcW w:w="1134" w:type="dxa"/>
            <w:vAlign w:val="center"/>
          </w:tcPr>
          <w:p>
            <w:pPr>
              <w:pStyle w:val="11"/>
            </w:pPr>
            <w:r>
              <w:t>17.30</w:t>
            </w:r>
          </w:p>
        </w:tc>
        <w:tc>
          <w:tcPr>
            <w:tcW w:w="1134" w:type="dxa"/>
            <w:vAlign w:val="center"/>
          </w:tcPr>
          <w:p>
            <w:pPr>
              <w:pStyle w:val="11"/>
            </w:pPr>
            <w:r>
              <w:t>17.30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65.79</w:t>
            </w:r>
          </w:p>
        </w:tc>
        <w:tc>
          <w:tcPr>
            <w:tcW w:w="1134" w:type="dxa"/>
            <w:vAlign w:val="center"/>
          </w:tcPr>
          <w:p>
            <w:pPr>
              <w:pStyle w:val="11"/>
            </w:pPr>
            <w:r>
              <w:t>65.79</w:t>
            </w:r>
          </w:p>
        </w:tc>
        <w:tc>
          <w:tcPr>
            <w:tcW w:w="1134" w:type="dxa"/>
            <w:vAlign w:val="center"/>
          </w:tcPr>
          <w:p>
            <w:pPr>
              <w:pStyle w:val="11"/>
            </w:pPr>
            <w:r>
              <w:t>65.79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65.79</w:t>
            </w:r>
          </w:p>
        </w:tc>
        <w:tc>
          <w:tcPr>
            <w:tcW w:w="1134" w:type="dxa"/>
            <w:vAlign w:val="center"/>
          </w:tcPr>
          <w:p>
            <w:pPr>
              <w:pStyle w:val="11"/>
            </w:pPr>
            <w:r>
              <w:t>65.79</w:t>
            </w:r>
          </w:p>
        </w:tc>
        <w:tc>
          <w:tcPr>
            <w:tcW w:w="1134" w:type="dxa"/>
            <w:vAlign w:val="center"/>
          </w:tcPr>
          <w:p>
            <w:pPr>
              <w:pStyle w:val="11"/>
            </w:pPr>
            <w:r>
              <w:t>65.79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8.01</w:t>
            </w:r>
          </w:p>
        </w:tc>
        <w:tc>
          <w:tcPr>
            <w:tcW w:w="1134" w:type="dxa"/>
            <w:vAlign w:val="center"/>
          </w:tcPr>
          <w:p>
            <w:pPr>
              <w:pStyle w:val="11"/>
            </w:pPr>
            <w:r>
              <w:t>8.01</w:t>
            </w:r>
          </w:p>
        </w:tc>
        <w:tc>
          <w:tcPr>
            <w:tcW w:w="1134" w:type="dxa"/>
            <w:vAlign w:val="center"/>
          </w:tcPr>
          <w:p>
            <w:pPr>
              <w:pStyle w:val="11"/>
            </w:pPr>
            <w:r>
              <w:t>8.01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54.80</w:t>
            </w:r>
          </w:p>
        </w:tc>
        <w:tc>
          <w:tcPr>
            <w:tcW w:w="1134" w:type="dxa"/>
            <w:vAlign w:val="center"/>
          </w:tcPr>
          <w:p>
            <w:pPr>
              <w:pStyle w:val="11"/>
            </w:pPr>
            <w:r>
              <w:t>54.80</w:t>
            </w:r>
          </w:p>
        </w:tc>
        <w:tc>
          <w:tcPr>
            <w:tcW w:w="1134" w:type="dxa"/>
            <w:vAlign w:val="center"/>
          </w:tcPr>
          <w:p>
            <w:pPr>
              <w:pStyle w:val="11"/>
            </w:pPr>
            <w:r>
              <w:t>54.80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2.99</w:t>
            </w:r>
          </w:p>
        </w:tc>
        <w:tc>
          <w:tcPr>
            <w:tcW w:w="1134" w:type="dxa"/>
            <w:vAlign w:val="center"/>
          </w:tcPr>
          <w:p>
            <w:pPr>
              <w:pStyle w:val="11"/>
            </w:pPr>
            <w:r>
              <w:t>2.99</w:t>
            </w:r>
          </w:p>
        </w:tc>
        <w:tc>
          <w:tcPr>
            <w:tcW w:w="1134" w:type="dxa"/>
            <w:vAlign w:val="center"/>
          </w:tcPr>
          <w:p>
            <w:pPr>
              <w:pStyle w:val="11"/>
            </w:pPr>
            <w:r>
              <w:t>2.99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45.15</w:t>
            </w:r>
          </w:p>
        </w:tc>
        <w:tc>
          <w:tcPr>
            <w:tcW w:w="1134" w:type="dxa"/>
            <w:vAlign w:val="center"/>
          </w:tcPr>
          <w:p>
            <w:pPr>
              <w:pStyle w:val="11"/>
            </w:pPr>
            <w:r>
              <w:t>45.15</w:t>
            </w:r>
          </w:p>
        </w:tc>
        <w:tc>
          <w:tcPr>
            <w:tcW w:w="1134" w:type="dxa"/>
            <w:vAlign w:val="center"/>
          </w:tcPr>
          <w:p>
            <w:pPr>
              <w:pStyle w:val="11"/>
            </w:pPr>
            <w:r>
              <w:t>45.15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45.15</w:t>
            </w:r>
          </w:p>
        </w:tc>
        <w:tc>
          <w:tcPr>
            <w:tcW w:w="1134" w:type="dxa"/>
            <w:vAlign w:val="center"/>
          </w:tcPr>
          <w:p>
            <w:pPr>
              <w:pStyle w:val="11"/>
            </w:pPr>
            <w:r>
              <w:t>45.15</w:t>
            </w:r>
          </w:p>
        </w:tc>
        <w:tc>
          <w:tcPr>
            <w:tcW w:w="1134" w:type="dxa"/>
            <w:vAlign w:val="center"/>
          </w:tcPr>
          <w:p>
            <w:pPr>
              <w:pStyle w:val="11"/>
            </w:pPr>
            <w:r>
              <w:t>45.15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45.15</w:t>
            </w:r>
          </w:p>
        </w:tc>
        <w:tc>
          <w:tcPr>
            <w:tcW w:w="1134" w:type="dxa"/>
            <w:vAlign w:val="center"/>
          </w:tcPr>
          <w:p>
            <w:pPr>
              <w:pStyle w:val="11"/>
            </w:pPr>
            <w:r>
              <w:t>45.15</w:t>
            </w:r>
          </w:p>
        </w:tc>
        <w:tc>
          <w:tcPr>
            <w:tcW w:w="1134" w:type="dxa"/>
            <w:vAlign w:val="center"/>
          </w:tcPr>
          <w:p>
            <w:pPr>
              <w:pStyle w:val="11"/>
            </w:pPr>
            <w:r>
              <w:t>45.15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44.94</w:t>
            </w:r>
          </w:p>
        </w:tc>
        <w:tc>
          <w:tcPr>
            <w:tcW w:w="1134" w:type="dxa"/>
            <w:vAlign w:val="center"/>
          </w:tcPr>
          <w:p>
            <w:pPr>
              <w:pStyle w:val="11"/>
            </w:pPr>
            <w:r>
              <w:t>44.94</w:t>
            </w:r>
          </w:p>
        </w:tc>
        <w:tc>
          <w:tcPr>
            <w:tcW w:w="1134" w:type="dxa"/>
            <w:vAlign w:val="center"/>
          </w:tcPr>
          <w:p>
            <w:pPr>
              <w:pStyle w:val="11"/>
            </w:pPr>
            <w:r>
              <w:t>44.94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44.94</w:t>
            </w:r>
          </w:p>
        </w:tc>
        <w:tc>
          <w:tcPr>
            <w:tcW w:w="1134" w:type="dxa"/>
            <w:vAlign w:val="center"/>
          </w:tcPr>
          <w:p>
            <w:pPr>
              <w:pStyle w:val="11"/>
            </w:pPr>
            <w:r>
              <w:t>44.94</w:t>
            </w:r>
          </w:p>
        </w:tc>
        <w:tc>
          <w:tcPr>
            <w:tcW w:w="1134" w:type="dxa"/>
            <w:vAlign w:val="center"/>
          </w:tcPr>
          <w:p>
            <w:pPr>
              <w:pStyle w:val="11"/>
            </w:pPr>
            <w:r>
              <w:t>44.94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44.94</w:t>
            </w:r>
          </w:p>
        </w:tc>
        <w:tc>
          <w:tcPr>
            <w:tcW w:w="1134" w:type="dxa"/>
            <w:vAlign w:val="center"/>
          </w:tcPr>
          <w:p>
            <w:pPr>
              <w:pStyle w:val="11"/>
            </w:pPr>
            <w:r>
              <w:t>44.94</w:t>
            </w:r>
          </w:p>
        </w:tc>
        <w:tc>
          <w:tcPr>
            <w:tcW w:w="1134" w:type="dxa"/>
            <w:vAlign w:val="center"/>
          </w:tcPr>
          <w:p>
            <w:pPr>
              <w:pStyle w:val="11"/>
            </w:pPr>
            <w:r>
              <w:t>44.94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322001秦皇岛北戴河新区招商和投资促进局本级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1021.70</w:t>
            </w:r>
          </w:p>
        </w:tc>
        <w:tc>
          <w:tcPr>
            <w:tcW w:w="1361" w:type="dxa"/>
            <w:vAlign w:val="center"/>
          </w:tcPr>
          <w:p>
            <w:pPr>
              <w:pStyle w:val="15"/>
            </w:pPr>
            <w:r>
              <w:t>595.40</w:t>
            </w:r>
          </w:p>
        </w:tc>
        <w:tc>
          <w:tcPr>
            <w:tcW w:w="1361" w:type="dxa"/>
            <w:vAlign w:val="center"/>
          </w:tcPr>
          <w:p>
            <w:pPr>
              <w:pStyle w:val="15"/>
            </w:pPr>
            <w:r>
              <w:t>426.30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865.82</w:t>
            </w:r>
          </w:p>
        </w:tc>
        <w:tc>
          <w:tcPr>
            <w:tcW w:w="1361" w:type="dxa"/>
            <w:vAlign w:val="center"/>
          </w:tcPr>
          <w:p>
            <w:pPr>
              <w:pStyle w:val="11"/>
            </w:pPr>
            <w:r>
              <w:t>439.52</w:t>
            </w:r>
          </w:p>
        </w:tc>
        <w:tc>
          <w:tcPr>
            <w:tcW w:w="1361" w:type="dxa"/>
            <w:vAlign w:val="center"/>
          </w:tcPr>
          <w:p>
            <w:pPr>
              <w:pStyle w:val="11"/>
            </w:pPr>
            <w:r>
              <w:t>426.30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20113</w:t>
            </w:r>
          </w:p>
        </w:tc>
        <w:tc>
          <w:tcPr>
            <w:tcW w:w="4535" w:type="dxa"/>
            <w:vAlign w:val="center"/>
          </w:tcPr>
          <w:p>
            <w:pPr>
              <w:pStyle w:val="12"/>
            </w:pPr>
            <w:r>
              <w:t>商贸事务</w:t>
            </w:r>
          </w:p>
        </w:tc>
        <w:tc>
          <w:tcPr>
            <w:tcW w:w="1361" w:type="dxa"/>
            <w:vAlign w:val="center"/>
          </w:tcPr>
          <w:p>
            <w:pPr>
              <w:pStyle w:val="11"/>
            </w:pPr>
            <w:r>
              <w:t>865.82</w:t>
            </w:r>
          </w:p>
        </w:tc>
        <w:tc>
          <w:tcPr>
            <w:tcW w:w="1361" w:type="dxa"/>
            <w:vAlign w:val="center"/>
          </w:tcPr>
          <w:p>
            <w:pPr>
              <w:pStyle w:val="11"/>
            </w:pPr>
            <w:r>
              <w:t>439.52</w:t>
            </w:r>
          </w:p>
        </w:tc>
        <w:tc>
          <w:tcPr>
            <w:tcW w:w="1361" w:type="dxa"/>
            <w:vAlign w:val="center"/>
          </w:tcPr>
          <w:p>
            <w:pPr>
              <w:pStyle w:val="11"/>
            </w:pPr>
            <w:r>
              <w:t>426.30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2011301</w:t>
            </w:r>
          </w:p>
        </w:tc>
        <w:tc>
          <w:tcPr>
            <w:tcW w:w="4535" w:type="dxa"/>
            <w:vAlign w:val="center"/>
          </w:tcPr>
          <w:p>
            <w:pPr>
              <w:pStyle w:val="12"/>
            </w:pPr>
            <w:r>
              <w:t>行政运行</w:t>
            </w:r>
          </w:p>
        </w:tc>
        <w:tc>
          <w:tcPr>
            <w:tcW w:w="1361" w:type="dxa"/>
            <w:vAlign w:val="center"/>
          </w:tcPr>
          <w:p>
            <w:pPr>
              <w:pStyle w:val="11"/>
            </w:pPr>
            <w:r>
              <w:t>439.52</w:t>
            </w:r>
          </w:p>
        </w:tc>
        <w:tc>
          <w:tcPr>
            <w:tcW w:w="1361" w:type="dxa"/>
            <w:vAlign w:val="center"/>
          </w:tcPr>
          <w:p>
            <w:pPr>
              <w:pStyle w:val="11"/>
            </w:pPr>
            <w:r>
              <w:t>439.52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2011308</w:t>
            </w:r>
          </w:p>
        </w:tc>
        <w:tc>
          <w:tcPr>
            <w:tcW w:w="4535" w:type="dxa"/>
            <w:vAlign w:val="center"/>
          </w:tcPr>
          <w:p>
            <w:pPr>
              <w:pStyle w:val="12"/>
            </w:pPr>
            <w:r>
              <w:t>招商引资</w:t>
            </w:r>
          </w:p>
        </w:tc>
        <w:tc>
          <w:tcPr>
            <w:tcW w:w="1361" w:type="dxa"/>
            <w:vAlign w:val="center"/>
          </w:tcPr>
          <w:p>
            <w:pPr>
              <w:pStyle w:val="11"/>
            </w:pPr>
            <w:r>
              <w:t>409.00</w:t>
            </w:r>
          </w:p>
        </w:tc>
        <w:tc>
          <w:tcPr>
            <w:tcW w:w="1361" w:type="dxa"/>
            <w:vAlign w:val="center"/>
          </w:tcPr>
          <w:p>
            <w:pPr>
              <w:pStyle w:val="11"/>
            </w:pPr>
          </w:p>
        </w:tc>
        <w:tc>
          <w:tcPr>
            <w:tcW w:w="1361" w:type="dxa"/>
            <w:vAlign w:val="center"/>
          </w:tcPr>
          <w:p>
            <w:pPr>
              <w:pStyle w:val="11"/>
            </w:pPr>
            <w:r>
              <w:t>409.00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2011399</w:t>
            </w:r>
          </w:p>
        </w:tc>
        <w:tc>
          <w:tcPr>
            <w:tcW w:w="4535" w:type="dxa"/>
            <w:vAlign w:val="center"/>
          </w:tcPr>
          <w:p>
            <w:pPr>
              <w:pStyle w:val="12"/>
            </w:pPr>
            <w:r>
              <w:t>其他商贸事务支出</w:t>
            </w:r>
          </w:p>
        </w:tc>
        <w:tc>
          <w:tcPr>
            <w:tcW w:w="1361" w:type="dxa"/>
            <w:vAlign w:val="center"/>
          </w:tcPr>
          <w:p>
            <w:pPr>
              <w:pStyle w:val="11"/>
            </w:pPr>
            <w:r>
              <w:t>17.30</w:t>
            </w:r>
          </w:p>
        </w:tc>
        <w:tc>
          <w:tcPr>
            <w:tcW w:w="1361" w:type="dxa"/>
            <w:vAlign w:val="center"/>
          </w:tcPr>
          <w:p>
            <w:pPr>
              <w:pStyle w:val="11"/>
            </w:pPr>
          </w:p>
        </w:tc>
        <w:tc>
          <w:tcPr>
            <w:tcW w:w="1361" w:type="dxa"/>
            <w:vAlign w:val="center"/>
          </w:tcPr>
          <w:p>
            <w:pPr>
              <w:pStyle w:val="11"/>
            </w:pPr>
            <w:r>
              <w:t>17.30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65.79</w:t>
            </w:r>
          </w:p>
        </w:tc>
        <w:tc>
          <w:tcPr>
            <w:tcW w:w="1361" w:type="dxa"/>
            <w:vAlign w:val="center"/>
          </w:tcPr>
          <w:p>
            <w:pPr>
              <w:pStyle w:val="11"/>
            </w:pPr>
            <w:r>
              <w:t>65.79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65.79</w:t>
            </w:r>
          </w:p>
        </w:tc>
        <w:tc>
          <w:tcPr>
            <w:tcW w:w="1361" w:type="dxa"/>
            <w:vAlign w:val="center"/>
          </w:tcPr>
          <w:p>
            <w:pPr>
              <w:pStyle w:val="11"/>
            </w:pPr>
            <w:r>
              <w:t>65.79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8.01</w:t>
            </w:r>
          </w:p>
        </w:tc>
        <w:tc>
          <w:tcPr>
            <w:tcW w:w="1361" w:type="dxa"/>
            <w:vAlign w:val="center"/>
          </w:tcPr>
          <w:p>
            <w:pPr>
              <w:pStyle w:val="11"/>
            </w:pPr>
            <w:r>
              <w:t>8.01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54.80</w:t>
            </w:r>
          </w:p>
        </w:tc>
        <w:tc>
          <w:tcPr>
            <w:tcW w:w="1361" w:type="dxa"/>
            <w:vAlign w:val="center"/>
          </w:tcPr>
          <w:p>
            <w:pPr>
              <w:pStyle w:val="11"/>
            </w:pPr>
            <w:r>
              <w:t>54.80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2.99</w:t>
            </w:r>
          </w:p>
        </w:tc>
        <w:tc>
          <w:tcPr>
            <w:tcW w:w="1361" w:type="dxa"/>
            <w:vAlign w:val="center"/>
          </w:tcPr>
          <w:p>
            <w:pPr>
              <w:pStyle w:val="11"/>
            </w:pPr>
            <w:r>
              <w:t>2.99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45.15</w:t>
            </w:r>
          </w:p>
        </w:tc>
        <w:tc>
          <w:tcPr>
            <w:tcW w:w="1361" w:type="dxa"/>
            <w:vAlign w:val="center"/>
          </w:tcPr>
          <w:p>
            <w:pPr>
              <w:pStyle w:val="11"/>
            </w:pPr>
            <w:r>
              <w:t>45.15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45.15</w:t>
            </w:r>
          </w:p>
        </w:tc>
        <w:tc>
          <w:tcPr>
            <w:tcW w:w="1361" w:type="dxa"/>
            <w:vAlign w:val="center"/>
          </w:tcPr>
          <w:p>
            <w:pPr>
              <w:pStyle w:val="11"/>
            </w:pPr>
            <w:r>
              <w:t>45.15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45.15</w:t>
            </w:r>
          </w:p>
        </w:tc>
        <w:tc>
          <w:tcPr>
            <w:tcW w:w="1361" w:type="dxa"/>
            <w:vAlign w:val="center"/>
          </w:tcPr>
          <w:p>
            <w:pPr>
              <w:pStyle w:val="11"/>
            </w:pPr>
            <w:r>
              <w:t>45.15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44.94</w:t>
            </w:r>
          </w:p>
        </w:tc>
        <w:tc>
          <w:tcPr>
            <w:tcW w:w="1361" w:type="dxa"/>
            <w:vAlign w:val="center"/>
          </w:tcPr>
          <w:p>
            <w:pPr>
              <w:pStyle w:val="11"/>
            </w:pPr>
            <w:r>
              <w:t>44.94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44.94</w:t>
            </w:r>
          </w:p>
        </w:tc>
        <w:tc>
          <w:tcPr>
            <w:tcW w:w="1361" w:type="dxa"/>
            <w:vAlign w:val="center"/>
          </w:tcPr>
          <w:p>
            <w:pPr>
              <w:pStyle w:val="11"/>
            </w:pPr>
            <w:r>
              <w:t>44.94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44.94</w:t>
            </w:r>
          </w:p>
        </w:tc>
        <w:tc>
          <w:tcPr>
            <w:tcW w:w="1361" w:type="dxa"/>
            <w:vAlign w:val="center"/>
          </w:tcPr>
          <w:p>
            <w:pPr>
              <w:pStyle w:val="11"/>
            </w:pPr>
            <w:r>
              <w:t>44.94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322001秦皇岛北戴河新区招商和投资促进局本级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1021.70</w:t>
            </w:r>
          </w:p>
        </w:tc>
        <w:tc>
          <w:tcPr>
            <w:tcW w:w="3402" w:type="dxa"/>
            <w:vAlign w:val="center"/>
          </w:tcPr>
          <w:p>
            <w:pPr>
              <w:pStyle w:val="12"/>
            </w:pPr>
            <w:r>
              <w:t>一、一般公共服务支出</w:t>
            </w:r>
          </w:p>
        </w:tc>
        <w:tc>
          <w:tcPr>
            <w:tcW w:w="1474" w:type="dxa"/>
            <w:vAlign w:val="center"/>
          </w:tcPr>
          <w:p>
            <w:pPr>
              <w:pStyle w:val="11"/>
            </w:pPr>
            <w:r>
              <w:t>865.82</w:t>
            </w:r>
          </w:p>
        </w:tc>
        <w:tc>
          <w:tcPr>
            <w:tcW w:w="1474" w:type="dxa"/>
            <w:vAlign w:val="center"/>
          </w:tcPr>
          <w:p>
            <w:pPr>
              <w:pStyle w:val="11"/>
            </w:pPr>
            <w:r>
              <w:t>865.82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65.79</w:t>
            </w:r>
          </w:p>
        </w:tc>
        <w:tc>
          <w:tcPr>
            <w:tcW w:w="1474" w:type="dxa"/>
            <w:vAlign w:val="center"/>
          </w:tcPr>
          <w:p>
            <w:pPr>
              <w:pStyle w:val="11"/>
            </w:pPr>
            <w:r>
              <w:t>65.79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45.15</w:t>
            </w:r>
          </w:p>
        </w:tc>
        <w:tc>
          <w:tcPr>
            <w:tcW w:w="1474" w:type="dxa"/>
            <w:vAlign w:val="center"/>
          </w:tcPr>
          <w:p>
            <w:pPr>
              <w:pStyle w:val="11"/>
            </w:pPr>
            <w:r>
              <w:t>45.15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44.94</w:t>
            </w:r>
          </w:p>
        </w:tc>
        <w:tc>
          <w:tcPr>
            <w:tcW w:w="1474" w:type="dxa"/>
            <w:vAlign w:val="center"/>
          </w:tcPr>
          <w:p>
            <w:pPr>
              <w:pStyle w:val="11"/>
            </w:pPr>
            <w:r>
              <w:t>44.94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1021.70</w:t>
            </w:r>
          </w:p>
        </w:tc>
        <w:tc>
          <w:tcPr>
            <w:tcW w:w="3402" w:type="dxa"/>
            <w:vAlign w:val="center"/>
          </w:tcPr>
          <w:p>
            <w:pPr>
              <w:pStyle w:val="14"/>
            </w:pPr>
            <w:r>
              <w:t>本年支出合计</w:t>
            </w:r>
          </w:p>
        </w:tc>
        <w:tc>
          <w:tcPr>
            <w:tcW w:w="1474" w:type="dxa"/>
            <w:vAlign w:val="center"/>
          </w:tcPr>
          <w:p>
            <w:pPr>
              <w:pStyle w:val="15"/>
            </w:pPr>
            <w:r>
              <w:t>1021.70</w:t>
            </w:r>
          </w:p>
        </w:tc>
        <w:tc>
          <w:tcPr>
            <w:tcW w:w="1474" w:type="dxa"/>
            <w:vAlign w:val="center"/>
          </w:tcPr>
          <w:p>
            <w:pPr>
              <w:pStyle w:val="15"/>
            </w:pPr>
            <w:r>
              <w:t>1021.70</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1021.70</w:t>
            </w:r>
          </w:p>
        </w:tc>
        <w:tc>
          <w:tcPr>
            <w:tcW w:w="3402" w:type="dxa"/>
            <w:vAlign w:val="center"/>
          </w:tcPr>
          <w:p>
            <w:pPr>
              <w:pStyle w:val="14"/>
            </w:pPr>
            <w:r>
              <w:t>支出总计</w:t>
            </w:r>
          </w:p>
        </w:tc>
        <w:tc>
          <w:tcPr>
            <w:tcW w:w="1474" w:type="dxa"/>
            <w:vAlign w:val="center"/>
          </w:tcPr>
          <w:p>
            <w:pPr>
              <w:pStyle w:val="15"/>
            </w:pPr>
            <w:r>
              <w:t>1021.70</w:t>
            </w:r>
          </w:p>
        </w:tc>
        <w:tc>
          <w:tcPr>
            <w:tcW w:w="1474" w:type="dxa"/>
            <w:vAlign w:val="center"/>
          </w:tcPr>
          <w:p>
            <w:pPr>
              <w:pStyle w:val="15"/>
            </w:pPr>
            <w:r>
              <w:t>1021.70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322001秦皇岛北戴河新区招商和投资促进局本级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1021.70</w:t>
            </w:r>
          </w:p>
        </w:tc>
        <w:tc>
          <w:tcPr>
            <w:tcW w:w="2551" w:type="dxa"/>
            <w:vAlign w:val="center"/>
          </w:tcPr>
          <w:p>
            <w:pPr>
              <w:pStyle w:val="15"/>
            </w:pPr>
            <w:r>
              <w:t>595.40</w:t>
            </w:r>
          </w:p>
        </w:tc>
        <w:tc>
          <w:tcPr>
            <w:tcW w:w="2551" w:type="dxa"/>
            <w:vAlign w:val="center"/>
          </w:tcPr>
          <w:p>
            <w:pPr>
              <w:pStyle w:val="15"/>
            </w:pPr>
            <w:r>
              <w:t>426.30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865.82</w:t>
            </w:r>
          </w:p>
        </w:tc>
        <w:tc>
          <w:tcPr>
            <w:tcW w:w="2551" w:type="dxa"/>
            <w:vAlign w:val="center"/>
          </w:tcPr>
          <w:p>
            <w:pPr>
              <w:pStyle w:val="11"/>
            </w:pPr>
            <w:r>
              <w:t>439.52</w:t>
            </w:r>
          </w:p>
        </w:tc>
        <w:tc>
          <w:tcPr>
            <w:tcW w:w="2551" w:type="dxa"/>
            <w:vAlign w:val="center"/>
          </w:tcPr>
          <w:p>
            <w:pPr>
              <w:pStyle w:val="11"/>
            </w:pPr>
            <w:r>
              <w:t>426.30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20113</w:t>
            </w:r>
          </w:p>
        </w:tc>
        <w:tc>
          <w:tcPr>
            <w:tcW w:w="4535" w:type="dxa"/>
            <w:vAlign w:val="center"/>
          </w:tcPr>
          <w:p>
            <w:pPr>
              <w:pStyle w:val="12"/>
            </w:pPr>
            <w:r>
              <w:t>商贸事务</w:t>
            </w:r>
          </w:p>
        </w:tc>
        <w:tc>
          <w:tcPr>
            <w:tcW w:w="2551" w:type="dxa"/>
            <w:vAlign w:val="center"/>
          </w:tcPr>
          <w:p>
            <w:pPr>
              <w:pStyle w:val="11"/>
            </w:pPr>
            <w:r>
              <w:t>865.82</w:t>
            </w:r>
          </w:p>
        </w:tc>
        <w:tc>
          <w:tcPr>
            <w:tcW w:w="2551" w:type="dxa"/>
            <w:vAlign w:val="center"/>
          </w:tcPr>
          <w:p>
            <w:pPr>
              <w:pStyle w:val="11"/>
            </w:pPr>
            <w:r>
              <w:t>439.52</w:t>
            </w:r>
          </w:p>
        </w:tc>
        <w:tc>
          <w:tcPr>
            <w:tcW w:w="2551" w:type="dxa"/>
            <w:vAlign w:val="center"/>
          </w:tcPr>
          <w:p>
            <w:pPr>
              <w:pStyle w:val="11"/>
            </w:pPr>
            <w:r>
              <w:t>426.30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2011301</w:t>
            </w:r>
          </w:p>
        </w:tc>
        <w:tc>
          <w:tcPr>
            <w:tcW w:w="4535" w:type="dxa"/>
            <w:vAlign w:val="center"/>
          </w:tcPr>
          <w:p>
            <w:pPr>
              <w:pStyle w:val="12"/>
            </w:pPr>
            <w:r>
              <w:t>行政运行</w:t>
            </w:r>
          </w:p>
        </w:tc>
        <w:tc>
          <w:tcPr>
            <w:tcW w:w="2551" w:type="dxa"/>
            <w:vAlign w:val="center"/>
          </w:tcPr>
          <w:p>
            <w:pPr>
              <w:pStyle w:val="11"/>
            </w:pPr>
            <w:r>
              <w:t>439.52</w:t>
            </w:r>
          </w:p>
        </w:tc>
        <w:tc>
          <w:tcPr>
            <w:tcW w:w="2551" w:type="dxa"/>
            <w:vAlign w:val="center"/>
          </w:tcPr>
          <w:p>
            <w:pPr>
              <w:pStyle w:val="11"/>
            </w:pPr>
            <w:r>
              <w:t>439.52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2011308</w:t>
            </w:r>
          </w:p>
        </w:tc>
        <w:tc>
          <w:tcPr>
            <w:tcW w:w="4535" w:type="dxa"/>
            <w:vAlign w:val="center"/>
          </w:tcPr>
          <w:p>
            <w:pPr>
              <w:pStyle w:val="12"/>
            </w:pPr>
            <w:r>
              <w:t>招商引资</w:t>
            </w:r>
          </w:p>
        </w:tc>
        <w:tc>
          <w:tcPr>
            <w:tcW w:w="2551" w:type="dxa"/>
            <w:vAlign w:val="center"/>
          </w:tcPr>
          <w:p>
            <w:pPr>
              <w:pStyle w:val="11"/>
            </w:pPr>
            <w:r>
              <w:t>409.00</w:t>
            </w:r>
          </w:p>
        </w:tc>
        <w:tc>
          <w:tcPr>
            <w:tcW w:w="2551" w:type="dxa"/>
            <w:vAlign w:val="center"/>
          </w:tcPr>
          <w:p>
            <w:pPr>
              <w:pStyle w:val="11"/>
            </w:pPr>
          </w:p>
        </w:tc>
        <w:tc>
          <w:tcPr>
            <w:tcW w:w="2551" w:type="dxa"/>
            <w:vAlign w:val="center"/>
          </w:tcPr>
          <w:p>
            <w:pPr>
              <w:pStyle w:val="11"/>
            </w:pPr>
            <w:r>
              <w:t>409.00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2011399</w:t>
            </w:r>
          </w:p>
        </w:tc>
        <w:tc>
          <w:tcPr>
            <w:tcW w:w="4535" w:type="dxa"/>
            <w:vAlign w:val="center"/>
          </w:tcPr>
          <w:p>
            <w:pPr>
              <w:pStyle w:val="12"/>
            </w:pPr>
            <w:r>
              <w:t>其他商贸事务支出</w:t>
            </w:r>
          </w:p>
        </w:tc>
        <w:tc>
          <w:tcPr>
            <w:tcW w:w="2551" w:type="dxa"/>
            <w:vAlign w:val="center"/>
          </w:tcPr>
          <w:p>
            <w:pPr>
              <w:pStyle w:val="11"/>
            </w:pPr>
            <w:r>
              <w:t>17.30</w:t>
            </w:r>
          </w:p>
        </w:tc>
        <w:tc>
          <w:tcPr>
            <w:tcW w:w="2551" w:type="dxa"/>
            <w:vAlign w:val="center"/>
          </w:tcPr>
          <w:p>
            <w:pPr>
              <w:pStyle w:val="11"/>
            </w:pPr>
          </w:p>
        </w:tc>
        <w:tc>
          <w:tcPr>
            <w:tcW w:w="2551" w:type="dxa"/>
            <w:vAlign w:val="center"/>
          </w:tcPr>
          <w:p>
            <w:pPr>
              <w:pStyle w:val="11"/>
            </w:pPr>
            <w:r>
              <w:t>17.30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65.79</w:t>
            </w:r>
          </w:p>
        </w:tc>
        <w:tc>
          <w:tcPr>
            <w:tcW w:w="2551" w:type="dxa"/>
            <w:vAlign w:val="center"/>
          </w:tcPr>
          <w:p>
            <w:pPr>
              <w:pStyle w:val="11"/>
            </w:pPr>
            <w:r>
              <w:t>65.79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65.79</w:t>
            </w:r>
          </w:p>
        </w:tc>
        <w:tc>
          <w:tcPr>
            <w:tcW w:w="2551" w:type="dxa"/>
            <w:vAlign w:val="center"/>
          </w:tcPr>
          <w:p>
            <w:pPr>
              <w:pStyle w:val="11"/>
            </w:pPr>
            <w:r>
              <w:t>65.79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8.01</w:t>
            </w:r>
          </w:p>
        </w:tc>
        <w:tc>
          <w:tcPr>
            <w:tcW w:w="2551" w:type="dxa"/>
            <w:vAlign w:val="center"/>
          </w:tcPr>
          <w:p>
            <w:pPr>
              <w:pStyle w:val="11"/>
            </w:pPr>
            <w:r>
              <w:t>8.01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54.80</w:t>
            </w:r>
          </w:p>
        </w:tc>
        <w:tc>
          <w:tcPr>
            <w:tcW w:w="2551" w:type="dxa"/>
            <w:vAlign w:val="center"/>
          </w:tcPr>
          <w:p>
            <w:pPr>
              <w:pStyle w:val="11"/>
            </w:pPr>
            <w:r>
              <w:t>54.80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2.99</w:t>
            </w:r>
          </w:p>
        </w:tc>
        <w:tc>
          <w:tcPr>
            <w:tcW w:w="2551" w:type="dxa"/>
            <w:vAlign w:val="center"/>
          </w:tcPr>
          <w:p>
            <w:pPr>
              <w:pStyle w:val="11"/>
            </w:pPr>
            <w:r>
              <w:t>2.99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45.15</w:t>
            </w:r>
          </w:p>
        </w:tc>
        <w:tc>
          <w:tcPr>
            <w:tcW w:w="2551" w:type="dxa"/>
            <w:vAlign w:val="center"/>
          </w:tcPr>
          <w:p>
            <w:pPr>
              <w:pStyle w:val="11"/>
            </w:pPr>
            <w:r>
              <w:t>45.15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45.15</w:t>
            </w:r>
          </w:p>
        </w:tc>
        <w:tc>
          <w:tcPr>
            <w:tcW w:w="2551" w:type="dxa"/>
            <w:vAlign w:val="center"/>
          </w:tcPr>
          <w:p>
            <w:pPr>
              <w:pStyle w:val="11"/>
            </w:pPr>
            <w:r>
              <w:t>45.15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45.15</w:t>
            </w:r>
          </w:p>
        </w:tc>
        <w:tc>
          <w:tcPr>
            <w:tcW w:w="2551" w:type="dxa"/>
            <w:vAlign w:val="center"/>
          </w:tcPr>
          <w:p>
            <w:pPr>
              <w:pStyle w:val="11"/>
            </w:pPr>
            <w:r>
              <w:t>45.15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44.94</w:t>
            </w:r>
          </w:p>
        </w:tc>
        <w:tc>
          <w:tcPr>
            <w:tcW w:w="2551" w:type="dxa"/>
            <w:vAlign w:val="center"/>
          </w:tcPr>
          <w:p>
            <w:pPr>
              <w:pStyle w:val="11"/>
            </w:pPr>
            <w:r>
              <w:t>44.94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44.94</w:t>
            </w:r>
          </w:p>
        </w:tc>
        <w:tc>
          <w:tcPr>
            <w:tcW w:w="2551" w:type="dxa"/>
            <w:vAlign w:val="center"/>
          </w:tcPr>
          <w:p>
            <w:pPr>
              <w:pStyle w:val="11"/>
            </w:pPr>
            <w:r>
              <w:t>44.94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44.94</w:t>
            </w:r>
          </w:p>
        </w:tc>
        <w:tc>
          <w:tcPr>
            <w:tcW w:w="2551" w:type="dxa"/>
            <w:vAlign w:val="center"/>
          </w:tcPr>
          <w:p>
            <w:pPr>
              <w:pStyle w:val="11"/>
            </w:pPr>
            <w:r>
              <w:t>44.94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322001秦皇岛北戴河新区招商和投资促进局本级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595.40</w:t>
            </w:r>
          </w:p>
        </w:tc>
        <w:tc>
          <w:tcPr>
            <w:tcW w:w="2551" w:type="dxa"/>
            <w:vAlign w:val="center"/>
          </w:tcPr>
          <w:p>
            <w:pPr>
              <w:pStyle w:val="15"/>
            </w:pPr>
            <w:r>
              <w:t>557.33</w:t>
            </w:r>
          </w:p>
        </w:tc>
        <w:tc>
          <w:tcPr>
            <w:tcW w:w="2551" w:type="dxa"/>
            <w:vAlign w:val="center"/>
          </w:tcPr>
          <w:p>
            <w:pPr>
              <w:pStyle w:val="15"/>
            </w:pPr>
            <w:r>
              <w:t>38.07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549.60</w:t>
            </w:r>
          </w:p>
        </w:tc>
        <w:tc>
          <w:tcPr>
            <w:tcW w:w="2551" w:type="dxa"/>
            <w:vAlign w:val="center"/>
          </w:tcPr>
          <w:p>
            <w:pPr>
              <w:pStyle w:val="11"/>
            </w:pPr>
            <w:r>
              <w:t>549.60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194.97</w:t>
            </w:r>
          </w:p>
        </w:tc>
        <w:tc>
          <w:tcPr>
            <w:tcW w:w="2551" w:type="dxa"/>
            <w:vAlign w:val="center"/>
          </w:tcPr>
          <w:p>
            <w:pPr>
              <w:pStyle w:val="11"/>
            </w:pPr>
            <w:r>
              <w:t>194.97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34.70</w:t>
            </w:r>
          </w:p>
        </w:tc>
        <w:tc>
          <w:tcPr>
            <w:tcW w:w="2551" w:type="dxa"/>
            <w:vAlign w:val="center"/>
          </w:tcPr>
          <w:p>
            <w:pPr>
              <w:pStyle w:val="11"/>
            </w:pPr>
            <w:r>
              <w:t>34.70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13.53</w:t>
            </w:r>
          </w:p>
        </w:tc>
        <w:tc>
          <w:tcPr>
            <w:tcW w:w="2551" w:type="dxa"/>
            <w:vAlign w:val="center"/>
          </w:tcPr>
          <w:p>
            <w:pPr>
              <w:pStyle w:val="11"/>
            </w:pPr>
            <w:r>
              <w:t>13.53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155.35</w:t>
            </w:r>
          </w:p>
        </w:tc>
        <w:tc>
          <w:tcPr>
            <w:tcW w:w="2551" w:type="dxa"/>
            <w:vAlign w:val="center"/>
          </w:tcPr>
          <w:p>
            <w:pPr>
              <w:pStyle w:val="11"/>
            </w:pPr>
            <w:r>
              <w:t>155.35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54.80</w:t>
            </w:r>
          </w:p>
        </w:tc>
        <w:tc>
          <w:tcPr>
            <w:tcW w:w="2551" w:type="dxa"/>
            <w:vAlign w:val="center"/>
          </w:tcPr>
          <w:p>
            <w:pPr>
              <w:pStyle w:val="11"/>
            </w:pPr>
            <w:r>
              <w:t>54.80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2.99</w:t>
            </w:r>
          </w:p>
        </w:tc>
        <w:tc>
          <w:tcPr>
            <w:tcW w:w="2551" w:type="dxa"/>
            <w:vAlign w:val="center"/>
          </w:tcPr>
          <w:p>
            <w:pPr>
              <w:pStyle w:val="11"/>
            </w:pPr>
            <w:r>
              <w:t>2.99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23.41</w:t>
            </w:r>
          </w:p>
        </w:tc>
        <w:tc>
          <w:tcPr>
            <w:tcW w:w="2551" w:type="dxa"/>
            <w:vAlign w:val="center"/>
          </w:tcPr>
          <w:p>
            <w:pPr>
              <w:pStyle w:val="11"/>
            </w:pPr>
            <w:r>
              <w:t>23.41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21.74</w:t>
            </w:r>
          </w:p>
        </w:tc>
        <w:tc>
          <w:tcPr>
            <w:tcW w:w="2551" w:type="dxa"/>
            <w:vAlign w:val="center"/>
          </w:tcPr>
          <w:p>
            <w:pPr>
              <w:pStyle w:val="11"/>
            </w:pPr>
            <w:r>
              <w:t>21.74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3.18</w:t>
            </w:r>
          </w:p>
        </w:tc>
        <w:tc>
          <w:tcPr>
            <w:tcW w:w="2551" w:type="dxa"/>
            <w:vAlign w:val="center"/>
          </w:tcPr>
          <w:p>
            <w:pPr>
              <w:pStyle w:val="11"/>
            </w:pPr>
            <w:r>
              <w:t>3.18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44.94</w:t>
            </w:r>
          </w:p>
        </w:tc>
        <w:tc>
          <w:tcPr>
            <w:tcW w:w="2551" w:type="dxa"/>
            <w:vAlign w:val="center"/>
          </w:tcPr>
          <w:p>
            <w:pPr>
              <w:pStyle w:val="11"/>
            </w:pPr>
            <w:r>
              <w:t>44.94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36.79</w:t>
            </w:r>
          </w:p>
        </w:tc>
        <w:tc>
          <w:tcPr>
            <w:tcW w:w="2551" w:type="dxa"/>
            <w:vAlign w:val="center"/>
          </w:tcPr>
          <w:p>
            <w:pPr>
              <w:pStyle w:val="11"/>
            </w:pPr>
          </w:p>
        </w:tc>
        <w:tc>
          <w:tcPr>
            <w:tcW w:w="2551" w:type="dxa"/>
            <w:vAlign w:val="center"/>
          </w:tcPr>
          <w:p>
            <w:pPr>
              <w:pStyle w:val="11"/>
            </w:pPr>
            <w:r>
              <w:t>36.79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9.28</w:t>
            </w:r>
          </w:p>
        </w:tc>
        <w:tc>
          <w:tcPr>
            <w:tcW w:w="2551" w:type="dxa"/>
            <w:vAlign w:val="center"/>
          </w:tcPr>
          <w:p>
            <w:pPr>
              <w:pStyle w:val="11"/>
            </w:pPr>
          </w:p>
        </w:tc>
        <w:tc>
          <w:tcPr>
            <w:tcW w:w="2551" w:type="dxa"/>
            <w:vAlign w:val="center"/>
          </w:tcPr>
          <w:p>
            <w:pPr>
              <w:pStyle w:val="11"/>
            </w:pPr>
            <w:r>
              <w:t>9.28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1.28</w:t>
            </w:r>
          </w:p>
        </w:tc>
        <w:tc>
          <w:tcPr>
            <w:tcW w:w="2551" w:type="dxa"/>
            <w:vAlign w:val="center"/>
          </w:tcPr>
          <w:p>
            <w:pPr>
              <w:pStyle w:val="11"/>
            </w:pPr>
          </w:p>
        </w:tc>
        <w:tc>
          <w:tcPr>
            <w:tcW w:w="2551" w:type="dxa"/>
            <w:vAlign w:val="center"/>
          </w:tcPr>
          <w:p>
            <w:pPr>
              <w:pStyle w:val="11"/>
            </w:pPr>
            <w:r>
              <w:t>1.28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2.16</w:t>
            </w:r>
          </w:p>
        </w:tc>
        <w:tc>
          <w:tcPr>
            <w:tcW w:w="2551" w:type="dxa"/>
            <w:vAlign w:val="center"/>
          </w:tcPr>
          <w:p>
            <w:pPr>
              <w:pStyle w:val="11"/>
            </w:pPr>
          </w:p>
        </w:tc>
        <w:tc>
          <w:tcPr>
            <w:tcW w:w="2551" w:type="dxa"/>
            <w:vAlign w:val="center"/>
          </w:tcPr>
          <w:p>
            <w:pPr>
              <w:pStyle w:val="11"/>
            </w:pPr>
            <w:r>
              <w:t>2.16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5.12</w:t>
            </w:r>
          </w:p>
        </w:tc>
        <w:tc>
          <w:tcPr>
            <w:tcW w:w="2551" w:type="dxa"/>
            <w:vAlign w:val="center"/>
          </w:tcPr>
          <w:p>
            <w:pPr>
              <w:pStyle w:val="11"/>
            </w:pPr>
          </w:p>
        </w:tc>
        <w:tc>
          <w:tcPr>
            <w:tcW w:w="2551" w:type="dxa"/>
            <w:vAlign w:val="center"/>
          </w:tcPr>
          <w:p>
            <w:pPr>
              <w:pStyle w:val="11"/>
            </w:pPr>
            <w:r>
              <w:t>5.12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4.80</w:t>
            </w:r>
          </w:p>
        </w:tc>
        <w:tc>
          <w:tcPr>
            <w:tcW w:w="2551" w:type="dxa"/>
            <w:vAlign w:val="center"/>
          </w:tcPr>
          <w:p>
            <w:pPr>
              <w:pStyle w:val="11"/>
            </w:pPr>
          </w:p>
        </w:tc>
        <w:tc>
          <w:tcPr>
            <w:tcW w:w="2551" w:type="dxa"/>
            <w:vAlign w:val="center"/>
          </w:tcPr>
          <w:p>
            <w:pPr>
              <w:pStyle w:val="11"/>
            </w:pPr>
            <w:r>
              <w:t>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3.24</w:t>
            </w:r>
          </w:p>
        </w:tc>
        <w:tc>
          <w:tcPr>
            <w:tcW w:w="2551" w:type="dxa"/>
            <w:vAlign w:val="center"/>
          </w:tcPr>
          <w:p>
            <w:pPr>
              <w:pStyle w:val="11"/>
            </w:pPr>
          </w:p>
        </w:tc>
        <w:tc>
          <w:tcPr>
            <w:tcW w:w="2551" w:type="dxa"/>
            <w:vAlign w:val="center"/>
          </w:tcPr>
          <w:p>
            <w:pPr>
              <w:pStyle w:val="11"/>
            </w:pPr>
            <w:r>
              <w:t>3.24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0.38</w:t>
            </w:r>
          </w:p>
        </w:tc>
        <w:tc>
          <w:tcPr>
            <w:tcW w:w="2551" w:type="dxa"/>
            <w:vAlign w:val="center"/>
          </w:tcPr>
          <w:p>
            <w:pPr>
              <w:pStyle w:val="11"/>
            </w:pPr>
          </w:p>
        </w:tc>
        <w:tc>
          <w:tcPr>
            <w:tcW w:w="2551" w:type="dxa"/>
            <w:vAlign w:val="center"/>
          </w:tcPr>
          <w:p>
            <w:pPr>
              <w:pStyle w:val="11"/>
            </w:pPr>
            <w:r>
              <w:t>0.38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4.32</w:t>
            </w:r>
          </w:p>
        </w:tc>
        <w:tc>
          <w:tcPr>
            <w:tcW w:w="2551" w:type="dxa"/>
            <w:vAlign w:val="center"/>
          </w:tcPr>
          <w:p>
            <w:pPr>
              <w:pStyle w:val="11"/>
            </w:pPr>
          </w:p>
        </w:tc>
        <w:tc>
          <w:tcPr>
            <w:tcW w:w="2551" w:type="dxa"/>
            <w:vAlign w:val="center"/>
          </w:tcPr>
          <w:p>
            <w:pPr>
              <w:pStyle w:val="11"/>
            </w:pPr>
            <w:r>
              <w:t>4.32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2.62</w:t>
            </w:r>
          </w:p>
        </w:tc>
        <w:tc>
          <w:tcPr>
            <w:tcW w:w="2551" w:type="dxa"/>
            <w:vAlign w:val="center"/>
          </w:tcPr>
          <w:p>
            <w:pPr>
              <w:pStyle w:val="11"/>
            </w:pPr>
          </w:p>
        </w:tc>
        <w:tc>
          <w:tcPr>
            <w:tcW w:w="2551" w:type="dxa"/>
            <w:vAlign w:val="center"/>
          </w:tcPr>
          <w:p>
            <w:pPr>
              <w:pStyle w:val="11"/>
            </w:pPr>
            <w:r>
              <w:t>2.62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3.30</w:t>
            </w:r>
          </w:p>
        </w:tc>
        <w:tc>
          <w:tcPr>
            <w:tcW w:w="2551" w:type="dxa"/>
            <w:vAlign w:val="center"/>
          </w:tcPr>
          <w:p>
            <w:pPr>
              <w:pStyle w:val="11"/>
            </w:pPr>
          </w:p>
        </w:tc>
        <w:tc>
          <w:tcPr>
            <w:tcW w:w="2551" w:type="dxa"/>
            <w:vAlign w:val="center"/>
          </w:tcPr>
          <w:p>
            <w:pPr>
              <w:pStyle w:val="11"/>
            </w:pPr>
            <w:r>
              <w:t>3.30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0.28</w:t>
            </w:r>
          </w:p>
        </w:tc>
        <w:tc>
          <w:tcPr>
            <w:tcW w:w="2551" w:type="dxa"/>
            <w:vAlign w:val="center"/>
          </w:tcPr>
          <w:p>
            <w:pPr>
              <w:pStyle w:val="11"/>
            </w:pPr>
          </w:p>
        </w:tc>
        <w:tc>
          <w:tcPr>
            <w:tcW w:w="2551" w:type="dxa"/>
            <w:vAlign w:val="center"/>
          </w:tcPr>
          <w:p>
            <w:pPr>
              <w:pStyle w:val="11"/>
            </w:pPr>
            <w:r>
              <w:t>0.28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7.73</w:t>
            </w:r>
          </w:p>
        </w:tc>
        <w:tc>
          <w:tcPr>
            <w:tcW w:w="2551" w:type="dxa"/>
            <w:vAlign w:val="center"/>
          </w:tcPr>
          <w:p>
            <w:pPr>
              <w:pStyle w:val="11"/>
            </w:pPr>
            <w:r>
              <w:t>7.73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7.73</w:t>
            </w:r>
          </w:p>
        </w:tc>
        <w:tc>
          <w:tcPr>
            <w:tcW w:w="2551" w:type="dxa"/>
            <w:vAlign w:val="center"/>
          </w:tcPr>
          <w:p>
            <w:pPr>
              <w:pStyle w:val="11"/>
            </w:pPr>
            <w:r>
              <w:t>7.73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1.28</w:t>
            </w:r>
          </w:p>
        </w:tc>
        <w:tc>
          <w:tcPr>
            <w:tcW w:w="2551" w:type="dxa"/>
            <w:vAlign w:val="center"/>
          </w:tcPr>
          <w:p>
            <w:pPr>
              <w:pStyle w:val="11"/>
            </w:pPr>
          </w:p>
        </w:tc>
        <w:tc>
          <w:tcPr>
            <w:tcW w:w="2551" w:type="dxa"/>
            <w:vAlign w:val="center"/>
          </w:tcPr>
          <w:p>
            <w:pPr>
              <w:pStyle w:val="11"/>
            </w:pPr>
            <w:r>
              <w:t>1.28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1.28</w:t>
            </w:r>
          </w:p>
        </w:tc>
        <w:tc>
          <w:tcPr>
            <w:tcW w:w="2551" w:type="dxa"/>
            <w:vAlign w:val="center"/>
          </w:tcPr>
          <w:p>
            <w:pPr>
              <w:pStyle w:val="11"/>
            </w:pPr>
          </w:p>
        </w:tc>
        <w:tc>
          <w:tcPr>
            <w:tcW w:w="2551" w:type="dxa"/>
            <w:vAlign w:val="center"/>
          </w:tcPr>
          <w:p>
            <w:pPr>
              <w:pStyle w:val="11"/>
            </w:pPr>
            <w:r>
              <w:t>1.28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322001秦皇岛北戴河新区招商和投资促进局本级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322001秦皇岛北戴河新区招商和投资促进局本级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322001秦皇岛北戴河新区招商和投资促进局本级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40.38</w:t>
            </w:r>
          </w:p>
        </w:tc>
        <w:tc>
          <w:tcPr>
            <w:tcW w:w="2381" w:type="dxa"/>
            <w:vAlign w:val="center"/>
          </w:tcPr>
          <w:p>
            <w:pPr>
              <w:pStyle w:val="15"/>
            </w:pPr>
            <w:r>
              <w:t>40.38</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40.38</w:t>
            </w:r>
          </w:p>
        </w:tc>
        <w:tc>
          <w:tcPr>
            <w:tcW w:w="2381" w:type="dxa"/>
            <w:vAlign w:val="center"/>
          </w:tcPr>
          <w:p>
            <w:pPr>
              <w:pStyle w:val="11"/>
            </w:pPr>
            <w:r>
              <w:t>40.38</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40.38</w:t>
            </w:r>
          </w:p>
        </w:tc>
        <w:tc>
          <w:tcPr>
            <w:tcW w:w="2381" w:type="dxa"/>
            <w:vAlign w:val="center"/>
          </w:tcPr>
          <w:p>
            <w:pPr>
              <w:pStyle w:val="11"/>
            </w:pPr>
            <w:r>
              <w:t>40.38</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秦皇岛北戴河新区招商和投资促进局本级2025年单位预算信息公开情况说明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按照《中华人民共和国预算法》、《地方预决算公开操作规程》和《关于进一步推进预算公开工作的实施意见》规定，现将秦皇岛北戴河新区招商和投资促进局本级2025年单位预算公开如下：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pStyle w:val="22"/>
      </w:pPr>
      <w:r>
        <w:rPr>
          <w:rFonts w:ascii="方正楷体_GBK" w:hAnsi="方正楷体_GBK" w:eastAsia="方正楷体_GBK" w:cs="方正楷体_GBK"/>
          <w:b/>
          <w:color w:val="000000"/>
          <w:sz w:val="32"/>
        </w:rPr>
        <w:t>单位职责：</w:t>
      </w:r>
      <w:r>
        <w:t>（一）贯彻执行国家、省、市、区有关招商引资战略、政策和相关法律法规，组织拟订全区招商引资战略、中长期规划、方针政策及招商引资工作流程、服务规范，建立健全招商引资综合考核评价体系，报管委会批准后组织实施。</w:t>
      </w:r>
    </w:p>
    <w:p>
      <w:pPr>
        <w:pStyle w:val="22"/>
      </w:pPr>
      <w:r>
        <w:t>（二）制定全区阶段性招商引资工作目标和年度招商工作计划，报管委会批准后组织实施。</w:t>
      </w:r>
    </w:p>
    <w:p>
      <w:pPr>
        <w:pStyle w:val="22"/>
      </w:pPr>
      <w:r>
        <w:t>（三）组织全区招商工作相关会议，统筹全区招商引资工作，会同有关部门做好全区招商项目签约工作。</w:t>
      </w:r>
    </w:p>
    <w:p>
      <w:pPr>
        <w:pStyle w:val="22"/>
      </w:pPr>
      <w:r>
        <w:t>（四）负责统筹全区招商引资活动，做好招商渠道建设及维护工作，开展产业项目招商。</w:t>
      </w:r>
    </w:p>
    <w:p>
      <w:pPr>
        <w:pStyle w:val="22"/>
      </w:pPr>
      <w:r>
        <w:t>（五）负责新区驻外招商联络处及投资之家的建设和管理工作。</w:t>
      </w:r>
    </w:p>
    <w:p>
      <w:pPr>
        <w:pStyle w:val="22"/>
      </w:pPr>
      <w:r>
        <w:t>（六）负责联络来区投资企业及各级涉侨涉外机构，做好招商项目协调服务工作，会同有关部门协调、落实重大招商项目落地条件。</w:t>
      </w:r>
    </w:p>
    <w:p>
      <w:pPr>
        <w:pStyle w:val="22"/>
      </w:pPr>
      <w:r>
        <w:t>（七）负责侨梦苑（侨商产业聚集区）开发建设工作。</w:t>
      </w:r>
    </w:p>
    <w:p>
      <w:pPr>
        <w:pStyle w:val="22"/>
      </w:pPr>
      <w:r>
        <w:t>（八）完成新区工委、管委交办的其他任务。</w:t>
      </w:r>
    </w:p>
    <w:p>
      <w:pPr>
        <w:spacing w:before="0" w:after="0" w:line="240" w:lineRule="auto"/>
        <w:ind w:firstLine="640"/>
        <w:jc w:val="left"/>
        <w:outlineLvl w:val="9"/>
      </w:pP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秦皇岛北戴河新区招商和投资促进局本级</w:t>
            </w:r>
          </w:p>
        </w:tc>
        <w:tc>
          <w:tcPr>
            <w:tcW w:w="1843" w:type="dxa"/>
            <w:vAlign w:val="center"/>
          </w:tcPr>
          <w:p>
            <w:pPr>
              <w:pStyle w:val="13"/>
            </w:pPr>
            <w:r>
              <w:t>行政</w:t>
            </w:r>
          </w:p>
        </w:tc>
        <w:tc>
          <w:tcPr>
            <w:tcW w:w="2126" w:type="dxa"/>
            <w:vAlign w:val="center"/>
          </w:tcPr>
          <w:p>
            <w:pPr>
              <w:pStyle w:val="13"/>
            </w:pPr>
            <w:r>
              <w:t>副处（县）级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3"/>
      </w:pPr>
      <w:r>
        <w:t>1、收入说明</w:t>
      </w:r>
    </w:p>
    <w:p>
      <w:pPr>
        <w:pStyle w:val="23"/>
      </w:pPr>
      <w:r>
        <w:t>反映本部门当年全部收入。2025年预算收入1021.70万元，其中：一般公共预算收入1021.70万元，基金预算收入0.00万元，国有资本经营预算收入0.00万元，财政专户核拨收入0.00万元，单位资金收入0.00万元，上年结转结余0.00万元。</w:t>
      </w:r>
    </w:p>
    <w:p>
      <w:pPr>
        <w:pStyle w:val="23"/>
      </w:pPr>
      <w:r>
        <w:t>2、支出说明</w:t>
      </w:r>
    </w:p>
    <w:p>
      <w:pPr>
        <w:pStyle w:val="23"/>
      </w:pPr>
      <w:r>
        <w:t>收支预算总表支出栏、基本支出表、项目支出表按经济分类和支出功能分类科目编制，反映秦皇岛北戴河新区招商和投资促进局年度部门预算中支出预算的总体情况。2025年支出预算1021.70万元，其中基本支出595.40万元，包括人员经费557.33万元和日常公用经费38.07万元；项目支出426.30万元，主要为招商日常基本工作使用，以及人员的工资及保险使用。</w:t>
      </w:r>
    </w:p>
    <w:p>
      <w:pPr>
        <w:pStyle w:val="23"/>
      </w:pPr>
      <w:r>
        <w:t>3、比上年增减情况</w:t>
      </w:r>
    </w:p>
    <w:p>
      <w:pPr>
        <w:pStyle w:val="23"/>
      </w:pPr>
      <w:r>
        <w:t>2025年预算收支安排1021.70万元，较2024年预算增加37.12万元，其中：基本支出增加20.82万元，主要为主要由于本年度人员增加，导致基本支出增加。项目支出增加16.30万元，主要为主要增加项目为驻京交流学习的住宿费及往返差旅费。</w:t>
      </w:r>
    </w:p>
    <w:p>
      <w:pPr>
        <w:pStyle w:val="23"/>
        <w:rPr>
          <w:rFonts w:ascii="黑体" w:hAnsi="黑体" w:eastAsia="黑体" w:cs="黑体"/>
          <w:color w:val="000000"/>
          <w:sz w:val="32"/>
          <w:szCs w:val="24"/>
          <w:lang w:val="en-US" w:eastAsia="uk-UA" w:bidi="ar-SA"/>
        </w:rPr>
      </w:pPr>
      <w:r>
        <w:rPr>
          <w:rFonts w:ascii="黑体" w:hAnsi="黑体" w:eastAsia="黑体" w:cs="黑体"/>
          <w:color w:val="000000"/>
          <w:sz w:val="32"/>
          <w:szCs w:val="24"/>
          <w:lang w:val="en-US" w:eastAsia="uk-UA" w:bidi="ar-SA"/>
        </w:rPr>
        <w:t>三、机关运行经费安排情况</w:t>
      </w:r>
    </w:p>
    <w:p>
      <w:pPr>
        <w:pStyle w:val="23"/>
      </w:pPr>
      <w:r>
        <w:rPr>
          <w:rFonts w:hint="eastAsia"/>
          <w:lang w:val="en-US" w:eastAsia="zh-CN"/>
        </w:rPr>
        <w:t>2025年，我部门机关运行经费共计安排38.07万元，主要用于日常维修、办公用房水电费、办公用房取暖费等日常运行支出。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4"/>
      </w:pPr>
      <w:r>
        <w:t>2025年，我部门财政拨款“三公”经费预算安排40.38万元，其中因公出国（境）费0.00万元；公务用车购置及运维费0.00万元（其中：公务用车购置费为0.00万元，公务用车运维费0.00万元)；公务接待费40.38万元。与2024年相比增加0.07万元，增减变化的主要原因是人员增加，接待频次增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1、选派干部赴国家药监局跟班学习工作经费绩效目标表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13031325P00880510503J</w:t>
            </w:r>
          </w:p>
        </w:tc>
        <w:tc>
          <w:tcPr>
            <w:tcW w:w="2835" w:type="dxa"/>
            <w:vAlign w:val="center"/>
          </w:tcPr>
          <w:p>
            <w:pPr>
              <w:pStyle w:val="10"/>
            </w:pPr>
            <w:r>
              <w:t>项目名称</w:t>
            </w:r>
          </w:p>
        </w:tc>
        <w:tc>
          <w:tcPr>
            <w:tcW w:w="6095" w:type="dxa"/>
            <w:gridSpan w:val="3"/>
            <w:vAlign w:val="center"/>
          </w:tcPr>
          <w:p>
            <w:pPr>
              <w:pStyle w:val="12"/>
            </w:pPr>
            <w:r>
              <w:t>选派干部赴国家药监局跟班学习工作经费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17.30</w:t>
            </w:r>
          </w:p>
        </w:tc>
        <w:tc>
          <w:tcPr>
            <w:tcW w:w="2835" w:type="dxa"/>
            <w:vAlign w:val="center"/>
          </w:tcPr>
          <w:p>
            <w:pPr>
              <w:pStyle w:val="10"/>
            </w:pPr>
            <w:r>
              <w:t>其中：财政    资金</w:t>
            </w:r>
          </w:p>
        </w:tc>
        <w:tc>
          <w:tcPr>
            <w:tcW w:w="2551" w:type="dxa"/>
            <w:vAlign w:val="center"/>
          </w:tcPr>
          <w:p>
            <w:pPr>
              <w:pStyle w:val="12"/>
            </w:pPr>
            <w:r>
              <w:t>17.30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用于张宇鹏同志赴国家药监局跟班学习差旅费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1.按照工管委安排部署，拟选派招商和投资促进局张宇鹏同志赴国家药监局跟班学习，顺利完成工作。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参加跟班学习次数</w:t>
            </w:r>
          </w:p>
        </w:tc>
        <w:tc>
          <w:tcPr>
            <w:tcW w:w="5386" w:type="dxa"/>
            <w:vAlign w:val="center"/>
          </w:tcPr>
          <w:p>
            <w:pPr>
              <w:pStyle w:val="12"/>
            </w:pPr>
            <w:r>
              <w:t>参加跟班学习次数</w:t>
            </w:r>
          </w:p>
        </w:tc>
        <w:tc>
          <w:tcPr>
            <w:tcW w:w="2268" w:type="dxa"/>
            <w:vAlign w:val="center"/>
          </w:tcPr>
          <w:p>
            <w:pPr>
              <w:pStyle w:val="12"/>
            </w:pPr>
            <w:r>
              <w:t>≥1次</w:t>
            </w:r>
          </w:p>
        </w:tc>
        <w:tc>
          <w:tcPr>
            <w:tcW w:w="1276" w:type="dxa"/>
            <w:vAlign w:val="center"/>
          </w:tcPr>
          <w:p>
            <w:pPr>
              <w:pStyle w:val="12"/>
            </w:pPr>
            <w:r>
              <w:t>历史数据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完成学习进度</w:t>
            </w:r>
          </w:p>
        </w:tc>
        <w:tc>
          <w:tcPr>
            <w:tcW w:w="5386" w:type="dxa"/>
            <w:vAlign w:val="center"/>
          </w:tcPr>
          <w:p>
            <w:pPr>
              <w:pStyle w:val="12"/>
            </w:pPr>
            <w:r>
              <w:t>完成学习进度</w:t>
            </w:r>
          </w:p>
        </w:tc>
        <w:tc>
          <w:tcPr>
            <w:tcW w:w="2268" w:type="dxa"/>
            <w:vAlign w:val="center"/>
          </w:tcPr>
          <w:p>
            <w:pPr>
              <w:pStyle w:val="12"/>
            </w:pPr>
            <w:r>
              <w:t>≥90%</w:t>
            </w:r>
          </w:p>
        </w:tc>
        <w:tc>
          <w:tcPr>
            <w:tcW w:w="1276" w:type="dxa"/>
            <w:vAlign w:val="center"/>
          </w:tcPr>
          <w:p>
            <w:pPr>
              <w:pStyle w:val="12"/>
            </w:pPr>
            <w:r>
              <w:t>历史数据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按各项任务时间节点及时完成</w:t>
            </w:r>
          </w:p>
        </w:tc>
        <w:tc>
          <w:tcPr>
            <w:tcW w:w="2268" w:type="dxa"/>
            <w:vAlign w:val="center"/>
          </w:tcPr>
          <w:p>
            <w:pPr>
              <w:pStyle w:val="12"/>
            </w:pPr>
            <w:r>
              <w:t>及时完成</w:t>
            </w:r>
          </w:p>
        </w:tc>
        <w:tc>
          <w:tcPr>
            <w:tcW w:w="1276" w:type="dxa"/>
            <w:vAlign w:val="center"/>
          </w:tcPr>
          <w:p>
            <w:pPr>
              <w:pStyle w:val="12"/>
            </w:pPr>
            <w:r>
              <w:t>历史数据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实际支出金额小于等于预算控制数</w:t>
            </w:r>
          </w:p>
        </w:tc>
        <w:tc>
          <w:tcPr>
            <w:tcW w:w="2268" w:type="dxa"/>
            <w:vAlign w:val="center"/>
          </w:tcPr>
          <w:p>
            <w:pPr>
              <w:pStyle w:val="12"/>
            </w:pPr>
            <w:r>
              <w:t>≤17.3万元</w:t>
            </w:r>
          </w:p>
        </w:tc>
        <w:tc>
          <w:tcPr>
            <w:tcW w:w="1276" w:type="dxa"/>
            <w:vAlign w:val="center"/>
          </w:tcPr>
          <w:p>
            <w:pPr>
              <w:pStyle w:val="12"/>
            </w:pPr>
            <w:r>
              <w:t>历史数据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乘坐公共交通的比率</w:t>
            </w:r>
          </w:p>
        </w:tc>
        <w:tc>
          <w:tcPr>
            <w:tcW w:w="5386" w:type="dxa"/>
            <w:vAlign w:val="center"/>
          </w:tcPr>
          <w:p>
            <w:pPr>
              <w:pStyle w:val="12"/>
            </w:pPr>
            <w:r>
              <w:t>乘坐公共交通的比率</w:t>
            </w:r>
          </w:p>
        </w:tc>
        <w:tc>
          <w:tcPr>
            <w:tcW w:w="2268" w:type="dxa"/>
            <w:vAlign w:val="center"/>
          </w:tcPr>
          <w:p>
            <w:pPr>
              <w:pStyle w:val="12"/>
            </w:pPr>
            <w:r>
              <w:t>≥90%</w:t>
            </w:r>
          </w:p>
        </w:tc>
        <w:tc>
          <w:tcPr>
            <w:tcW w:w="1276" w:type="dxa"/>
            <w:vAlign w:val="center"/>
          </w:tcPr>
          <w:p>
            <w:pPr>
              <w:pStyle w:val="12"/>
            </w:pPr>
            <w:r>
              <w:t>历史数据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学习招商引资顺利程度</w:t>
            </w:r>
          </w:p>
        </w:tc>
        <w:tc>
          <w:tcPr>
            <w:tcW w:w="5386" w:type="dxa"/>
            <w:vAlign w:val="center"/>
          </w:tcPr>
          <w:p>
            <w:pPr>
              <w:pStyle w:val="12"/>
            </w:pPr>
            <w:r>
              <w:t>学习招商引资顺利程度</w:t>
            </w:r>
          </w:p>
        </w:tc>
        <w:tc>
          <w:tcPr>
            <w:tcW w:w="2268" w:type="dxa"/>
            <w:vAlign w:val="center"/>
          </w:tcPr>
          <w:p>
            <w:pPr>
              <w:pStyle w:val="12"/>
            </w:pPr>
            <w:r>
              <w:t>成果有效</w:t>
            </w:r>
          </w:p>
        </w:tc>
        <w:tc>
          <w:tcPr>
            <w:tcW w:w="1276" w:type="dxa"/>
            <w:vAlign w:val="center"/>
          </w:tcPr>
          <w:p>
            <w:pPr>
              <w:pStyle w:val="12"/>
            </w:pPr>
            <w:r>
              <w:t>历史数据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被调查群体对部门工作的满意程度</w:t>
            </w:r>
          </w:p>
        </w:tc>
        <w:tc>
          <w:tcPr>
            <w:tcW w:w="2268" w:type="dxa"/>
            <w:vAlign w:val="center"/>
          </w:tcPr>
          <w:p>
            <w:pPr>
              <w:pStyle w:val="12"/>
            </w:pPr>
            <w:r>
              <w:t>≥90%</w:t>
            </w:r>
          </w:p>
        </w:tc>
        <w:tc>
          <w:tcPr>
            <w:tcW w:w="1276" w:type="dxa"/>
            <w:vAlign w:val="center"/>
          </w:tcPr>
          <w:p>
            <w:pPr>
              <w:pStyle w:val="12"/>
            </w:pPr>
            <w:r>
              <w:t>历史数据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2、招商日常工作经费绩效目标表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13031325P00880510494P</w:t>
            </w:r>
          </w:p>
        </w:tc>
        <w:tc>
          <w:tcPr>
            <w:tcW w:w="2835" w:type="dxa"/>
            <w:vAlign w:val="center"/>
          </w:tcPr>
          <w:p>
            <w:pPr>
              <w:pStyle w:val="10"/>
            </w:pPr>
            <w:r>
              <w:t>项目名称</w:t>
            </w:r>
          </w:p>
        </w:tc>
        <w:tc>
          <w:tcPr>
            <w:tcW w:w="6095" w:type="dxa"/>
            <w:gridSpan w:val="3"/>
            <w:vAlign w:val="center"/>
          </w:tcPr>
          <w:p>
            <w:pPr>
              <w:pStyle w:val="12"/>
            </w:pPr>
            <w:r>
              <w:t>招商日常工作经费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w:t>
            </w:r>
          </w:p>
        </w:tc>
        <w:tc>
          <w:tcPr>
            <w:tcW w:w="2835" w:type="dxa"/>
            <w:vAlign w:val="center"/>
          </w:tcPr>
          <w:p>
            <w:pPr>
              <w:pStyle w:val="10"/>
            </w:pPr>
            <w:r>
              <w:t>其中：财政    资金</w:t>
            </w:r>
          </w:p>
        </w:tc>
        <w:tc>
          <w:tcPr>
            <w:tcW w:w="2551" w:type="dxa"/>
            <w:vAlign w:val="center"/>
          </w:tcPr>
          <w:p>
            <w:pPr>
              <w:pStyle w:val="12"/>
            </w:pPr>
            <w:r>
              <w:t>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举办招商活动，签约招商项目。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1.签约招商项目，提高签约数量。</w:t>
            </w:r>
          </w:p>
          <w:p>
            <w:pPr>
              <w:pStyle w:val="12"/>
            </w:pPr>
            <w:r>
              <w:t>2.举办招商引资活动，提高影响知名度。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到会客商人数</w:t>
            </w:r>
          </w:p>
        </w:tc>
        <w:tc>
          <w:tcPr>
            <w:tcW w:w="5386" w:type="dxa"/>
            <w:vAlign w:val="center"/>
          </w:tcPr>
          <w:p>
            <w:pPr>
              <w:pStyle w:val="12"/>
            </w:pPr>
            <w:r>
              <w:t>到会客商人数</w:t>
            </w:r>
          </w:p>
        </w:tc>
        <w:tc>
          <w:tcPr>
            <w:tcW w:w="2268" w:type="dxa"/>
            <w:vAlign w:val="center"/>
          </w:tcPr>
          <w:p>
            <w:pPr>
              <w:pStyle w:val="12"/>
            </w:pPr>
            <w:r>
              <w:t>≥100人</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累计发布信息</w:t>
            </w:r>
          </w:p>
        </w:tc>
        <w:tc>
          <w:tcPr>
            <w:tcW w:w="5386" w:type="dxa"/>
            <w:vAlign w:val="center"/>
          </w:tcPr>
          <w:p>
            <w:pPr>
              <w:pStyle w:val="12"/>
            </w:pPr>
            <w:r>
              <w:t>累计发布信息</w:t>
            </w:r>
          </w:p>
        </w:tc>
        <w:tc>
          <w:tcPr>
            <w:tcW w:w="2268" w:type="dxa"/>
            <w:vAlign w:val="center"/>
          </w:tcPr>
          <w:p>
            <w:pPr>
              <w:pStyle w:val="12"/>
            </w:pPr>
            <w:r>
              <w:t>≥20次</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招商活动的签约项目个数（个）</w:t>
            </w:r>
          </w:p>
        </w:tc>
        <w:tc>
          <w:tcPr>
            <w:tcW w:w="5386" w:type="dxa"/>
            <w:vAlign w:val="center"/>
          </w:tcPr>
          <w:p>
            <w:pPr>
              <w:pStyle w:val="12"/>
            </w:pPr>
            <w:r>
              <w:t>招商活动的签约项目个数（个）</w:t>
            </w:r>
          </w:p>
        </w:tc>
        <w:tc>
          <w:tcPr>
            <w:tcW w:w="2268" w:type="dxa"/>
            <w:vAlign w:val="center"/>
          </w:tcPr>
          <w:p>
            <w:pPr>
              <w:pStyle w:val="12"/>
            </w:pPr>
            <w:r>
              <w:t>≥30个</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会议费标准</w:t>
            </w:r>
          </w:p>
        </w:tc>
        <w:tc>
          <w:tcPr>
            <w:tcW w:w="5386" w:type="dxa"/>
            <w:vAlign w:val="center"/>
          </w:tcPr>
          <w:p>
            <w:pPr>
              <w:pStyle w:val="12"/>
            </w:pPr>
            <w:r>
              <w:t>会议费标准</w:t>
            </w:r>
          </w:p>
        </w:tc>
        <w:tc>
          <w:tcPr>
            <w:tcW w:w="2268" w:type="dxa"/>
            <w:vAlign w:val="center"/>
          </w:tcPr>
          <w:p>
            <w:pPr>
              <w:pStyle w:val="12"/>
            </w:pPr>
            <w:r>
              <w:t>≤400元</w:t>
            </w:r>
          </w:p>
        </w:tc>
        <w:tc>
          <w:tcPr>
            <w:tcW w:w="1276" w:type="dxa"/>
            <w:vAlign w:val="center"/>
          </w:tcPr>
          <w:p>
            <w:pPr>
              <w:pStyle w:val="12"/>
            </w:pPr>
            <w:r>
              <w:t>会议费文件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招商活动的签约项目金额（亿元）</w:t>
            </w:r>
          </w:p>
        </w:tc>
        <w:tc>
          <w:tcPr>
            <w:tcW w:w="5386" w:type="dxa"/>
            <w:vAlign w:val="center"/>
          </w:tcPr>
          <w:p>
            <w:pPr>
              <w:pStyle w:val="12"/>
            </w:pPr>
            <w:r>
              <w:t>招商活动的签约项目金额（亿元）</w:t>
            </w:r>
          </w:p>
        </w:tc>
        <w:tc>
          <w:tcPr>
            <w:tcW w:w="2268" w:type="dxa"/>
            <w:vAlign w:val="center"/>
          </w:tcPr>
          <w:p>
            <w:pPr>
              <w:pStyle w:val="12"/>
            </w:pPr>
            <w:r>
              <w:t>≥18亿元</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保障机关单位正常运转</w:t>
            </w:r>
          </w:p>
        </w:tc>
        <w:tc>
          <w:tcPr>
            <w:tcW w:w="5386" w:type="dxa"/>
            <w:vAlign w:val="center"/>
          </w:tcPr>
          <w:p>
            <w:pPr>
              <w:pStyle w:val="12"/>
            </w:pPr>
            <w:r>
              <w:t>保障机关单位正常运转</w:t>
            </w:r>
          </w:p>
        </w:tc>
        <w:tc>
          <w:tcPr>
            <w:tcW w:w="2268" w:type="dxa"/>
            <w:vAlign w:val="center"/>
          </w:tcPr>
          <w:p>
            <w:pPr>
              <w:pStyle w:val="12"/>
            </w:pPr>
            <w:r>
              <w:t>正常</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实际参会企业数</w:t>
            </w:r>
          </w:p>
        </w:tc>
        <w:tc>
          <w:tcPr>
            <w:tcW w:w="5386" w:type="dxa"/>
            <w:vAlign w:val="center"/>
          </w:tcPr>
          <w:p>
            <w:pPr>
              <w:pStyle w:val="12"/>
            </w:pPr>
            <w:r>
              <w:t>实际参会企业数</w:t>
            </w:r>
          </w:p>
        </w:tc>
        <w:tc>
          <w:tcPr>
            <w:tcW w:w="2268" w:type="dxa"/>
            <w:vAlign w:val="center"/>
          </w:tcPr>
          <w:p>
            <w:pPr>
              <w:pStyle w:val="12"/>
            </w:pPr>
            <w:r>
              <w:t>≥20家</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使用公共交通工具出差</w:t>
            </w:r>
          </w:p>
        </w:tc>
        <w:tc>
          <w:tcPr>
            <w:tcW w:w="5386" w:type="dxa"/>
            <w:vAlign w:val="center"/>
          </w:tcPr>
          <w:p>
            <w:pPr>
              <w:pStyle w:val="12"/>
            </w:pPr>
            <w:r>
              <w:t>使用公共交通工具出差</w:t>
            </w:r>
          </w:p>
        </w:tc>
        <w:tc>
          <w:tcPr>
            <w:tcW w:w="2268" w:type="dxa"/>
            <w:vAlign w:val="center"/>
          </w:tcPr>
          <w:p>
            <w:pPr>
              <w:pStyle w:val="12"/>
            </w:pPr>
            <w:r>
              <w:t>≥95百分比</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≥95百分比</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3、招商活动经费绩效目标表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13031325P00880111065Y</w:t>
            </w:r>
          </w:p>
        </w:tc>
        <w:tc>
          <w:tcPr>
            <w:tcW w:w="2835" w:type="dxa"/>
            <w:vAlign w:val="center"/>
          </w:tcPr>
          <w:p>
            <w:pPr>
              <w:pStyle w:val="10"/>
            </w:pPr>
            <w:r>
              <w:t>项目名称</w:t>
            </w:r>
          </w:p>
        </w:tc>
        <w:tc>
          <w:tcPr>
            <w:tcW w:w="6095" w:type="dxa"/>
            <w:gridSpan w:val="3"/>
            <w:vAlign w:val="center"/>
          </w:tcPr>
          <w:p>
            <w:pPr>
              <w:pStyle w:val="12"/>
            </w:pPr>
            <w:r>
              <w:t>招商活动经费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400.00</w:t>
            </w:r>
          </w:p>
        </w:tc>
        <w:tc>
          <w:tcPr>
            <w:tcW w:w="2835" w:type="dxa"/>
            <w:vAlign w:val="center"/>
          </w:tcPr>
          <w:p>
            <w:pPr>
              <w:pStyle w:val="10"/>
            </w:pPr>
            <w:r>
              <w:t>其中：财政    资金</w:t>
            </w:r>
          </w:p>
        </w:tc>
        <w:tc>
          <w:tcPr>
            <w:tcW w:w="2551" w:type="dxa"/>
            <w:vAlign w:val="center"/>
          </w:tcPr>
          <w:p>
            <w:pPr>
              <w:pStyle w:val="12"/>
            </w:pPr>
            <w:r>
              <w:t>400.00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举办招商活动，签约招商项目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1.签约完成招商活动项目</w:t>
            </w:r>
          </w:p>
          <w:p>
            <w:pPr>
              <w:pStyle w:val="12"/>
            </w:pPr>
            <w:r>
              <w:t>2.举办招商引资活动数，增强影响力。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举办招商引资活动数量（个）</w:t>
            </w:r>
          </w:p>
        </w:tc>
        <w:tc>
          <w:tcPr>
            <w:tcW w:w="5386" w:type="dxa"/>
            <w:vAlign w:val="center"/>
          </w:tcPr>
          <w:p>
            <w:pPr>
              <w:pStyle w:val="12"/>
            </w:pPr>
            <w:r>
              <w:t>举办招商引资活动数量（个）</w:t>
            </w:r>
          </w:p>
        </w:tc>
        <w:tc>
          <w:tcPr>
            <w:tcW w:w="2268" w:type="dxa"/>
            <w:vAlign w:val="center"/>
          </w:tcPr>
          <w:p>
            <w:pPr>
              <w:pStyle w:val="12"/>
            </w:pPr>
            <w:r>
              <w:t>≥200个</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招商活动的签约项目个数</w:t>
            </w:r>
          </w:p>
        </w:tc>
        <w:tc>
          <w:tcPr>
            <w:tcW w:w="5386" w:type="dxa"/>
            <w:vAlign w:val="center"/>
          </w:tcPr>
          <w:p>
            <w:pPr>
              <w:pStyle w:val="12"/>
            </w:pPr>
            <w:r>
              <w:t>招商活动的签约项目个数</w:t>
            </w:r>
          </w:p>
        </w:tc>
        <w:tc>
          <w:tcPr>
            <w:tcW w:w="2268" w:type="dxa"/>
            <w:vAlign w:val="center"/>
          </w:tcPr>
          <w:p>
            <w:pPr>
              <w:pStyle w:val="12"/>
            </w:pPr>
            <w:r>
              <w:t>≥40个</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按时完成印刷任务</w:t>
            </w:r>
          </w:p>
        </w:tc>
        <w:tc>
          <w:tcPr>
            <w:tcW w:w="5386" w:type="dxa"/>
            <w:vAlign w:val="center"/>
          </w:tcPr>
          <w:p>
            <w:pPr>
              <w:pStyle w:val="12"/>
            </w:pPr>
            <w:r>
              <w:t>按时完成印刷任务</w:t>
            </w:r>
          </w:p>
        </w:tc>
        <w:tc>
          <w:tcPr>
            <w:tcW w:w="2268" w:type="dxa"/>
            <w:vAlign w:val="center"/>
          </w:tcPr>
          <w:p>
            <w:pPr>
              <w:pStyle w:val="12"/>
            </w:pPr>
            <w:r>
              <w:t>≥90百分比</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接待标准</w:t>
            </w:r>
          </w:p>
        </w:tc>
        <w:tc>
          <w:tcPr>
            <w:tcW w:w="5386" w:type="dxa"/>
            <w:vAlign w:val="center"/>
          </w:tcPr>
          <w:p>
            <w:pPr>
              <w:pStyle w:val="12"/>
            </w:pPr>
            <w:r>
              <w:t>接待标准</w:t>
            </w:r>
          </w:p>
        </w:tc>
        <w:tc>
          <w:tcPr>
            <w:tcW w:w="2268" w:type="dxa"/>
            <w:vAlign w:val="center"/>
          </w:tcPr>
          <w:p>
            <w:pPr>
              <w:pStyle w:val="12"/>
            </w:pPr>
            <w:r>
              <w:t>≤300元/人</w:t>
            </w:r>
          </w:p>
        </w:tc>
        <w:tc>
          <w:tcPr>
            <w:tcW w:w="1276" w:type="dxa"/>
            <w:vAlign w:val="center"/>
          </w:tcPr>
          <w:p>
            <w:pPr>
              <w:pStyle w:val="12"/>
            </w:pPr>
            <w:r>
              <w:t>资金预算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招商活动的签约项目金额（亿元）</w:t>
            </w:r>
          </w:p>
        </w:tc>
        <w:tc>
          <w:tcPr>
            <w:tcW w:w="5386" w:type="dxa"/>
            <w:vAlign w:val="center"/>
          </w:tcPr>
          <w:p>
            <w:pPr>
              <w:pStyle w:val="12"/>
            </w:pPr>
            <w:r>
              <w:t>招商活动的签约项目金额（亿元）</w:t>
            </w:r>
          </w:p>
        </w:tc>
        <w:tc>
          <w:tcPr>
            <w:tcW w:w="2268" w:type="dxa"/>
            <w:vAlign w:val="center"/>
          </w:tcPr>
          <w:p>
            <w:pPr>
              <w:pStyle w:val="12"/>
            </w:pPr>
            <w:r>
              <w:t>≥18亿元</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项目带动就业能力</w:t>
            </w:r>
          </w:p>
        </w:tc>
        <w:tc>
          <w:tcPr>
            <w:tcW w:w="5386" w:type="dxa"/>
            <w:vAlign w:val="center"/>
          </w:tcPr>
          <w:p>
            <w:pPr>
              <w:pStyle w:val="12"/>
            </w:pPr>
            <w:r>
              <w:t>项目带动就业能力</w:t>
            </w:r>
          </w:p>
        </w:tc>
        <w:tc>
          <w:tcPr>
            <w:tcW w:w="2268" w:type="dxa"/>
            <w:vAlign w:val="center"/>
          </w:tcPr>
          <w:p>
            <w:pPr>
              <w:pStyle w:val="12"/>
            </w:pPr>
            <w:r>
              <w:t>≥1000人</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使用公共交通次数</w:t>
            </w:r>
          </w:p>
        </w:tc>
        <w:tc>
          <w:tcPr>
            <w:tcW w:w="5386" w:type="dxa"/>
            <w:vAlign w:val="center"/>
          </w:tcPr>
          <w:p>
            <w:pPr>
              <w:pStyle w:val="12"/>
            </w:pPr>
            <w:r>
              <w:t>使用公共交通工具出差的次数占总出差次数的百分比</w:t>
            </w:r>
          </w:p>
        </w:tc>
        <w:tc>
          <w:tcPr>
            <w:tcW w:w="2268" w:type="dxa"/>
            <w:vAlign w:val="center"/>
          </w:tcPr>
          <w:p>
            <w:pPr>
              <w:pStyle w:val="12"/>
            </w:pPr>
            <w:r>
              <w:t>≥80百分比</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实际参会企业数</w:t>
            </w:r>
          </w:p>
        </w:tc>
        <w:tc>
          <w:tcPr>
            <w:tcW w:w="5386" w:type="dxa"/>
            <w:vAlign w:val="center"/>
          </w:tcPr>
          <w:p>
            <w:pPr>
              <w:pStyle w:val="12"/>
            </w:pPr>
            <w:r>
              <w:t>实际参会企业数</w:t>
            </w:r>
          </w:p>
        </w:tc>
        <w:tc>
          <w:tcPr>
            <w:tcW w:w="2268" w:type="dxa"/>
            <w:vAlign w:val="center"/>
          </w:tcPr>
          <w:p>
            <w:pPr>
              <w:pStyle w:val="12"/>
            </w:pPr>
            <w:r>
              <w:t>≥100家</w:t>
            </w:r>
          </w:p>
        </w:tc>
        <w:tc>
          <w:tcPr>
            <w:tcW w:w="1276" w:type="dxa"/>
            <w:vAlign w:val="center"/>
          </w:tcPr>
          <w:p>
            <w:pPr>
              <w:pStyle w:val="12"/>
            </w:pPr>
            <w:r>
              <w:t>计划目标值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≥95百分比</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322001秦皇岛北戴河新区招商和投资促进局本级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110.96</w:t>
            </w:r>
          </w:p>
        </w:tc>
        <w:tc>
          <w:tcPr>
            <w:tcW w:w="964" w:type="dxa"/>
            <w:vAlign w:val="center"/>
          </w:tcPr>
          <w:p>
            <w:pPr>
              <w:pStyle w:val="15"/>
            </w:pPr>
            <w:r>
              <w:t>110.96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110.96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秦皇岛北戴河新区招商和投资促进局本级小计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110.96</w:t>
            </w:r>
          </w:p>
        </w:tc>
        <w:tc>
          <w:tcPr>
            <w:tcW w:w="964" w:type="dxa"/>
            <w:vAlign w:val="center"/>
          </w:tcPr>
          <w:p>
            <w:pPr>
              <w:pStyle w:val="15"/>
            </w:pPr>
            <w:r>
              <w:t>110.96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110.96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16.96</w:t>
            </w:r>
          </w:p>
        </w:tc>
        <w:tc>
          <w:tcPr>
            <w:tcW w:w="1134" w:type="dxa"/>
            <w:vAlign w:val="center"/>
          </w:tcPr>
          <w:p>
            <w:pPr>
              <w:pStyle w:val="12"/>
            </w:pPr>
            <w:r>
              <w:t>其他计算机</w:t>
            </w:r>
          </w:p>
        </w:tc>
        <w:tc>
          <w:tcPr>
            <w:tcW w:w="1134" w:type="dxa"/>
            <w:vAlign w:val="center"/>
          </w:tcPr>
          <w:p>
            <w:pPr>
              <w:pStyle w:val="12"/>
            </w:pPr>
            <w:r>
              <w:t>A02010199</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1.28</w:t>
            </w:r>
          </w:p>
        </w:tc>
        <w:tc>
          <w:tcPr>
            <w:tcW w:w="964" w:type="dxa"/>
            <w:vAlign w:val="center"/>
          </w:tcPr>
          <w:p>
            <w:pPr>
              <w:pStyle w:val="11"/>
            </w:pPr>
            <w:r>
              <w:t>1.28</w:t>
            </w:r>
          </w:p>
        </w:tc>
        <w:tc>
          <w:tcPr>
            <w:tcW w:w="964" w:type="dxa"/>
            <w:vAlign w:val="center"/>
          </w:tcPr>
          <w:p>
            <w:pPr>
              <w:pStyle w:val="11"/>
            </w:pPr>
            <w:r>
              <w:t>1.28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16.96</w:t>
            </w:r>
          </w:p>
        </w:tc>
        <w:tc>
          <w:tcPr>
            <w:tcW w:w="1134" w:type="dxa"/>
            <w:vAlign w:val="center"/>
          </w:tcPr>
          <w:p>
            <w:pPr>
              <w:pStyle w:val="12"/>
            </w:pPr>
            <w:r>
              <w:t>纸制品</w:t>
            </w:r>
          </w:p>
        </w:tc>
        <w:tc>
          <w:tcPr>
            <w:tcW w:w="1134" w:type="dxa"/>
            <w:vAlign w:val="center"/>
          </w:tcPr>
          <w:p>
            <w:pPr>
              <w:pStyle w:val="12"/>
            </w:pPr>
            <w:r>
              <w:t>A07100300</w:t>
            </w:r>
          </w:p>
        </w:tc>
        <w:tc>
          <w:tcPr>
            <w:tcW w:w="709" w:type="dxa"/>
            <w:vAlign w:val="center"/>
          </w:tcPr>
          <w:p>
            <w:pPr>
              <w:pStyle w:val="13"/>
            </w:pPr>
            <w:r>
              <w:t>件</w:t>
            </w:r>
          </w:p>
        </w:tc>
        <w:tc>
          <w:tcPr>
            <w:tcW w:w="850" w:type="dxa"/>
            <w:vAlign w:val="center"/>
          </w:tcPr>
          <w:p>
            <w:pPr>
              <w:pStyle w:val="11"/>
            </w:pPr>
            <w:r>
              <w:t>2</w:t>
            </w:r>
          </w:p>
        </w:tc>
        <w:tc>
          <w:tcPr>
            <w:tcW w:w="850" w:type="dxa"/>
            <w:vAlign w:val="center"/>
          </w:tcPr>
          <w:p>
            <w:pPr>
              <w:pStyle w:val="11"/>
            </w:pPr>
            <w:r>
              <w:t>0.64</w:t>
            </w:r>
          </w:p>
        </w:tc>
        <w:tc>
          <w:tcPr>
            <w:tcW w:w="964" w:type="dxa"/>
            <w:vAlign w:val="center"/>
          </w:tcPr>
          <w:p>
            <w:pPr>
              <w:pStyle w:val="11"/>
            </w:pPr>
            <w:r>
              <w:t>1.28</w:t>
            </w:r>
          </w:p>
        </w:tc>
        <w:tc>
          <w:tcPr>
            <w:tcW w:w="964" w:type="dxa"/>
            <w:vAlign w:val="center"/>
          </w:tcPr>
          <w:p>
            <w:pPr>
              <w:pStyle w:val="11"/>
            </w:pPr>
            <w:r>
              <w:t>1.28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16.96</w:t>
            </w:r>
          </w:p>
        </w:tc>
        <w:tc>
          <w:tcPr>
            <w:tcW w:w="1134" w:type="dxa"/>
            <w:vAlign w:val="center"/>
          </w:tcPr>
          <w:p>
            <w:pPr>
              <w:pStyle w:val="12"/>
            </w:pPr>
            <w:r>
              <w:t>纸制品</w:t>
            </w:r>
          </w:p>
        </w:tc>
        <w:tc>
          <w:tcPr>
            <w:tcW w:w="1134" w:type="dxa"/>
            <w:vAlign w:val="center"/>
          </w:tcPr>
          <w:p>
            <w:pPr>
              <w:pStyle w:val="12"/>
            </w:pPr>
            <w:r>
              <w:t>A07100300</w:t>
            </w:r>
          </w:p>
        </w:tc>
        <w:tc>
          <w:tcPr>
            <w:tcW w:w="709" w:type="dxa"/>
            <w:vAlign w:val="center"/>
          </w:tcPr>
          <w:p>
            <w:pPr>
              <w:pStyle w:val="13"/>
            </w:pPr>
            <w:r>
              <w:t>件</w:t>
            </w:r>
          </w:p>
        </w:tc>
        <w:tc>
          <w:tcPr>
            <w:tcW w:w="850" w:type="dxa"/>
            <w:vAlign w:val="center"/>
          </w:tcPr>
          <w:p>
            <w:pPr>
              <w:pStyle w:val="11"/>
            </w:pPr>
            <w:r>
              <w:t>10</w:t>
            </w:r>
          </w:p>
        </w:tc>
        <w:tc>
          <w:tcPr>
            <w:tcW w:w="850" w:type="dxa"/>
            <w:vAlign w:val="center"/>
          </w:tcPr>
          <w:p>
            <w:pPr>
              <w:pStyle w:val="11"/>
            </w:pPr>
            <w:r>
              <w:t>0.84</w:t>
            </w:r>
          </w:p>
        </w:tc>
        <w:tc>
          <w:tcPr>
            <w:tcW w:w="964" w:type="dxa"/>
            <w:vAlign w:val="center"/>
          </w:tcPr>
          <w:p>
            <w:pPr>
              <w:pStyle w:val="11"/>
            </w:pPr>
            <w:r>
              <w:t>8.40</w:t>
            </w:r>
          </w:p>
        </w:tc>
        <w:tc>
          <w:tcPr>
            <w:tcW w:w="964" w:type="dxa"/>
            <w:vAlign w:val="center"/>
          </w:tcPr>
          <w:p>
            <w:pPr>
              <w:pStyle w:val="11"/>
            </w:pPr>
            <w:r>
              <w:t>8.40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招商活动经费</w:t>
            </w:r>
          </w:p>
        </w:tc>
        <w:tc>
          <w:tcPr>
            <w:tcW w:w="964" w:type="dxa"/>
            <w:vAlign w:val="center"/>
          </w:tcPr>
          <w:p>
            <w:pPr>
              <w:pStyle w:val="11"/>
            </w:pPr>
            <w:r>
              <w:t>400.00</w:t>
            </w:r>
          </w:p>
        </w:tc>
        <w:tc>
          <w:tcPr>
            <w:tcW w:w="1134" w:type="dxa"/>
            <w:vAlign w:val="center"/>
          </w:tcPr>
          <w:p>
            <w:pPr>
              <w:pStyle w:val="12"/>
            </w:pPr>
            <w:r>
              <w:t>餐饮服务</w:t>
            </w:r>
          </w:p>
        </w:tc>
        <w:tc>
          <w:tcPr>
            <w:tcW w:w="1134" w:type="dxa"/>
            <w:vAlign w:val="center"/>
          </w:tcPr>
          <w:p>
            <w:pPr>
              <w:pStyle w:val="12"/>
            </w:pPr>
            <w:r>
              <w:t>C22040000</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秦皇岛北戴河新区招商和投资促进局本级上年末固定资产金额为</w:t>
      </w:r>
      <w:r>
        <w:rPr>
          <w:rFonts w:hint="eastAsia" w:eastAsia="方正仿宋_GBK" w:cs="Times New Roman"/>
          <w:b w:val="0"/>
          <w:color w:val="000000"/>
          <w:sz w:val="28"/>
          <w:lang w:val="en-US" w:eastAsia="zh-CN"/>
        </w:rPr>
        <w:t>64.61</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322001秦皇岛北戴河新区招商和投资促进局本级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7"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ind w:firstLine="0" w:firstLineChars="0"/>
              <w:rPr>
                <w:rFonts w:hint="eastAsia" w:ascii="方正书宋_GBK" w:hAnsi="方正书宋_GBK" w:eastAsia="方正书宋_GBK" w:cs="方正书宋_GBK"/>
                <w:sz w:val="21"/>
                <w:lang w:eastAsia="zh-CN"/>
              </w:rPr>
            </w:pPr>
            <w:r>
              <w:rPr>
                <w:rFonts w:hint="eastAsia"/>
                <w:lang w:eastAsia="zh-CN"/>
              </w:rPr>
              <w:t>资产总额</w:t>
            </w:r>
          </w:p>
        </w:tc>
        <w:tc>
          <w:tcPr>
            <w:tcW w:w="2835" w:type="dxa"/>
            <w:vAlign w:val="center"/>
          </w:tcPr>
          <w:p>
            <w:pPr>
              <w:pStyle w:val="13"/>
              <w:ind w:firstLine="0" w:firstLineChars="0"/>
              <w:rPr>
                <w:rFonts w:ascii="方正书宋_GBK" w:hAnsi="方正书宋_GBK" w:eastAsia="方正书宋_GBK" w:cs="方正书宋_GBK"/>
                <w:sz w:val="21"/>
              </w:rPr>
            </w:pPr>
          </w:p>
        </w:tc>
        <w:tc>
          <w:tcPr>
            <w:tcW w:w="2835" w:type="dxa"/>
            <w:vAlign w:val="center"/>
          </w:tcPr>
          <w:p>
            <w:pPr>
              <w:pStyle w:val="11"/>
              <w:ind w:firstLine="0" w:firstLineChars="0"/>
              <w:rPr>
                <w:rFonts w:hint="default" w:ascii="方正书宋_GBK" w:hAnsi="方正书宋_GBK" w:eastAsia="方正书宋_GBK" w:cs="方正书宋_GBK"/>
                <w:sz w:val="21"/>
                <w:lang w:val="en-US" w:eastAsia="zh-CN"/>
              </w:rPr>
            </w:pPr>
            <w:r>
              <w:rPr>
                <w:rFonts w:hint="eastAsia" w:cs="方正书宋_GBK"/>
                <w:sz w:val="21"/>
                <w:lang w:val="en-US" w:eastAsia="zh-CN"/>
              </w:rPr>
              <w:t>64.61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vAlign w:val="center"/>
          </w:tcPr>
          <w:p>
            <w:pPr>
              <w:pStyle w:val="12"/>
              <w:ind w:firstLine="0" w:firstLineChars="0"/>
              <w:rPr>
                <w:rFonts w:hint="default" w:ascii="方正书宋_GBK" w:hAnsi="方正书宋_GBK" w:eastAsia="方正书宋_GBK" w:cs="方正书宋_GBK"/>
                <w:sz w:val="21"/>
                <w:lang w:val="en-US" w:eastAsia="zh-CN"/>
              </w:rPr>
            </w:pPr>
            <w:r>
              <w:rPr>
                <w:rFonts w:hint="eastAsia"/>
                <w:lang w:val="en-US" w:eastAsia="zh-CN"/>
              </w:rPr>
              <w:t>1、房屋（平方米）</w:t>
            </w:r>
          </w:p>
        </w:tc>
        <w:tc>
          <w:tcPr>
            <w:tcW w:w="0" w:type="auto"/>
            <w:vAlign w:val="center"/>
          </w:tcPr>
          <w:p>
            <w:pPr>
              <w:pStyle w:val="13"/>
              <w:ind w:firstLine="0" w:firstLineChars="0"/>
              <w:rPr>
                <w:rFonts w:ascii="方正书宋_GBK" w:hAnsi="方正书宋_GBK" w:eastAsia="方正书宋_GBK" w:cs="方正书宋_GBK"/>
                <w:sz w:val="21"/>
              </w:rPr>
            </w:pPr>
          </w:p>
        </w:tc>
        <w:tc>
          <w:tcPr>
            <w:tcW w:w="0" w:type="auto"/>
            <w:vAlign w:val="center"/>
          </w:tcPr>
          <w:p>
            <w:pPr>
              <w:pStyle w:val="11"/>
              <w:ind w:firstLine="0" w:firstLineChars="0"/>
              <w:rPr>
                <w:rFonts w:ascii="方正书宋_GBK" w:hAnsi="方正书宋_GBK" w:eastAsia="方正书宋_GBK" w:cs="方正书宋_GBK"/>
                <w:sz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vAlign w:val="center"/>
          </w:tcPr>
          <w:p>
            <w:pPr>
              <w:pStyle w:val="12"/>
              <w:ind w:firstLine="0" w:firstLineChars="0"/>
              <w:rPr>
                <w:rFonts w:hint="default" w:ascii="方正书宋_GBK" w:hAnsi="方正书宋_GBK" w:eastAsia="方正书宋_GBK" w:cs="方正书宋_GBK"/>
                <w:sz w:val="21"/>
                <w:lang w:val="en-US" w:eastAsia="zh-CN"/>
              </w:rPr>
            </w:pPr>
            <w:r>
              <w:rPr>
                <w:rFonts w:hint="eastAsia"/>
                <w:lang w:val="en-US" w:eastAsia="zh-CN"/>
              </w:rPr>
              <w:t xml:space="preserve">  其中：办公用房（平方米）</w:t>
            </w:r>
          </w:p>
        </w:tc>
        <w:tc>
          <w:tcPr>
            <w:tcW w:w="0" w:type="auto"/>
            <w:vAlign w:val="center"/>
          </w:tcPr>
          <w:p>
            <w:pPr>
              <w:pStyle w:val="13"/>
              <w:ind w:firstLine="0" w:firstLineChars="0"/>
              <w:rPr>
                <w:rFonts w:ascii="方正书宋_GBK" w:hAnsi="方正书宋_GBK" w:eastAsia="方正书宋_GBK" w:cs="方正书宋_GBK"/>
                <w:sz w:val="21"/>
              </w:rPr>
            </w:pPr>
          </w:p>
        </w:tc>
        <w:tc>
          <w:tcPr>
            <w:tcW w:w="0" w:type="auto"/>
            <w:vAlign w:val="center"/>
          </w:tcPr>
          <w:p>
            <w:pPr>
              <w:pStyle w:val="11"/>
              <w:ind w:firstLine="0" w:firstLineChars="0"/>
              <w:rPr>
                <w:rFonts w:ascii="方正书宋_GBK" w:hAnsi="方正书宋_GBK" w:eastAsia="方正书宋_GBK" w:cs="方正书宋_GBK"/>
                <w:sz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vAlign w:val="center"/>
          </w:tcPr>
          <w:p>
            <w:pPr>
              <w:pStyle w:val="12"/>
              <w:ind w:firstLine="0" w:firstLineChars="0"/>
              <w:rPr>
                <w:rFonts w:hint="default" w:ascii="方正书宋_GBK" w:hAnsi="方正书宋_GBK" w:eastAsia="方正书宋_GBK" w:cs="方正书宋_GBK"/>
                <w:sz w:val="21"/>
                <w:lang w:val="en-US" w:eastAsia="zh-CN"/>
              </w:rPr>
            </w:pPr>
            <w:r>
              <w:rPr>
                <w:rFonts w:hint="eastAsia"/>
                <w:lang w:val="en-US" w:eastAsia="zh-CN"/>
              </w:rPr>
              <w:t>2、车辆（台、辆）</w:t>
            </w:r>
          </w:p>
        </w:tc>
        <w:tc>
          <w:tcPr>
            <w:tcW w:w="0" w:type="auto"/>
            <w:vAlign w:val="center"/>
          </w:tcPr>
          <w:p>
            <w:pPr>
              <w:pStyle w:val="13"/>
              <w:ind w:firstLine="0" w:firstLineChars="0"/>
              <w:rPr>
                <w:rFonts w:hint="eastAsia" w:ascii="方正书宋_GBK" w:hAnsi="方正书宋_GBK" w:eastAsia="方正书宋_GBK" w:cs="方正书宋_GBK"/>
                <w:sz w:val="21"/>
                <w:lang w:val="en-US" w:eastAsia="zh-CN"/>
              </w:rPr>
            </w:pPr>
            <w:r>
              <w:rPr>
                <w:rFonts w:hint="eastAsia"/>
                <w:lang w:val="en-US" w:eastAsia="zh-CN"/>
              </w:rPr>
              <w:t>1</w:t>
            </w:r>
          </w:p>
        </w:tc>
        <w:tc>
          <w:tcPr>
            <w:tcW w:w="0" w:type="auto"/>
            <w:vAlign w:val="center"/>
          </w:tcPr>
          <w:p>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19.61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vAlign w:val="center"/>
          </w:tcPr>
          <w:p>
            <w:pPr>
              <w:pStyle w:val="12"/>
              <w:ind w:firstLine="0" w:firstLineChars="0"/>
              <w:rPr>
                <w:rFonts w:hint="default" w:ascii="方正书宋_GBK" w:hAnsi="方正书宋_GBK" w:eastAsia="方正书宋_GBK" w:cs="方正书宋_GBK"/>
                <w:sz w:val="21"/>
                <w:lang w:val="en-US" w:eastAsia="zh-CN"/>
              </w:rPr>
            </w:pPr>
            <w:r>
              <w:rPr>
                <w:rFonts w:hint="eastAsia"/>
                <w:lang w:val="en-US" w:eastAsia="zh-CN"/>
              </w:rPr>
              <w:t>3、单价在20万元以上的设备</w:t>
            </w:r>
          </w:p>
        </w:tc>
        <w:tc>
          <w:tcPr>
            <w:tcW w:w="0" w:type="auto"/>
            <w:vAlign w:val="center"/>
          </w:tcPr>
          <w:p>
            <w:pPr>
              <w:pStyle w:val="13"/>
              <w:ind w:firstLine="0" w:firstLineChars="0"/>
              <w:rPr>
                <w:rFonts w:ascii="方正书宋_GBK" w:hAnsi="方正书宋_GBK" w:eastAsia="方正书宋_GBK" w:cs="方正书宋_GBK"/>
                <w:sz w:val="21"/>
              </w:rPr>
            </w:pPr>
          </w:p>
        </w:tc>
        <w:tc>
          <w:tcPr>
            <w:tcW w:w="0" w:type="auto"/>
            <w:vAlign w:val="center"/>
          </w:tcPr>
          <w:p>
            <w:pPr>
              <w:pStyle w:val="11"/>
              <w:ind w:firstLine="0" w:firstLineChars="0"/>
              <w:rPr>
                <w:rFonts w:ascii="方正书宋_GBK" w:hAnsi="方正书宋_GBK" w:eastAsia="方正书宋_GBK" w:cs="方正书宋_GBK"/>
                <w:sz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vAlign w:val="center"/>
          </w:tcPr>
          <w:p>
            <w:pPr>
              <w:pStyle w:val="12"/>
              <w:ind w:firstLine="0" w:firstLineChars="0"/>
              <w:rPr>
                <w:rFonts w:hint="default" w:ascii="方正书宋_GBK" w:hAnsi="方正书宋_GBK" w:eastAsia="方正书宋_GBK" w:cs="方正书宋_GBK"/>
                <w:sz w:val="21"/>
                <w:lang w:val="en-US" w:eastAsia="zh-CN"/>
              </w:rPr>
            </w:pPr>
            <w:r>
              <w:rPr>
                <w:rFonts w:hint="eastAsia"/>
                <w:lang w:val="en-US" w:eastAsia="zh-CN"/>
              </w:rPr>
              <w:t>4、其他固定资产</w:t>
            </w:r>
          </w:p>
        </w:tc>
        <w:tc>
          <w:tcPr>
            <w:tcW w:w="0" w:type="auto"/>
            <w:vAlign w:val="center"/>
          </w:tcPr>
          <w:p>
            <w:pPr>
              <w:pStyle w:val="13"/>
              <w:ind w:firstLine="0" w:firstLineChars="0"/>
              <w:rPr>
                <w:rFonts w:hint="default" w:ascii="方正书宋_GBK" w:hAnsi="方正书宋_GBK" w:eastAsia="方正书宋_GBK" w:cs="方正书宋_GBK"/>
                <w:sz w:val="21"/>
                <w:lang w:val="en-US" w:eastAsia="zh-CN"/>
              </w:rPr>
            </w:pPr>
            <w:r>
              <w:rPr>
                <w:rFonts w:hint="eastAsia"/>
                <w:lang w:val="en-US" w:eastAsia="zh-CN"/>
              </w:rPr>
              <w:t>229</w:t>
            </w:r>
          </w:p>
        </w:tc>
        <w:tc>
          <w:tcPr>
            <w:tcW w:w="0" w:type="auto"/>
            <w:vAlign w:val="center"/>
          </w:tcPr>
          <w:p>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45</w:t>
            </w:r>
          </w:p>
        </w:tc>
      </w:tr>
    </w:tbl>
    <w:p>
      <w:pPr>
        <w:spacing w:before="0" w:after="0"/>
        <w:ind w:firstLine="640"/>
        <w:jc w:val="left"/>
        <w:outlineLvl w:val="9"/>
      </w:pPr>
      <w:bookmarkStart w:id="1" w:name="_GoBack"/>
      <w:bookmarkEnd w:id="1"/>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B61EB"/>
    <w:rsid w:val="381A1EE5"/>
    <w:rsid w:val="5AB81D52"/>
    <w:rsid w:val="688E18F1"/>
    <w:rsid w:val="7B8C3EE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TotalTime>3</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2025-02-18T14:27:00Z</dcterms:created>
  <dc:creator>Administrator</dc:creator>
  <cp:lastModifiedBy>XQZW</cp:lastModifiedBy>
  <dcterms:modified xsi:type="dcterms:W3CDTF">2025-02-19T01:50:17Z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B0EACD6CDBB941D99CAA2850C680D801</vt:lpwstr>
  </property>
</Properties>
</file>