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一、秦皇岛北戴河新区海洋和渔业局收支预算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一、秦皇岛北戴河新区海洋和渔业局收支预算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11125.43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1900.00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2591.00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8641.21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141.95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13025.43</w:t>
            </w:r>
          </w:p>
        </w:tc>
        <w:tc>
          <w:tcPr>
            <w:tcW w:w="4535" w:type="dxa"/>
            <w:vAlign w:val="center"/>
          </w:tcPr>
          <w:p>
            <w:pPr>
              <w:pStyle w:val="14"/>
            </w:pPr>
            <w:r>
              <w:t>本年支出合计</w:t>
            </w:r>
          </w:p>
        </w:tc>
        <w:tc>
          <w:tcPr>
            <w:tcW w:w="2126" w:type="dxa"/>
            <w:vAlign w:val="center"/>
          </w:tcPr>
          <w:p>
            <w:pPr>
              <w:pStyle w:val="15"/>
            </w:pPr>
            <w:r>
              <w:t>18133.48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5108.05</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18133.48</w:t>
            </w:r>
          </w:p>
        </w:tc>
        <w:tc>
          <w:tcPr>
            <w:tcW w:w="4535" w:type="dxa"/>
            <w:vAlign w:val="center"/>
          </w:tcPr>
          <w:p>
            <w:pPr>
              <w:pStyle w:val="14"/>
            </w:pPr>
            <w:r>
              <w:t>支出总计</w:t>
            </w:r>
          </w:p>
        </w:tc>
        <w:tc>
          <w:tcPr>
            <w:tcW w:w="2126" w:type="dxa"/>
            <w:vAlign w:val="center"/>
          </w:tcPr>
          <w:p>
            <w:pPr>
              <w:pStyle w:val="15"/>
            </w:pPr>
            <w:r>
              <w:t>18133.48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18133.48</w:t>
            </w:r>
          </w:p>
        </w:tc>
        <w:tc>
          <w:tcPr>
            <w:tcW w:w="1134" w:type="dxa"/>
            <w:vAlign w:val="center"/>
          </w:tcPr>
          <w:p>
            <w:pPr>
              <w:pStyle w:val="15"/>
            </w:pPr>
            <w:r>
              <w:t>13025.43</w:t>
            </w:r>
          </w:p>
        </w:tc>
        <w:tc>
          <w:tcPr>
            <w:tcW w:w="1134" w:type="dxa"/>
            <w:vAlign w:val="center"/>
          </w:tcPr>
          <w:p>
            <w:pPr>
              <w:pStyle w:val="15"/>
            </w:pPr>
            <w:r>
              <w:t>13025.43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282.54</w:t>
            </w:r>
          </w:p>
        </w:tc>
        <w:tc>
          <w:tcPr>
            <w:tcW w:w="1134" w:type="dxa"/>
            <w:vAlign w:val="center"/>
          </w:tcPr>
          <w:p>
            <w:pPr>
              <w:pStyle w:val="11"/>
            </w:pPr>
            <w:r>
              <w:t>282.54</w:t>
            </w:r>
          </w:p>
        </w:tc>
        <w:tc>
          <w:tcPr>
            <w:tcW w:w="1134" w:type="dxa"/>
            <w:vAlign w:val="center"/>
          </w:tcPr>
          <w:p>
            <w:pPr>
              <w:pStyle w:val="11"/>
            </w:pPr>
            <w:r>
              <w:t>282.54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282.54</w:t>
            </w:r>
          </w:p>
        </w:tc>
        <w:tc>
          <w:tcPr>
            <w:tcW w:w="1134" w:type="dxa"/>
            <w:vAlign w:val="center"/>
          </w:tcPr>
          <w:p>
            <w:pPr>
              <w:pStyle w:val="11"/>
            </w:pPr>
            <w:r>
              <w:t>282.54</w:t>
            </w:r>
          </w:p>
        </w:tc>
        <w:tc>
          <w:tcPr>
            <w:tcW w:w="1134" w:type="dxa"/>
            <w:vAlign w:val="center"/>
          </w:tcPr>
          <w:p>
            <w:pPr>
              <w:pStyle w:val="11"/>
            </w:pPr>
            <w:r>
              <w:t>282.54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48.15</w:t>
            </w:r>
          </w:p>
        </w:tc>
        <w:tc>
          <w:tcPr>
            <w:tcW w:w="1134" w:type="dxa"/>
            <w:vAlign w:val="center"/>
          </w:tcPr>
          <w:p>
            <w:pPr>
              <w:pStyle w:val="11"/>
            </w:pPr>
            <w:r>
              <w:t>48.15</w:t>
            </w:r>
          </w:p>
        </w:tc>
        <w:tc>
          <w:tcPr>
            <w:tcW w:w="1134" w:type="dxa"/>
            <w:vAlign w:val="center"/>
          </w:tcPr>
          <w:p>
            <w:pPr>
              <w:pStyle w:val="11"/>
            </w:pPr>
            <w:r>
              <w:t>48.15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174.39</w:t>
            </w:r>
          </w:p>
        </w:tc>
        <w:tc>
          <w:tcPr>
            <w:tcW w:w="1134" w:type="dxa"/>
            <w:vAlign w:val="center"/>
          </w:tcPr>
          <w:p>
            <w:pPr>
              <w:pStyle w:val="11"/>
            </w:pPr>
            <w:r>
              <w:t>174.39</w:t>
            </w:r>
          </w:p>
        </w:tc>
        <w:tc>
          <w:tcPr>
            <w:tcW w:w="1134" w:type="dxa"/>
            <w:vAlign w:val="center"/>
          </w:tcPr>
          <w:p>
            <w:pPr>
              <w:pStyle w:val="11"/>
            </w:pPr>
            <w:r>
              <w:t>174.39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145.73</w:t>
            </w:r>
          </w:p>
        </w:tc>
        <w:tc>
          <w:tcPr>
            <w:tcW w:w="1134" w:type="dxa"/>
            <w:vAlign w:val="center"/>
          </w:tcPr>
          <w:p>
            <w:pPr>
              <w:pStyle w:val="11"/>
            </w:pPr>
            <w:r>
              <w:t>145.73</w:t>
            </w:r>
          </w:p>
        </w:tc>
        <w:tc>
          <w:tcPr>
            <w:tcW w:w="1134" w:type="dxa"/>
            <w:vAlign w:val="center"/>
          </w:tcPr>
          <w:p>
            <w:pPr>
              <w:pStyle w:val="11"/>
            </w:pPr>
            <w:r>
              <w:t>145.73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145.73</w:t>
            </w:r>
          </w:p>
        </w:tc>
        <w:tc>
          <w:tcPr>
            <w:tcW w:w="1134" w:type="dxa"/>
            <w:vAlign w:val="center"/>
          </w:tcPr>
          <w:p>
            <w:pPr>
              <w:pStyle w:val="11"/>
            </w:pPr>
            <w:r>
              <w:t>145.73</w:t>
            </w:r>
          </w:p>
        </w:tc>
        <w:tc>
          <w:tcPr>
            <w:tcW w:w="1134" w:type="dxa"/>
            <w:vAlign w:val="center"/>
          </w:tcPr>
          <w:p>
            <w:pPr>
              <w:pStyle w:val="11"/>
            </w:pPr>
            <w:r>
              <w:t>145.73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145.73</w:t>
            </w:r>
          </w:p>
        </w:tc>
        <w:tc>
          <w:tcPr>
            <w:tcW w:w="1134" w:type="dxa"/>
            <w:vAlign w:val="center"/>
          </w:tcPr>
          <w:p>
            <w:pPr>
              <w:pStyle w:val="11"/>
            </w:pPr>
            <w:r>
              <w:t>145.73</w:t>
            </w:r>
          </w:p>
        </w:tc>
        <w:tc>
          <w:tcPr>
            <w:tcW w:w="1134" w:type="dxa"/>
            <w:vAlign w:val="center"/>
          </w:tcPr>
          <w:p>
            <w:pPr>
              <w:pStyle w:val="11"/>
            </w:pPr>
            <w:r>
              <w:t>145.73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2110303</w:t>
            </w:r>
          </w:p>
        </w:tc>
        <w:tc>
          <w:tcPr>
            <w:tcW w:w="1559" w:type="dxa"/>
            <w:vAlign w:val="center"/>
          </w:tcPr>
          <w:p>
            <w:pPr>
              <w:pStyle w:val="12"/>
            </w:pPr>
            <w:r>
              <w:t>噪声</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r>
              <w:t>23.00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r>
              <w:t>1900.00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2591.00</w:t>
            </w:r>
          </w:p>
        </w:tc>
        <w:tc>
          <w:tcPr>
            <w:tcW w:w="1134" w:type="dxa"/>
            <w:vAlign w:val="center"/>
          </w:tcPr>
          <w:p>
            <w:pPr>
              <w:pStyle w:val="11"/>
            </w:pPr>
            <w:r>
              <w:t>1891.00</w:t>
            </w:r>
          </w:p>
        </w:tc>
        <w:tc>
          <w:tcPr>
            <w:tcW w:w="1134" w:type="dxa"/>
            <w:vAlign w:val="center"/>
          </w:tcPr>
          <w:p>
            <w:pPr>
              <w:pStyle w:val="11"/>
            </w:pPr>
            <w:r>
              <w:t>1891.00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2591.00</w:t>
            </w:r>
          </w:p>
        </w:tc>
        <w:tc>
          <w:tcPr>
            <w:tcW w:w="1134" w:type="dxa"/>
            <w:vAlign w:val="center"/>
          </w:tcPr>
          <w:p>
            <w:pPr>
              <w:pStyle w:val="11"/>
            </w:pPr>
            <w:r>
              <w:t>1891.00</w:t>
            </w:r>
          </w:p>
        </w:tc>
        <w:tc>
          <w:tcPr>
            <w:tcW w:w="1134" w:type="dxa"/>
            <w:vAlign w:val="center"/>
          </w:tcPr>
          <w:p>
            <w:pPr>
              <w:pStyle w:val="11"/>
            </w:pPr>
            <w:r>
              <w:t>1891.00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2130148</w:t>
            </w:r>
          </w:p>
        </w:tc>
        <w:tc>
          <w:tcPr>
            <w:tcW w:w="1559" w:type="dxa"/>
            <w:vAlign w:val="center"/>
          </w:tcPr>
          <w:p>
            <w:pPr>
              <w:pStyle w:val="12"/>
            </w:pPr>
            <w:r>
              <w:t>渔业发展</w:t>
            </w:r>
          </w:p>
        </w:tc>
        <w:tc>
          <w:tcPr>
            <w:tcW w:w="1134" w:type="dxa"/>
            <w:vAlign w:val="center"/>
          </w:tcPr>
          <w:p>
            <w:pPr>
              <w:pStyle w:val="11"/>
            </w:pPr>
            <w:r>
              <w:t>2560.00</w:t>
            </w:r>
          </w:p>
        </w:tc>
        <w:tc>
          <w:tcPr>
            <w:tcW w:w="1134" w:type="dxa"/>
            <w:vAlign w:val="center"/>
          </w:tcPr>
          <w:p>
            <w:pPr>
              <w:pStyle w:val="11"/>
            </w:pPr>
            <w:r>
              <w:t>1860.00</w:t>
            </w:r>
          </w:p>
        </w:tc>
        <w:tc>
          <w:tcPr>
            <w:tcW w:w="1134" w:type="dxa"/>
            <w:vAlign w:val="center"/>
          </w:tcPr>
          <w:p>
            <w:pPr>
              <w:pStyle w:val="11"/>
            </w:pPr>
            <w:r>
              <w:t>1860.00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8641.21</w:t>
            </w:r>
          </w:p>
        </w:tc>
        <w:tc>
          <w:tcPr>
            <w:tcW w:w="1134" w:type="dxa"/>
            <w:vAlign w:val="center"/>
          </w:tcPr>
          <w:p>
            <w:pPr>
              <w:pStyle w:val="11"/>
            </w:pPr>
            <w:r>
              <w:t>8641.21</w:t>
            </w:r>
          </w:p>
        </w:tc>
        <w:tc>
          <w:tcPr>
            <w:tcW w:w="1134" w:type="dxa"/>
            <w:vAlign w:val="center"/>
          </w:tcPr>
          <w:p>
            <w:pPr>
              <w:pStyle w:val="11"/>
            </w:pPr>
            <w:r>
              <w:t>8641.21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8641.21</w:t>
            </w:r>
          </w:p>
        </w:tc>
        <w:tc>
          <w:tcPr>
            <w:tcW w:w="1134" w:type="dxa"/>
            <w:vAlign w:val="center"/>
          </w:tcPr>
          <w:p>
            <w:pPr>
              <w:pStyle w:val="11"/>
            </w:pPr>
            <w:r>
              <w:t>8641.21</w:t>
            </w:r>
          </w:p>
        </w:tc>
        <w:tc>
          <w:tcPr>
            <w:tcW w:w="1134" w:type="dxa"/>
            <w:vAlign w:val="center"/>
          </w:tcPr>
          <w:p>
            <w:pPr>
              <w:pStyle w:val="11"/>
            </w:pPr>
            <w:r>
              <w:t>8641.21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1410.41</w:t>
            </w:r>
          </w:p>
        </w:tc>
        <w:tc>
          <w:tcPr>
            <w:tcW w:w="1134" w:type="dxa"/>
            <w:vAlign w:val="center"/>
          </w:tcPr>
          <w:p>
            <w:pPr>
              <w:pStyle w:val="11"/>
            </w:pPr>
            <w:r>
              <w:t>1410.41</w:t>
            </w:r>
          </w:p>
        </w:tc>
        <w:tc>
          <w:tcPr>
            <w:tcW w:w="1134" w:type="dxa"/>
            <w:vAlign w:val="center"/>
          </w:tcPr>
          <w:p>
            <w:pPr>
              <w:pStyle w:val="11"/>
            </w:pPr>
            <w:r>
              <w:t>1410.41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2200120</w:t>
            </w:r>
          </w:p>
        </w:tc>
        <w:tc>
          <w:tcPr>
            <w:tcW w:w="1559" w:type="dxa"/>
            <w:vAlign w:val="center"/>
          </w:tcPr>
          <w:p>
            <w:pPr>
              <w:pStyle w:val="12"/>
            </w:pPr>
            <w:r>
              <w:t>海域与海岛管理</w:t>
            </w:r>
          </w:p>
        </w:tc>
        <w:tc>
          <w:tcPr>
            <w:tcW w:w="1134" w:type="dxa"/>
            <w:vAlign w:val="center"/>
          </w:tcPr>
          <w:p>
            <w:pPr>
              <w:pStyle w:val="11"/>
            </w:pPr>
            <w:r>
              <w:t>7230.80</w:t>
            </w:r>
          </w:p>
        </w:tc>
        <w:tc>
          <w:tcPr>
            <w:tcW w:w="1134" w:type="dxa"/>
            <w:vAlign w:val="center"/>
          </w:tcPr>
          <w:p>
            <w:pPr>
              <w:pStyle w:val="11"/>
            </w:pPr>
            <w:r>
              <w:t>7230.80</w:t>
            </w:r>
          </w:p>
        </w:tc>
        <w:tc>
          <w:tcPr>
            <w:tcW w:w="1134" w:type="dxa"/>
            <w:vAlign w:val="center"/>
          </w:tcPr>
          <w:p>
            <w:pPr>
              <w:pStyle w:val="11"/>
            </w:pPr>
            <w:r>
              <w:t>7230.80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141.95</w:t>
            </w:r>
          </w:p>
        </w:tc>
        <w:tc>
          <w:tcPr>
            <w:tcW w:w="1134" w:type="dxa"/>
            <w:vAlign w:val="center"/>
          </w:tcPr>
          <w:p>
            <w:pPr>
              <w:pStyle w:val="11"/>
            </w:pPr>
            <w:r>
              <w:t>141.95</w:t>
            </w:r>
          </w:p>
        </w:tc>
        <w:tc>
          <w:tcPr>
            <w:tcW w:w="1134" w:type="dxa"/>
            <w:vAlign w:val="center"/>
          </w:tcPr>
          <w:p>
            <w:pPr>
              <w:pStyle w:val="11"/>
            </w:pPr>
            <w:r>
              <w:t>141.95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141.95</w:t>
            </w:r>
          </w:p>
        </w:tc>
        <w:tc>
          <w:tcPr>
            <w:tcW w:w="1134" w:type="dxa"/>
            <w:vAlign w:val="center"/>
          </w:tcPr>
          <w:p>
            <w:pPr>
              <w:pStyle w:val="11"/>
            </w:pPr>
            <w:r>
              <w:t>141.95</w:t>
            </w:r>
          </w:p>
        </w:tc>
        <w:tc>
          <w:tcPr>
            <w:tcW w:w="1134" w:type="dxa"/>
            <w:vAlign w:val="center"/>
          </w:tcPr>
          <w:p>
            <w:pPr>
              <w:pStyle w:val="11"/>
            </w:pPr>
            <w:r>
              <w:t>141.95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141.95</w:t>
            </w:r>
          </w:p>
        </w:tc>
        <w:tc>
          <w:tcPr>
            <w:tcW w:w="1134" w:type="dxa"/>
            <w:vAlign w:val="center"/>
          </w:tcPr>
          <w:p>
            <w:pPr>
              <w:pStyle w:val="11"/>
            </w:pPr>
            <w:r>
              <w:t>141.95</w:t>
            </w:r>
          </w:p>
        </w:tc>
        <w:tc>
          <w:tcPr>
            <w:tcW w:w="1134" w:type="dxa"/>
            <w:vAlign w:val="center"/>
          </w:tcPr>
          <w:p>
            <w:pPr>
              <w:pStyle w:val="11"/>
            </w:pPr>
            <w:r>
              <w:t>141.95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4408.05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22904</w:t>
            </w:r>
          </w:p>
        </w:tc>
        <w:tc>
          <w:tcPr>
            <w:tcW w:w="1559" w:type="dxa"/>
            <w:vAlign w:val="center"/>
          </w:tcPr>
          <w:p>
            <w:pPr>
              <w:pStyle w:val="12"/>
            </w:pPr>
            <w:r>
              <w:t>其他政府性基金及对应专项债务收入安排的支出</w:t>
            </w:r>
          </w:p>
        </w:tc>
        <w:tc>
          <w:tcPr>
            <w:tcW w:w="1134" w:type="dxa"/>
            <w:vAlign w:val="center"/>
          </w:tcPr>
          <w:p>
            <w:pPr>
              <w:pStyle w:val="11"/>
            </w:pPr>
            <w:r>
              <w:t>4408.05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2290402</w:t>
            </w:r>
          </w:p>
        </w:tc>
        <w:tc>
          <w:tcPr>
            <w:tcW w:w="1559" w:type="dxa"/>
            <w:vAlign w:val="center"/>
          </w:tcPr>
          <w:p>
            <w:pPr>
              <w:pStyle w:val="12"/>
            </w:pPr>
            <w:r>
              <w:t>其他地方自行试点项目收益专项债券收入安排的支出</w:t>
            </w:r>
          </w:p>
        </w:tc>
        <w:tc>
          <w:tcPr>
            <w:tcW w:w="1134" w:type="dxa"/>
            <w:vAlign w:val="center"/>
          </w:tcPr>
          <w:p>
            <w:pPr>
              <w:pStyle w:val="11"/>
            </w:pPr>
            <w:r>
              <w:t>4408.05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4408.05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18133.48</w:t>
            </w:r>
          </w:p>
        </w:tc>
        <w:tc>
          <w:tcPr>
            <w:tcW w:w="1361" w:type="dxa"/>
            <w:vAlign w:val="center"/>
          </w:tcPr>
          <w:p>
            <w:pPr>
              <w:pStyle w:val="15"/>
            </w:pPr>
            <w:r>
              <w:t>1980.63</w:t>
            </w:r>
          </w:p>
        </w:tc>
        <w:tc>
          <w:tcPr>
            <w:tcW w:w="1361" w:type="dxa"/>
            <w:vAlign w:val="center"/>
          </w:tcPr>
          <w:p>
            <w:pPr>
              <w:pStyle w:val="15"/>
            </w:pPr>
            <w:r>
              <w:t>16152.85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282.54</w:t>
            </w:r>
          </w:p>
        </w:tc>
        <w:tc>
          <w:tcPr>
            <w:tcW w:w="1361" w:type="dxa"/>
            <w:vAlign w:val="center"/>
          </w:tcPr>
          <w:p>
            <w:pPr>
              <w:pStyle w:val="11"/>
            </w:pPr>
            <w:r>
              <w:t>282.54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282.54</w:t>
            </w:r>
          </w:p>
        </w:tc>
        <w:tc>
          <w:tcPr>
            <w:tcW w:w="1361" w:type="dxa"/>
            <w:vAlign w:val="center"/>
          </w:tcPr>
          <w:p>
            <w:pPr>
              <w:pStyle w:val="11"/>
            </w:pPr>
            <w:r>
              <w:t>282.54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48.15</w:t>
            </w:r>
          </w:p>
        </w:tc>
        <w:tc>
          <w:tcPr>
            <w:tcW w:w="1361" w:type="dxa"/>
            <w:vAlign w:val="center"/>
          </w:tcPr>
          <w:p>
            <w:pPr>
              <w:pStyle w:val="11"/>
            </w:pPr>
            <w:r>
              <w:t>48.15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174.39</w:t>
            </w:r>
          </w:p>
        </w:tc>
        <w:tc>
          <w:tcPr>
            <w:tcW w:w="1361" w:type="dxa"/>
            <w:vAlign w:val="center"/>
          </w:tcPr>
          <w:p>
            <w:pPr>
              <w:pStyle w:val="11"/>
            </w:pPr>
            <w:r>
              <w:t>174.39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60.00</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145.73</w:t>
            </w:r>
          </w:p>
        </w:tc>
        <w:tc>
          <w:tcPr>
            <w:tcW w:w="1361" w:type="dxa"/>
            <w:vAlign w:val="center"/>
          </w:tcPr>
          <w:p>
            <w:pPr>
              <w:pStyle w:val="11"/>
            </w:pPr>
            <w:r>
              <w:t>145.73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145.73</w:t>
            </w:r>
          </w:p>
        </w:tc>
        <w:tc>
          <w:tcPr>
            <w:tcW w:w="1361" w:type="dxa"/>
            <w:vAlign w:val="center"/>
          </w:tcPr>
          <w:p>
            <w:pPr>
              <w:pStyle w:val="11"/>
            </w:pPr>
            <w:r>
              <w:t>145.73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145.73</w:t>
            </w:r>
          </w:p>
        </w:tc>
        <w:tc>
          <w:tcPr>
            <w:tcW w:w="1361" w:type="dxa"/>
            <w:vAlign w:val="center"/>
          </w:tcPr>
          <w:p>
            <w:pPr>
              <w:pStyle w:val="11"/>
            </w:pPr>
            <w:r>
              <w:t>145.73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2110303</w:t>
            </w:r>
          </w:p>
        </w:tc>
        <w:tc>
          <w:tcPr>
            <w:tcW w:w="4535" w:type="dxa"/>
            <w:vAlign w:val="center"/>
          </w:tcPr>
          <w:p>
            <w:pPr>
              <w:pStyle w:val="12"/>
            </w:pPr>
            <w:r>
              <w:t>噪声</w:t>
            </w: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r>
              <w:t>23.00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r>
              <w:t>1900.00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2591.00</w:t>
            </w:r>
          </w:p>
        </w:tc>
        <w:tc>
          <w:tcPr>
            <w:tcW w:w="1361" w:type="dxa"/>
            <w:vAlign w:val="center"/>
          </w:tcPr>
          <w:p>
            <w:pPr>
              <w:pStyle w:val="11"/>
            </w:pPr>
          </w:p>
        </w:tc>
        <w:tc>
          <w:tcPr>
            <w:tcW w:w="1361" w:type="dxa"/>
            <w:vAlign w:val="center"/>
          </w:tcPr>
          <w:p>
            <w:pPr>
              <w:pStyle w:val="11"/>
            </w:pPr>
            <w:r>
              <w:t>2591.00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2591.00</w:t>
            </w:r>
          </w:p>
        </w:tc>
        <w:tc>
          <w:tcPr>
            <w:tcW w:w="1361" w:type="dxa"/>
            <w:vAlign w:val="center"/>
          </w:tcPr>
          <w:p>
            <w:pPr>
              <w:pStyle w:val="11"/>
            </w:pPr>
          </w:p>
        </w:tc>
        <w:tc>
          <w:tcPr>
            <w:tcW w:w="1361" w:type="dxa"/>
            <w:vAlign w:val="center"/>
          </w:tcPr>
          <w:p>
            <w:pPr>
              <w:pStyle w:val="11"/>
            </w:pPr>
            <w:r>
              <w:t>2591.00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2130148</w:t>
            </w:r>
          </w:p>
        </w:tc>
        <w:tc>
          <w:tcPr>
            <w:tcW w:w="4535" w:type="dxa"/>
            <w:vAlign w:val="center"/>
          </w:tcPr>
          <w:p>
            <w:pPr>
              <w:pStyle w:val="12"/>
            </w:pPr>
            <w:r>
              <w:t>渔业发展</w:t>
            </w:r>
          </w:p>
        </w:tc>
        <w:tc>
          <w:tcPr>
            <w:tcW w:w="1361" w:type="dxa"/>
            <w:vAlign w:val="center"/>
          </w:tcPr>
          <w:p>
            <w:pPr>
              <w:pStyle w:val="11"/>
            </w:pPr>
            <w:r>
              <w:t>2560.00</w:t>
            </w:r>
          </w:p>
        </w:tc>
        <w:tc>
          <w:tcPr>
            <w:tcW w:w="1361" w:type="dxa"/>
            <w:vAlign w:val="center"/>
          </w:tcPr>
          <w:p>
            <w:pPr>
              <w:pStyle w:val="11"/>
            </w:pPr>
          </w:p>
        </w:tc>
        <w:tc>
          <w:tcPr>
            <w:tcW w:w="1361" w:type="dxa"/>
            <w:vAlign w:val="center"/>
          </w:tcPr>
          <w:p>
            <w:pPr>
              <w:pStyle w:val="11"/>
            </w:pPr>
            <w:r>
              <w:t>2560.00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8641.21</w:t>
            </w:r>
          </w:p>
        </w:tc>
        <w:tc>
          <w:tcPr>
            <w:tcW w:w="1361" w:type="dxa"/>
            <w:vAlign w:val="center"/>
          </w:tcPr>
          <w:p>
            <w:pPr>
              <w:pStyle w:val="11"/>
            </w:pPr>
            <w:r>
              <w:t>1410.41</w:t>
            </w:r>
          </w:p>
        </w:tc>
        <w:tc>
          <w:tcPr>
            <w:tcW w:w="1361" w:type="dxa"/>
            <w:vAlign w:val="center"/>
          </w:tcPr>
          <w:p>
            <w:pPr>
              <w:pStyle w:val="11"/>
            </w:pPr>
            <w:r>
              <w:t>7230.80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8641.21</w:t>
            </w:r>
          </w:p>
        </w:tc>
        <w:tc>
          <w:tcPr>
            <w:tcW w:w="1361" w:type="dxa"/>
            <w:vAlign w:val="center"/>
          </w:tcPr>
          <w:p>
            <w:pPr>
              <w:pStyle w:val="11"/>
            </w:pPr>
            <w:r>
              <w:t>1410.41</w:t>
            </w:r>
          </w:p>
        </w:tc>
        <w:tc>
          <w:tcPr>
            <w:tcW w:w="1361" w:type="dxa"/>
            <w:vAlign w:val="center"/>
          </w:tcPr>
          <w:p>
            <w:pPr>
              <w:pStyle w:val="11"/>
            </w:pPr>
            <w:r>
              <w:t>7230.80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1410.41</w:t>
            </w:r>
          </w:p>
        </w:tc>
        <w:tc>
          <w:tcPr>
            <w:tcW w:w="1361" w:type="dxa"/>
            <w:vAlign w:val="center"/>
          </w:tcPr>
          <w:p>
            <w:pPr>
              <w:pStyle w:val="11"/>
            </w:pPr>
            <w:r>
              <w:t>1410.41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2200120</w:t>
            </w:r>
          </w:p>
        </w:tc>
        <w:tc>
          <w:tcPr>
            <w:tcW w:w="4535" w:type="dxa"/>
            <w:vAlign w:val="center"/>
          </w:tcPr>
          <w:p>
            <w:pPr>
              <w:pStyle w:val="12"/>
            </w:pPr>
            <w:r>
              <w:t>海域与海岛管理</w:t>
            </w:r>
          </w:p>
        </w:tc>
        <w:tc>
          <w:tcPr>
            <w:tcW w:w="1361" w:type="dxa"/>
            <w:vAlign w:val="center"/>
          </w:tcPr>
          <w:p>
            <w:pPr>
              <w:pStyle w:val="11"/>
            </w:pPr>
            <w:r>
              <w:t>7230.80</w:t>
            </w:r>
          </w:p>
        </w:tc>
        <w:tc>
          <w:tcPr>
            <w:tcW w:w="1361" w:type="dxa"/>
            <w:vAlign w:val="center"/>
          </w:tcPr>
          <w:p>
            <w:pPr>
              <w:pStyle w:val="11"/>
            </w:pPr>
          </w:p>
        </w:tc>
        <w:tc>
          <w:tcPr>
            <w:tcW w:w="1361" w:type="dxa"/>
            <w:vAlign w:val="center"/>
          </w:tcPr>
          <w:p>
            <w:pPr>
              <w:pStyle w:val="11"/>
            </w:pPr>
            <w:r>
              <w:t>7230.80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141.95</w:t>
            </w:r>
          </w:p>
        </w:tc>
        <w:tc>
          <w:tcPr>
            <w:tcW w:w="1361" w:type="dxa"/>
            <w:vAlign w:val="center"/>
          </w:tcPr>
          <w:p>
            <w:pPr>
              <w:pStyle w:val="11"/>
            </w:pPr>
            <w:r>
              <w:t>141.95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141.95</w:t>
            </w:r>
          </w:p>
        </w:tc>
        <w:tc>
          <w:tcPr>
            <w:tcW w:w="1361" w:type="dxa"/>
            <w:vAlign w:val="center"/>
          </w:tcPr>
          <w:p>
            <w:pPr>
              <w:pStyle w:val="11"/>
            </w:pPr>
            <w:r>
              <w:t>141.95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141.95</w:t>
            </w:r>
          </w:p>
        </w:tc>
        <w:tc>
          <w:tcPr>
            <w:tcW w:w="1361" w:type="dxa"/>
            <w:vAlign w:val="center"/>
          </w:tcPr>
          <w:p>
            <w:pPr>
              <w:pStyle w:val="11"/>
            </w:pPr>
            <w:r>
              <w:t>141.95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4408.05</w:t>
            </w:r>
          </w:p>
        </w:tc>
        <w:tc>
          <w:tcPr>
            <w:tcW w:w="1361" w:type="dxa"/>
            <w:vAlign w:val="center"/>
          </w:tcPr>
          <w:p>
            <w:pPr>
              <w:pStyle w:val="11"/>
            </w:pPr>
          </w:p>
        </w:tc>
        <w:tc>
          <w:tcPr>
            <w:tcW w:w="1361" w:type="dxa"/>
            <w:vAlign w:val="center"/>
          </w:tcPr>
          <w:p>
            <w:pPr>
              <w:pStyle w:val="11"/>
            </w:pPr>
            <w:r>
              <w:t>4408.05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r>
              <w:t>4408.05</w:t>
            </w:r>
          </w:p>
        </w:tc>
        <w:tc>
          <w:tcPr>
            <w:tcW w:w="1361" w:type="dxa"/>
            <w:vAlign w:val="center"/>
          </w:tcPr>
          <w:p>
            <w:pPr>
              <w:pStyle w:val="11"/>
            </w:pPr>
          </w:p>
        </w:tc>
        <w:tc>
          <w:tcPr>
            <w:tcW w:w="1361" w:type="dxa"/>
            <w:vAlign w:val="center"/>
          </w:tcPr>
          <w:p>
            <w:pPr>
              <w:pStyle w:val="11"/>
            </w:pPr>
            <w:r>
              <w:t>4408.05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r>
              <w:t>4408.05</w:t>
            </w:r>
          </w:p>
        </w:tc>
        <w:tc>
          <w:tcPr>
            <w:tcW w:w="1361" w:type="dxa"/>
            <w:vAlign w:val="center"/>
          </w:tcPr>
          <w:p>
            <w:pPr>
              <w:pStyle w:val="11"/>
            </w:pPr>
          </w:p>
        </w:tc>
        <w:tc>
          <w:tcPr>
            <w:tcW w:w="1361" w:type="dxa"/>
            <w:vAlign w:val="center"/>
          </w:tcPr>
          <w:p>
            <w:pPr>
              <w:pStyle w:val="11"/>
            </w:pPr>
            <w:r>
              <w:t>4408.05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11125.43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1900.00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282.54</w:t>
            </w:r>
          </w:p>
        </w:tc>
        <w:tc>
          <w:tcPr>
            <w:tcW w:w="1474" w:type="dxa"/>
            <w:vAlign w:val="center"/>
          </w:tcPr>
          <w:p>
            <w:pPr>
              <w:pStyle w:val="11"/>
            </w:pPr>
            <w:r>
              <w:t>282.54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145.73</w:t>
            </w:r>
          </w:p>
        </w:tc>
        <w:tc>
          <w:tcPr>
            <w:tcW w:w="1474" w:type="dxa"/>
            <w:vAlign w:val="center"/>
          </w:tcPr>
          <w:p>
            <w:pPr>
              <w:pStyle w:val="11"/>
            </w:pPr>
            <w:r>
              <w:t>145.73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23.00</w:t>
            </w:r>
          </w:p>
        </w:tc>
        <w:tc>
          <w:tcPr>
            <w:tcW w:w="1474" w:type="dxa"/>
            <w:vAlign w:val="center"/>
          </w:tcPr>
          <w:p>
            <w:pPr>
              <w:pStyle w:val="11"/>
            </w:pPr>
            <w:r>
              <w:t>23.00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1900.00</w:t>
            </w:r>
          </w:p>
        </w:tc>
        <w:tc>
          <w:tcPr>
            <w:tcW w:w="1474" w:type="dxa"/>
            <w:vAlign w:val="center"/>
          </w:tcPr>
          <w:p>
            <w:pPr>
              <w:pStyle w:val="11"/>
            </w:pPr>
          </w:p>
        </w:tc>
        <w:tc>
          <w:tcPr>
            <w:tcW w:w="1474" w:type="dxa"/>
            <w:vAlign w:val="center"/>
          </w:tcPr>
          <w:p>
            <w:pPr>
              <w:pStyle w:val="11"/>
            </w:pPr>
            <w:r>
              <w:t>1900.00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2591.00</w:t>
            </w:r>
          </w:p>
        </w:tc>
        <w:tc>
          <w:tcPr>
            <w:tcW w:w="1474" w:type="dxa"/>
            <w:vAlign w:val="center"/>
          </w:tcPr>
          <w:p>
            <w:pPr>
              <w:pStyle w:val="11"/>
            </w:pPr>
            <w:r>
              <w:t>2591.00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8641.21</w:t>
            </w:r>
          </w:p>
        </w:tc>
        <w:tc>
          <w:tcPr>
            <w:tcW w:w="1474" w:type="dxa"/>
            <w:vAlign w:val="center"/>
          </w:tcPr>
          <w:p>
            <w:pPr>
              <w:pStyle w:val="11"/>
            </w:pPr>
            <w:r>
              <w:t>8641.21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141.95</w:t>
            </w:r>
          </w:p>
        </w:tc>
        <w:tc>
          <w:tcPr>
            <w:tcW w:w="1474" w:type="dxa"/>
            <w:vAlign w:val="center"/>
          </w:tcPr>
          <w:p>
            <w:pPr>
              <w:pStyle w:val="11"/>
            </w:pPr>
            <w:r>
              <w:t>141.95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4408.05</w:t>
            </w:r>
          </w:p>
        </w:tc>
        <w:tc>
          <w:tcPr>
            <w:tcW w:w="1474" w:type="dxa"/>
            <w:vAlign w:val="center"/>
          </w:tcPr>
          <w:p>
            <w:pPr>
              <w:pStyle w:val="11"/>
            </w:pPr>
          </w:p>
        </w:tc>
        <w:tc>
          <w:tcPr>
            <w:tcW w:w="1474" w:type="dxa"/>
            <w:vAlign w:val="center"/>
          </w:tcPr>
          <w:p>
            <w:pPr>
              <w:pStyle w:val="11"/>
            </w:pPr>
            <w:r>
              <w:t>4408.05</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13025.43</w:t>
            </w:r>
          </w:p>
        </w:tc>
        <w:tc>
          <w:tcPr>
            <w:tcW w:w="3402" w:type="dxa"/>
            <w:vAlign w:val="center"/>
          </w:tcPr>
          <w:p>
            <w:pPr>
              <w:pStyle w:val="14"/>
            </w:pPr>
            <w:r>
              <w:t>本年支出合计</w:t>
            </w:r>
          </w:p>
        </w:tc>
        <w:tc>
          <w:tcPr>
            <w:tcW w:w="1474" w:type="dxa"/>
            <w:vAlign w:val="center"/>
          </w:tcPr>
          <w:p>
            <w:pPr>
              <w:pStyle w:val="15"/>
            </w:pPr>
            <w:r>
              <w:t>18133.48</w:t>
            </w:r>
          </w:p>
        </w:tc>
        <w:tc>
          <w:tcPr>
            <w:tcW w:w="1474" w:type="dxa"/>
            <w:vAlign w:val="center"/>
          </w:tcPr>
          <w:p>
            <w:pPr>
              <w:pStyle w:val="15"/>
            </w:pPr>
            <w:r>
              <w:t>11825.43</w:t>
            </w:r>
          </w:p>
        </w:tc>
        <w:tc>
          <w:tcPr>
            <w:tcW w:w="1474" w:type="dxa"/>
            <w:vAlign w:val="center"/>
          </w:tcPr>
          <w:p>
            <w:pPr>
              <w:pStyle w:val="15"/>
            </w:pPr>
            <w:r>
              <w:t>6308.05</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5108.05</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700.00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4408.05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18133.48</w:t>
            </w:r>
          </w:p>
        </w:tc>
        <w:tc>
          <w:tcPr>
            <w:tcW w:w="3402" w:type="dxa"/>
            <w:vAlign w:val="center"/>
          </w:tcPr>
          <w:p>
            <w:pPr>
              <w:pStyle w:val="14"/>
            </w:pPr>
            <w:r>
              <w:t>支出总计</w:t>
            </w:r>
          </w:p>
        </w:tc>
        <w:tc>
          <w:tcPr>
            <w:tcW w:w="1474" w:type="dxa"/>
            <w:vAlign w:val="center"/>
          </w:tcPr>
          <w:p>
            <w:pPr>
              <w:pStyle w:val="15"/>
            </w:pPr>
            <w:r>
              <w:t>18133.48</w:t>
            </w:r>
          </w:p>
        </w:tc>
        <w:tc>
          <w:tcPr>
            <w:tcW w:w="1474" w:type="dxa"/>
            <w:vAlign w:val="center"/>
          </w:tcPr>
          <w:p>
            <w:pPr>
              <w:pStyle w:val="15"/>
            </w:pPr>
            <w:r>
              <w:t>11825.43</w:t>
            </w:r>
          </w:p>
        </w:tc>
        <w:tc>
          <w:tcPr>
            <w:tcW w:w="1474" w:type="dxa"/>
            <w:vAlign w:val="center"/>
          </w:tcPr>
          <w:p>
            <w:pPr>
              <w:pStyle w:val="15"/>
            </w:pPr>
            <w:r>
              <w:t>6308.05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11825.43</w:t>
            </w:r>
          </w:p>
        </w:tc>
        <w:tc>
          <w:tcPr>
            <w:tcW w:w="2551" w:type="dxa"/>
            <w:vAlign w:val="center"/>
          </w:tcPr>
          <w:p>
            <w:pPr>
              <w:pStyle w:val="15"/>
            </w:pPr>
            <w:r>
              <w:t>1980.63</w:t>
            </w:r>
          </w:p>
        </w:tc>
        <w:tc>
          <w:tcPr>
            <w:tcW w:w="2551" w:type="dxa"/>
            <w:vAlign w:val="center"/>
          </w:tcPr>
          <w:p>
            <w:pPr>
              <w:pStyle w:val="15"/>
            </w:pPr>
            <w:r>
              <w:t>9844.80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282.54</w:t>
            </w:r>
          </w:p>
        </w:tc>
        <w:tc>
          <w:tcPr>
            <w:tcW w:w="2551" w:type="dxa"/>
            <w:vAlign w:val="center"/>
          </w:tcPr>
          <w:p>
            <w:pPr>
              <w:pStyle w:val="11"/>
            </w:pPr>
            <w:r>
              <w:t>282.54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282.54</w:t>
            </w:r>
          </w:p>
        </w:tc>
        <w:tc>
          <w:tcPr>
            <w:tcW w:w="2551" w:type="dxa"/>
            <w:vAlign w:val="center"/>
          </w:tcPr>
          <w:p>
            <w:pPr>
              <w:pStyle w:val="11"/>
            </w:pPr>
            <w:r>
              <w:t>282.54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48.15</w:t>
            </w:r>
          </w:p>
        </w:tc>
        <w:tc>
          <w:tcPr>
            <w:tcW w:w="2551" w:type="dxa"/>
            <w:vAlign w:val="center"/>
          </w:tcPr>
          <w:p>
            <w:pPr>
              <w:pStyle w:val="11"/>
            </w:pPr>
            <w:r>
              <w:t>48.15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174.39</w:t>
            </w:r>
          </w:p>
        </w:tc>
        <w:tc>
          <w:tcPr>
            <w:tcW w:w="2551" w:type="dxa"/>
            <w:vAlign w:val="center"/>
          </w:tcPr>
          <w:p>
            <w:pPr>
              <w:pStyle w:val="11"/>
            </w:pPr>
            <w:r>
              <w:t>174.39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145.73</w:t>
            </w:r>
          </w:p>
        </w:tc>
        <w:tc>
          <w:tcPr>
            <w:tcW w:w="2551" w:type="dxa"/>
            <w:vAlign w:val="center"/>
          </w:tcPr>
          <w:p>
            <w:pPr>
              <w:pStyle w:val="11"/>
            </w:pPr>
            <w:r>
              <w:t>145.73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145.73</w:t>
            </w:r>
          </w:p>
        </w:tc>
        <w:tc>
          <w:tcPr>
            <w:tcW w:w="2551" w:type="dxa"/>
            <w:vAlign w:val="center"/>
          </w:tcPr>
          <w:p>
            <w:pPr>
              <w:pStyle w:val="11"/>
            </w:pPr>
            <w:r>
              <w:t>145.73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145.73</w:t>
            </w:r>
          </w:p>
        </w:tc>
        <w:tc>
          <w:tcPr>
            <w:tcW w:w="2551" w:type="dxa"/>
            <w:vAlign w:val="center"/>
          </w:tcPr>
          <w:p>
            <w:pPr>
              <w:pStyle w:val="11"/>
            </w:pPr>
            <w:r>
              <w:t>145.73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2110303</w:t>
            </w:r>
          </w:p>
        </w:tc>
        <w:tc>
          <w:tcPr>
            <w:tcW w:w="4535" w:type="dxa"/>
            <w:vAlign w:val="center"/>
          </w:tcPr>
          <w:p>
            <w:pPr>
              <w:pStyle w:val="12"/>
            </w:pPr>
            <w:r>
              <w:t>噪声</w:t>
            </w:r>
          </w:p>
        </w:tc>
        <w:tc>
          <w:tcPr>
            <w:tcW w:w="2551" w:type="dxa"/>
            <w:vAlign w:val="center"/>
          </w:tcPr>
          <w:p>
            <w:pPr>
              <w:pStyle w:val="11"/>
            </w:pPr>
            <w:r>
              <w:t>23.00</w:t>
            </w:r>
          </w:p>
        </w:tc>
        <w:tc>
          <w:tcPr>
            <w:tcW w:w="2551" w:type="dxa"/>
            <w:vAlign w:val="center"/>
          </w:tcPr>
          <w:p>
            <w:pPr>
              <w:pStyle w:val="11"/>
            </w:pPr>
          </w:p>
        </w:tc>
        <w:tc>
          <w:tcPr>
            <w:tcW w:w="2551"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2591.00</w:t>
            </w:r>
          </w:p>
        </w:tc>
        <w:tc>
          <w:tcPr>
            <w:tcW w:w="2551" w:type="dxa"/>
            <w:vAlign w:val="center"/>
          </w:tcPr>
          <w:p>
            <w:pPr>
              <w:pStyle w:val="11"/>
            </w:pPr>
          </w:p>
        </w:tc>
        <w:tc>
          <w:tcPr>
            <w:tcW w:w="2551" w:type="dxa"/>
            <w:vAlign w:val="center"/>
          </w:tcPr>
          <w:p>
            <w:pPr>
              <w:pStyle w:val="11"/>
            </w:pPr>
            <w:r>
              <w:t>2591.00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2591.00</w:t>
            </w:r>
          </w:p>
        </w:tc>
        <w:tc>
          <w:tcPr>
            <w:tcW w:w="2551" w:type="dxa"/>
            <w:vAlign w:val="center"/>
          </w:tcPr>
          <w:p>
            <w:pPr>
              <w:pStyle w:val="11"/>
            </w:pPr>
          </w:p>
        </w:tc>
        <w:tc>
          <w:tcPr>
            <w:tcW w:w="2551" w:type="dxa"/>
            <w:vAlign w:val="center"/>
          </w:tcPr>
          <w:p>
            <w:pPr>
              <w:pStyle w:val="11"/>
            </w:pPr>
            <w:r>
              <w:t>2591.00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2130148</w:t>
            </w:r>
          </w:p>
        </w:tc>
        <w:tc>
          <w:tcPr>
            <w:tcW w:w="4535" w:type="dxa"/>
            <w:vAlign w:val="center"/>
          </w:tcPr>
          <w:p>
            <w:pPr>
              <w:pStyle w:val="12"/>
            </w:pPr>
            <w:r>
              <w:t>渔业发展</w:t>
            </w:r>
          </w:p>
        </w:tc>
        <w:tc>
          <w:tcPr>
            <w:tcW w:w="2551" w:type="dxa"/>
            <w:vAlign w:val="center"/>
          </w:tcPr>
          <w:p>
            <w:pPr>
              <w:pStyle w:val="11"/>
            </w:pPr>
            <w:r>
              <w:t>2560.00</w:t>
            </w:r>
          </w:p>
        </w:tc>
        <w:tc>
          <w:tcPr>
            <w:tcW w:w="2551" w:type="dxa"/>
            <w:vAlign w:val="center"/>
          </w:tcPr>
          <w:p>
            <w:pPr>
              <w:pStyle w:val="11"/>
            </w:pPr>
          </w:p>
        </w:tc>
        <w:tc>
          <w:tcPr>
            <w:tcW w:w="2551" w:type="dxa"/>
            <w:vAlign w:val="center"/>
          </w:tcPr>
          <w:p>
            <w:pPr>
              <w:pStyle w:val="11"/>
            </w:pPr>
            <w:r>
              <w:t>2560.00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8641.21</w:t>
            </w:r>
          </w:p>
        </w:tc>
        <w:tc>
          <w:tcPr>
            <w:tcW w:w="2551" w:type="dxa"/>
            <w:vAlign w:val="center"/>
          </w:tcPr>
          <w:p>
            <w:pPr>
              <w:pStyle w:val="11"/>
            </w:pPr>
            <w:r>
              <w:t>1410.41</w:t>
            </w:r>
          </w:p>
        </w:tc>
        <w:tc>
          <w:tcPr>
            <w:tcW w:w="2551" w:type="dxa"/>
            <w:vAlign w:val="center"/>
          </w:tcPr>
          <w:p>
            <w:pPr>
              <w:pStyle w:val="11"/>
            </w:pPr>
            <w:r>
              <w:t>7230.80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8641.21</w:t>
            </w:r>
          </w:p>
        </w:tc>
        <w:tc>
          <w:tcPr>
            <w:tcW w:w="2551" w:type="dxa"/>
            <w:vAlign w:val="center"/>
          </w:tcPr>
          <w:p>
            <w:pPr>
              <w:pStyle w:val="11"/>
            </w:pPr>
            <w:r>
              <w:t>1410.41</w:t>
            </w:r>
          </w:p>
        </w:tc>
        <w:tc>
          <w:tcPr>
            <w:tcW w:w="2551" w:type="dxa"/>
            <w:vAlign w:val="center"/>
          </w:tcPr>
          <w:p>
            <w:pPr>
              <w:pStyle w:val="11"/>
            </w:pPr>
            <w:r>
              <w:t>7230.80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1410.41</w:t>
            </w:r>
          </w:p>
        </w:tc>
        <w:tc>
          <w:tcPr>
            <w:tcW w:w="2551" w:type="dxa"/>
            <w:vAlign w:val="center"/>
          </w:tcPr>
          <w:p>
            <w:pPr>
              <w:pStyle w:val="11"/>
            </w:pPr>
            <w:r>
              <w:t>1410.41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2200120</w:t>
            </w:r>
          </w:p>
        </w:tc>
        <w:tc>
          <w:tcPr>
            <w:tcW w:w="4535" w:type="dxa"/>
            <w:vAlign w:val="center"/>
          </w:tcPr>
          <w:p>
            <w:pPr>
              <w:pStyle w:val="12"/>
            </w:pPr>
            <w:r>
              <w:t>海域与海岛管理</w:t>
            </w:r>
          </w:p>
        </w:tc>
        <w:tc>
          <w:tcPr>
            <w:tcW w:w="2551" w:type="dxa"/>
            <w:vAlign w:val="center"/>
          </w:tcPr>
          <w:p>
            <w:pPr>
              <w:pStyle w:val="11"/>
            </w:pPr>
            <w:r>
              <w:t>7230.80</w:t>
            </w:r>
          </w:p>
        </w:tc>
        <w:tc>
          <w:tcPr>
            <w:tcW w:w="2551" w:type="dxa"/>
            <w:vAlign w:val="center"/>
          </w:tcPr>
          <w:p>
            <w:pPr>
              <w:pStyle w:val="11"/>
            </w:pPr>
          </w:p>
        </w:tc>
        <w:tc>
          <w:tcPr>
            <w:tcW w:w="2551" w:type="dxa"/>
            <w:vAlign w:val="center"/>
          </w:tcPr>
          <w:p>
            <w:pPr>
              <w:pStyle w:val="11"/>
            </w:pPr>
            <w:r>
              <w:t>7230.80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141.95</w:t>
            </w:r>
          </w:p>
        </w:tc>
        <w:tc>
          <w:tcPr>
            <w:tcW w:w="2551" w:type="dxa"/>
            <w:vAlign w:val="center"/>
          </w:tcPr>
          <w:p>
            <w:pPr>
              <w:pStyle w:val="11"/>
            </w:pPr>
            <w:r>
              <w:t>141.95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141.95</w:t>
            </w:r>
          </w:p>
        </w:tc>
        <w:tc>
          <w:tcPr>
            <w:tcW w:w="2551" w:type="dxa"/>
            <w:vAlign w:val="center"/>
          </w:tcPr>
          <w:p>
            <w:pPr>
              <w:pStyle w:val="11"/>
            </w:pPr>
            <w:r>
              <w:t>141.95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141.95</w:t>
            </w:r>
          </w:p>
        </w:tc>
        <w:tc>
          <w:tcPr>
            <w:tcW w:w="2551" w:type="dxa"/>
            <w:vAlign w:val="center"/>
          </w:tcPr>
          <w:p>
            <w:pPr>
              <w:pStyle w:val="11"/>
            </w:pPr>
            <w:r>
              <w:t>141.95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1980.63</w:t>
            </w:r>
          </w:p>
        </w:tc>
        <w:tc>
          <w:tcPr>
            <w:tcW w:w="2551" w:type="dxa"/>
            <w:vAlign w:val="center"/>
          </w:tcPr>
          <w:p>
            <w:pPr>
              <w:pStyle w:val="15"/>
            </w:pPr>
            <w:r>
              <w:t>1838.93</w:t>
            </w:r>
          </w:p>
        </w:tc>
        <w:tc>
          <w:tcPr>
            <w:tcW w:w="2551" w:type="dxa"/>
            <w:vAlign w:val="center"/>
          </w:tcPr>
          <w:p>
            <w:pPr>
              <w:pStyle w:val="15"/>
            </w:pPr>
            <w:r>
              <w:t>141.70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1790.53</w:t>
            </w:r>
          </w:p>
        </w:tc>
        <w:tc>
          <w:tcPr>
            <w:tcW w:w="2551" w:type="dxa"/>
            <w:vAlign w:val="center"/>
          </w:tcPr>
          <w:p>
            <w:pPr>
              <w:pStyle w:val="11"/>
            </w:pPr>
            <w:r>
              <w:t>1790.53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618.68</w:t>
            </w:r>
          </w:p>
        </w:tc>
        <w:tc>
          <w:tcPr>
            <w:tcW w:w="2551" w:type="dxa"/>
            <w:vAlign w:val="center"/>
          </w:tcPr>
          <w:p>
            <w:pPr>
              <w:pStyle w:val="11"/>
            </w:pPr>
            <w:r>
              <w:t>618.68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89.08</w:t>
            </w:r>
          </w:p>
        </w:tc>
        <w:tc>
          <w:tcPr>
            <w:tcW w:w="2551" w:type="dxa"/>
            <w:vAlign w:val="center"/>
          </w:tcPr>
          <w:p>
            <w:pPr>
              <w:pStyle w:val="11"/>
            </w:pPr>
            <w:r>
              <w:t>89.08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14.23</w:t>
            </w:r>
          </w:p>
        </w:tc>
        <w:tc>
          <w:tcPr>
            <w:tcW w:w="2551" w:type="dxa"/>
            <w:vAlign w:val="center"/>
          </w:tcPr>
          <w:p>
            <w:pPr>
              <w:pStyle w:val="11"/>
            </w:pPr>
            <w:r>
              <w:t>14.23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535.93</w:t>
            </w:r>
          </w:p>
        </w:tc>
        <w:tc>
          <w:tcPr>
            <w:tcW w:w="2551" w:type="dxa"/>
            <w:vAlign w:val="center"/>
          </w:tcPr>
          <w:p>
            <w:pPr>
              <w:pStyle w:val="11"/>
            </w:pPr>
            <w:r>
              <w:t>535.93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174.39</w:t>
            </w:r>
          </w:p>
        </w:tc>
        <w:tc>
          <w:tcPr>
            <w:tcW w:w="2551" w:type="dxa"/>
            <w:vAlign w:val="center"/>
          </w:tcPr>
          <w:p>
            <w:pPr>
              <w:pStyle w:val="11"/>
            </w:pPr>
            <w:r>
              <w:t>174.39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76.68</w:t>
            </w:r>
          </w:p>
        </w:tc>
        <w:tc>
          <w:tcPr>
            <w:tcW w:w="2551" w:type="dxa"/>
            <w:vAlign w:val="center"/>
          </w:tcPr>
          <w:p>
            <w:pPr>
              <w:pStyle w:val="11"/>
            </w:pPr>
            <w:r>
              <w:t>76.68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69.05</w:t>
            </w:r>
          </w:p>
        </w:tc>
        <w:tc>
          <w:tcPr>
            <w:tcW w:w="2551" w:type="dxa"/>
            <w:vAlign w:val="center"/>
          </w:tcPr>
          <w:p>
            <w:pPr>
              <w:pStyle w:val="11"/>
            </w:pPr>
            <w:r>
              <w:t>69.05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10.53</w:t>
            </w:r>
          </w:p>
        </w:tc>
        <w:tc>
          <w:tcPr>
            <w:tcW w:w="2551" w:type="dxa"/>
            <w:vAlign w:val="center"/>
          </w:tcPr>
          <w:p>
            <w:pPr>
              <w:pStyle w:val="11"/>
            </w:pPr>
            <w:r>
              <w:t>10.53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141.95</w:t>
            </w:r>
          </w:p>
        </w:tc>
        <w:tc>
          <w:tcPr>
            <w:tcW w:w="2551" w:type="dxa"/>
            <w:vAlign w:val="center"/>
          </w:tcPr>
          <w:p>
            <w:pPr>
              <w:pStyle w:val="11"/>
            </w:pPr>
            <w:r>
              <w:t>141.95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137.98</w:t>
            </w:r>
          </w:p>
        </w:tc>
        <w:tc>
          <w:tcPr>
            <w:tcW w:w="2551" w:type="dxa"/>
            <w:vAlign w:val="center"/>
          </w:tcPr>
          <w:p>
            <w:pPr>
              <w:pStyle w:val="11"/>
            </w:pPr>
          </w:p>
        </w:tc>
        <w:tc>
          <w:tcPr>
            <w:tcW w:w="2551" w:type="dxa"/>
            <w:vAlign w:val="center"/>
          </w:tcPr>
          <w:p>
            <w:pPr>
              <w:pStyle w:val="11"/>
            </w:pPr>
            <w:r>
              <w:t>137.98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26.97</w:t>
            </w:r>
          </w:p>
        </w:tc>
        <w:tc>
          <w:tcPr>
            <w:tcW w:w="2551" w:type="dxa"/>
            <w:vAlign w:val="center"/>
          </w:tcPr>
          <w:p>
            <w:pPr>
              <w:pStyle w:val="11"/>
            </w:pPr>
          </w:p>
        </w:tc>
        <w:tc>
          <w:tcPr>
            <w:tcW w:w="2551" w:type="dxa"/>
            <w:vAlign w:val="center"/>
          </w:tcPr>
          <w:p>
            <w:pPr>
              <w:pStyle w:val="11"/>
            </w:pPr>
            <w:r>
              <w:t>26.97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14.88</w:t>
            </w:r>
          </w:p>
        </w:tc>
        <w:tc>
          <w:tcPr>
            <w:tcW w:w="2551" w:type="dxa"/>
            <w:vAlign w:val="center"/>
          </w:tcPr>
          <w:p>
            <w:pPr>
              <w:pStyle w:val="11"/>
            </w:pPr>
          </w:p>
        </w:tc>
        <w:tc>
          <w:tcPr>
            <w:tcW w:w="2551" w:type="dxa"/>
            <w:vAlign w:val="center"/>
          </w:tcPr>
          <w:p>
            <w:pPr>
              <w:pStyle w:val="11"/>
            </w:pPr>
            <w:r>
              <w:t>14.88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10.46</w:t>
            </w:r>
          </w:p>
        </w:tc>
        <w:tc>
          <w:tcPr>
            <w:tcW w:w="2551" w:type="dxa"/>
            <w:vAlign w:val="center"/>
          </w:tcPr>
          <w:p>
            <w:pPr>
              <w:pStyle w:val="11"/>
            </w:pPr>
          </w:p>
        </w:tc>
        <w:tc>
          <w:tcPr>
            <w:tcW w:w="2551" w:type="dxa"/>
            <w:vAlign w:val="center"/>
          </w:tcPr>
          <w:p>
            <w:pPr>
              <w:pStyle w:val="11"/>
            </w:pPr>
            <w:r>
              <w:t>10.46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13.94</w:t>
            </w:r>
          </w:p>
        </w:tc>
        <w:tc>
          <w:tcPr>
            <w:tcW w:w="2551" w:type="dxa"/>
            <w:vAlign w:val="center"/>
          </w:tcPr>
          <w:p>
            <w:pPr>
              <w:pStyle w:val="11"/>
            </w:pPr>
          </w:p>
        </w:tc>
        <w:tc>
          <w:tcPr>
            <w:tcW w:w="2551" w:type="dxa"/>
            <w:vAlign w:val="center"/>
          </w:tcPr>
          <w:p>
            <w:pPr>
              <w:pStyle w:val="11"/>
            </w:pPr>
            <w:r>
              <w:t>13.94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9.29</w:t>
            </w:r>
          </w:p>
        </w:tc>
        <w:tc>
          <w:tcPr>
            <w:tcW w:w="2551" w:type="dxa"/>
            <w:vAlign w:val="center"/>
          </w:tcPr>
          <w:p>
            <w:pPr>
              <w:pStyle w:val="11"/>
            </w:pPr>
          </w:p>
        </w:tc>
        <w:tc>
          <w:tcPr>
            <w:tcW w:w="2551" w:type="dxa"/>
            <w:vAlign w:val="center"/>
          </w:tcPr>
          <w:p>
            <w:pPr>
              <w:pStyle w:val="11"/>
            </w:pPr>
            <w:r>
              <w:t>9.29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1.79</w:t>
            </w:r>
          </w:p>
        </w:tc>
        <w:tc>
          <w:tcPr>
            <w:tcW w:w="2551" w:type="dxa"/>
            <w:vAlign w:val="center"/>
          </w:tcPr>
          <w:p>
            <w:pPr>
              <w:pStyle w:val="11"/>
            </w:pPr>
          </w:p>
        </w:tc>
        <w:tc>
          <w:tcPr>
            <w:tcW w:w="2551" w:type="dxa"/>
            <w:vAlign w:val="center"/>
          </w:tcPr>
          <w:p>
            <w:pPr>
              <w:pStyle w:val="11"/>
            </w:pPr>
            <w:r>
              <w:t>1.79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48.39</w:t>
            </w:r>
          </w:p>
        </w:tc>
        <w:tc>
          <w:tcPr>
            <w:tcW w:w="2551" w:type="dxa"/>
            <w:vAlign w:val="center"/>
          </w:tcPr>
          <w:p>
            <w:pPr>
              <w:pStyle w:val="11"/>
            </w:pPr>
            <w:r>
              <w:t>48.39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46.36</w:t>
            </w:r>
          </w:p>
        </w:tc>
        <w:tc>
          <w:tcPr>
            <w:tcW w:w="2551" w:type="dxa"/>
            <w:vAlign w:val="center"/>
          </w:tcPr>
          <w:p>
            <w:pPr>
              <w:pStyle w:val="11"/>
            </w:pPr>
            <w:r>
              <w:t>46.36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6308.05</w:t>
            </w:r>
          </w:p>
        </w:tc>
        <w:tc>
          <w:tcPr>
            <w:tcW w:w="2551" w:type="dxa"/>
            <w:vAlign w:val="center"/>
          </w:tcPr>
          <w:p>
            <w:pPr>
              <w:pStyle w:val="15"/>
            </w:pPr>
          </w:p>
        </w:tc>
        <w:tc>
          <w:tcPr>
            <w:tcW w:w="2551" w:type="dxa"/>
            <w:vAlign w:val="center"/>
          </w:tcPr>
          <w:p>
            <w:pPr>
              <w:pStyle w:val="15"/>
            </w:pPr>
            <w:r>
              <w:t>6308.05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1900.00</w:t>
            </w:r>
          </w:p>
        </w:tc>
        <w:tc>
          <w:tcPr>
            <w:tcW w:w="2551" w:type="dxa"/>
            <w:vAlign w:val="center"/>
          </w:tcPr>
          <w:p>
            <w:pPr>
              <w:pStyle w:val="11"/>
            </w:pPr>
          </w:p>
        </w:tc>
        <w:tc>
          <w:tcPr>
            <w:tcW w:w="2551" w:type="dxa"/>
            <w:vAlign w:val="center"/>
          </w:tcPr>
          <w:p>
            <w:pPr>
              <w:pStyle w:val="11"/>
            </w:pPr>
            <w:r>
              <w:t>1900.00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4408.05</w:t>
            </w:r>
          </w:p>
        </w:tc>
        <w:tc>
          <w:tcPr>
            <w:tcW w:w="2551" w:type="dxa"/>
            <w:vAlign w:val="center"/>
          </w:tcPr>
          <w:p>
            <w:pPr>
              <w:pStyle w:val="11"/>
            </w:pPr>
          </w:p>
        </w:tc>
        <w:tc>
          <w:tcPr>
            <w:tcW w:w="2551" w:type="dxa"/>
            <w:vAlign w:val="center"/>
          </w:tcPr>
          <w:p>
            <w:pPr>
              <w:pStyle w:val="11"/>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r>
              <w:t>4408.05</w:t>
            </w:r>
          </w:p>
        </w:tc>
        <w:tc>
          <w:tcPr>
            <w:tcW w:w="2551" w:type="dxa"/>
            <w:vAlign w:val="center"/>
          </w:tcPr>
          <w:p>
            <w:pPr>
              <w:pStyle w:val="11"/>
            </w:pPr>
          </w:p>
        </w:tc>
        <w:tc>
          <w:tcPr>
            <w:tcW w:w="2551" w:type="dxa"/>
            <w:vAlign w:val="center"/>
          </w:tcPr>
          <w:p>
            <w:pPr>
              <w:pStyle w:val="11"/>
            </w:pPr>
            <w:r>
              <w:t>4408.05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r>
              <w:t>4408.05</w:t>
            </w:r>
          </w:p>
        </w:tc>
        <w:tc>
          <w:tcPr>
            <w:tcW w:w="2551" w:type="dxa"/>
            <w:vAlign w:val="center"/>
          </w:tcPr>
          <w:p>
            <w:pPr>
              <w:pStyle w:val="11"/>
            </w:pPr>
          </w:p>
        </w:tc>
        <w:tc>
          <w:tcPr>
            <w:tcW w:w="2551" w:type="dxa"/>
            <w:vAlign w:val="center"/>
          </w:tcPr>
          <w:p>
            <w:pPr>
              <w:pStyle w:val="11"/>
            </w:pPr>
            <w:r>
              <w:t>4408.05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3.33</w:t>
            </w:r>
          </w:p>
        </w:tc>
        <w:tc>
          <w:tcPr>
            <w:tcW w:w="2381" w:type="dxa"/>
            <w:vAlign w:val="center"/>
          </w:tcPr>
          <w:p>
            <w:pPr>
              <w:pStyle w:val="15"/>
            </w:pPr>
            <w:r>
              <w:t>3.33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3.33</w:t>
            </w:r>
          </w:p>
        </w:tc>
        <w:tc>
          <w:tcPr>
            <w:tcW w:w="2381" w:type="dxa"/>
            <w:vAlign w:val="center"/>
          </w:tcPr>
          <w:p>
            <w:pPr>
              <w:pStyle w:val="11"/>
            </w:pPr>
            <w:r>
              <w:t>3.33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1.03</w:t>
            </w:r>
          </w:p>
        </w:tc>
        <w:tc>
          <w:tcPr>
            <w:tcW w:w="2381" w:type="dxa"/>
            <w:vAlign w:val="center"/>
          </w:tcPr>
          <w:p>
            <w:pPr>
              <w:pStyle w:val="11"/>
            </w:pPr>
            <w:r>
              <w:t>1.03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秦皇岛北戴河新区海洋和渔业局2025年单位预算信息公开情况说明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按照《中华人民共和国预算法》、《地方预决算公开操作规程》和《关于进一步推进预算公开工作的实施意见》规定，现将秦皇岛北戴河新区海洋和渔业局2025年单位预算公开如下：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根据《秦皇岛北戴河新区海洋和渔业局职能配置、内设机构和人员编制规定》，秦皇岛北戴河新区海洋和渔业局的主要职责是：</w:t>
      </w:r>
    </w:p>
    <w:p>
      <w:pPr>
        <w:pStyle w:val="17"/>
      </w:pPr>
      <w:r>
        <w:t>（一）贯彻执行国家、省、市有关海洋、渔业、航运的法律法规和有关政策，会同有关部门拟定新区海洋事业和海洋经济发展规划及相关专项规划。</w:t>
      </w:r>
    </w:p>
    <w:p>
      <w:pPr>
        <w:pStyle w:val="17"/>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17"/>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17"/>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17"/>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17"/>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17"/>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17"/>
      </w:pPr>
      <w:r>
        <w:t xml:space="preserve">（八）承担新区水路运输管理责任。负责对国内水路运输、国内水路运输辅助业实施行业管理，受理权限范围内的行政许可，组织经营行为检查。 </w:t>
      </w:r>
    </w:p>
    <w:p>
      <w:pPr>
        <w:pStyle w:val="17"/>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17"/>
      </w:pPr>
      <w:r>
        <w:t>（十）负责新区海洋、渔业综合行政执法工作。组织实施管辖海域巡航执法制度；监督指导所属的海洋和渔业综合队伍建设及行政执法工作。</w:t>
      </w:r>
    </w:p>
    <w:p>
      <w:pPr>
        <w:pStyle w:val="17"/>
      </w:pPr>
      <w:r>
        <w:t>（十一）承担新区管理渔港的行政管理职能。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秦皇岛北戴河新区海洋和渔业局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18133.48万元，其中：一般公共预算收入11125.43万元，基金预算收入1900.00万元，国有资本经营预算收入0.00万元，财政专户核拨收入0.00万元，单位资金收入0.00万元，上年结转结余5108.05万元。</w:t>
      </w:r>
    </w:p>
    <w:p>
      <w:pPr>
        <w:pStyle w:val="18"/>
      </w:pPr>
      <w:r>
        <w:t>2、支出说明</w:t>
      </w:r>
    </w:p>
    <w:p>
      <w:pPr>
        <w:pStyle w:val="18"/>
      </w:pPr>
      <w:r>
        <w:t>收支预算总表支出栏、基本支出表、项目支出表按经济分类和支出功能分类科目编制，反映秦皇岛北戴河新区海洋和渔业局年度单位预算中支出预算的总体情况。2025年支出预算18133.48万元，其中基本支出1980.63万元，包括人员经费1838.93万元和日常公用经费141.70万元；主要为人员经费主要包括在在职人员工资1569.91万元、对个人和家庭的补助48.39万元、预留调资220.62万元；日常公用经费主要包括商品和服务支出137.98万元，其中办公费26.97万元、电费35万元、工会经费13.94万元，资本性支出3.72万元；项目支出16152.85万元，</w:t>
      </w:r>
      <w:bookmarkStart w:id="1" w:name="_GoBack"/>
      <w:bookmarkEnd w:id="1"/>
      <w:r>
        <w:t>主要包括2022年第八批新增政府债券资金-秦皇岛海洋高新产业示范园区基础设施建设工程项目1191.25万元、2024年用途调整专项债券-秦皇岛北戴河新区第二污水处理厂3100万元、秦财建【2024】678 号 提前下达2025年成品油价格调整对渔业补助资金【2024年度】1860万元、秦皇岛市金沙湾海洋生态保护修复工程（退养）资金6807万元等。</w:t>
      </w:r>
    </w:p>
    <w:p>
      <w:pPr>
        <w:pStyle w:val="18"/>
      </w:pPr>
      <w:r>
        <w:t>3、比上年增减情况</w:t>
      </w:r>
    </w:p>
    <w:p>
      <w:pPr>
        <w:pStyle w:val="18"/>
      </w:pPr>
      <w:r>
        <w:t>2025年预算收支安排18133.48万元，较2024年预算增加7840.27万元，其中：基本支出减少38.39万元，主要为在职人员工资减少，增加了退休人员。项目支出增加7878.66万元，主要为2024年用途调整专项债券-秦皇岛北戴河新区第二污水处理厂3100万元、秦财建【2024】678 号 提前下达2025年成品油价格调整对渔业补助资金【2024年度】1860万元、秦皇岛市金沙湾海洋生态保护修复工程（退养）资金1823.8万元、2022年第八批新增政府债券资金-秦皇岛海洋高新产业示范园区基础设施建设工程项目1191.25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rPr>
      </w:pPr>
      <w:r>
        <w:rPr>
          <w:rFonts w:ascii="宋体" w:hAnsi="宋体" w:eastAsia="宋体" w:cs="宋体"/>
          <w:sz w:val="24"/>
          <w:szCs w:val="24"/>
        </w:rPr>
        <w:t> </w:t>
      </w:r>
      <w:r>
        <w:rPr>
          <w:rFonts w:ascii="Times New Roman" w:hAnsi="Times New Roman" w:eastAsia="方正仿宋_GBK" w:cs="Times New Roman"/>
          <w:sz w:val="28"/>
        </w:rPr>
        <w:t> 2025年，我单位机关运行经费共计安排141.70万元，主要用于日常维修、办公用房水电费、办公用房取暖费、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3.33万元，其中因公出国（境）费0.00万元；公务用车购置及运维费2.30万元（其中：公务用车购置费为0.00万元，公务用车运维费2.30万元)；公务接待费1.03万元。与2024年相比减少0.06万元，增减变化的主要原因是节约资金，避免不必要的接待。</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1、海域管理及执法工作经费绩效目标表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13031325P008805104521</w:t>
            </w:r>
          </w:p>
        </w:tc>
        <w:tc>
          <w:tcPr>
            <w:tcW w:w="2835" w:type="dxa"/>
            <w:vAlign w:val="center"/>
          </w:tcPr>
          <w:p>
            <w:pPr>
              <w:pStyle w:val="10"/>
            </w:pPr>
            <w:r>
              <w:t>项目名称</w:t>
            </w:r>
          </w:p>
        </w:tc>
        <w:tc>
          <w:tcPr>
            <w:tcW w:w="6095" w:type="dxa"/>
            <w:gridSpan w:val="3"/>
            <w:vAlign w:val="center"/>
          </w:tcPr>
          <w:p>
            <w:pPr>
              <w:pStyle w:val="12"/>
            </w:pPr>
            <w:r>
              <w:t>海域管理及执法工作经费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用于支付违规、违法网具设备拆除、清理航道非法养殖设施等费用。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1.海域动态监视检测覆盖率。</w:t>
            </w:r>
          </w:p>
          <w:p>
            <w:pPr>
              <w:pStyle w:val="12"/>
            </w:pPr>
            <w:r>
              <w:t>2.保障海域合理使用和海洋环境有效保护。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维护用海秩序完成率</w:t>
            </w:r>
          </w:p>
        </w:tc>
        <w:tc>
          <w:tcPr>
            <w:tcW w:w="5386" w:type="dxa"/>
            <w:vAlign w:val="center"/>
          </w:tcPr>
          <w:p>
            <w:pPr>
              <w:pStyle w:val="12"/>
            </w:pPr>
            <w:r>
              <w:t>清理海上违法养殖设施，维护用海秩序</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海洋环境监测数据量完成率</w:t>
            </w:r>
          </w:p>
        </w:tc>
        <w:tc>
          <w:tcPr>
            <w:tcW w:w="5386" w:type="dxa"/>
            <w:vAlign w:val="center"/>
          </w:tcPr>
          <w:p>
            <w:pPr>
              <w:pStyle w:val="12"/>
            </w:pPr>
            <w:r>
              <w:t>海洋环境监测数据量完成率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海域动态监视监测覆盖率</w:t>
            </w:r>
          </w:p>
        </w:tc>
        <w:tc>
          <w:tcPr>
            <w:tcW w:w="5386" w:type="dxa"/>
            <w:vAlign w:val="center"/>
          </w:tcPr>
          <w:p>
            <w:pPr>
              <w:pStyle w:val="12"/>
            </w:pPr>
            <w:r>
              <w:t>海域动态监视监测覆盖率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≤27万元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完成工作任务</w:t>
            </w:r>
          </w:p>
        </w:tc>
        <w:tc>
          <w:tcPr>
            <w:tcW w:w="5386" w:type="dxa"/>
            <w:vAlign w:val="center"/>
          </w:tcPr>
          <w:p>
            <w:pPr>
              <w:pStyle w:val="12"/>
            </w:pPr>
            <w:r>
              <w:t>完成工作任务</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监视监测海域使用情况信息及时掌握率</w:t>
            </w:r>
          </w:p>
        </w:tc>
        <w:tc>
          <w:tcPr>
            <w:tcW w:w="5386" w:type="dxa"/>
            <w:vAlign w:val="center"/>
          </w:tcPr>
          <w:p>
            <w:pPr>
              <w:pStyle w:val="12"/>
            </w:pPr>
            <w:r>
              <w:t>监视监测海域使用情况信息及时掌握率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海岛生态环境保护修复率</w:t>
            </w:r>
          </w:p>
        </w:tc>
        <w:tc>
          <w:tcPr>
            <w:tcW w:w="5386" w:type="dxa"/>
            <w:vAlign w:val="center"/>
          </w:tcPr>
          <w:p>
            <w:pPr>
              <w:pStyle w:val="12"/>
            </w:pPr>
            <w:r>
              <w:t>海岛生态环境保护修复率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发布海域使用权统计用海信息准确率</w:t>
            </w:r>
          </w:p>
        </w:tc>
        <w:tc>
          <w:tcPr>
            <w:tcW w:w="5386" w:type="dxa"/>
            <w:vAlign w:val="center"/>
          </w:tcPr>
          <w:p>
            <w:pPr>
              <w:pStyle w:val="12"/>
            </w:pPr>
            <w:r>
              <w:t>发布海域使用权统计用海信息准确率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监测服务满意</w:t>
            </w:r>
          </w:p>
        </w:tc>
        <w:tc>
          <w:tcPr>
            <w:tcW w:w="5386" w:type="dxa"/>
            <w:vAlign w:val="center"/>
          </w:tcPr>
          <w:p>
            <w:pPr>
              <w:pStyle w:val="12"/>
            </w:pPr>
            <w:r>
              <w:t>监测服务满意</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2、旅游旺季噪音治理经费绩效目标表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13031325P008805104477</w:t>
            </w:r>
          </w:p>
        </w:tc>
        <w:tc>
          <w:tcPr>
            <w:tcW w:w="2835" w:type="dxa"/>
            <w:vAlign w:val="center"/>
          </w:tcPr>
          <w:p>
            <w:pPr>
              <w:pStyle w:val="10"/>
            </w:pPr>
            <w:r>
              <w:t>项目名称</w:t>
            </w:r>
          </w:p>
        </w:tc>
        <w:tc>
          <w:tcPr>
            <w:tcW w:w="6095" w:type="dxa"/>
            <w:gridSpan w:val="3"/>
            <w:vAlign w:val="center"/>
          </w:tcPr>
          <w:p>
            <w:pPr>
              <w:pStyle w:val="12"/>
            </w:pPr>
            <w:r>
              <w:t>旅游旺季噪音治理经费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w:t>
            </w:r>
          </w:p>
        </w:tc>
        <w:tc>
          <w:tcPr>
            <w:tcW w:w="2835" w:type="dxa"/>
            <w:vAlign w:val="center"/>
          </w:tcPr>
          <w:p>
            <w:pPr>
              <w:pStyle w:val="10"/>
            </w:pPr>
            <w:r>
              <w:t>其中：财政    资金</w:t>
            </w:r>
          </w:p>
        </w:tc>
        <w:tc>
          <w:tcPr>
            <w:tcW w:w="2551" w:type="dxa"/>
            <w:vAlign w:val="center"/>
          </w:tcPr>
          <w:p>
            <w:pPr>
              <w:pStyle w:val="12"/>
            </w:pPr>
            <w:r>
              <w:t>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用于支付海蜇、水母防治及打捞、消音器安装等费用。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1.6-9月对进出口洋河口渔港的渔船进行噪音治理，包括洋河口渔政码头24小时值班。</w:t>
            </w:r>
          </w:p>
          <w:p>
            <w:pPr>
              <w:pStyle w:val="12"/>
            </w:pPr>
            <w:r>
              <w:t>2.设置4海里禁航区，养殖渔船安装消音器，海蜇捕捞等工作。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渔船加装消音降噪至最低</w:t>
            </w:r>
          </w:p>
        </w:tc>
        <w:tc>
          <w:tcPr>
            <w:tcW w:w="5386" w:type="dxa"/>
            <w:vAlign w:val="center"/>
          </w:tcPr>
          <w:p>
            <w:pPr>
              <w:pStyle w:val="12"/>
            </w:pPr>
            <w:r>
              <w:t>养殖渔船加装消音器最大限度降低噪音</w:t>
            </w:r>
          </w:p>
        </w:tc>
        <w:tc>
          <w:tcPr>
            <w:tcW w:w="2268" w:type="dxa"/>
            <w:vAlign w:val="center"/>
          </w:tcPr>
          <w:p>
            <w:pPr>
              <w:pStyle w:val="12"/>
            </w:pPr>
            <w:r>
              <w:t>≥65分贝</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检查过往船只，防止船只驶入</w:t>
            </w:r>
          </w:p>
        </w:tc>
        <w:tc>
          <w:tcPr>
            <w:tcW w:w="5386" w:type="dxa"/>
            <w:vAlign w:val="center"/>
          </w:tcPr>
          <w:p>
            <w:pPr>
              <w:pStyle w:val="12"/>
            </w:pPr>
            <w:r>
              <w:t>洋河口渔政码头24小时值班，做好噪音治理管控</w:t>
            </w:r>
          </w:p>
        </w:tc>
        <w:tc>
          <w:tcPr>
            <w:tcW w:w="2268" w:type="dxa"/>
            <w:vAlign w:val="center"/>
          </w:tcPr>
          <w:p>
            <w:pPr>
              <w:pStyle w:val="12"/>
            </w:pPr>
            <w:r>
              <w:t>无船只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检查过往船只，防止船只驶入</w:t>
            </w:r>
          </w:p>
        </w:tc>
        <w:tc>
          <w:tcPr>
            <w:tcW w:w="5386" w:type="dxa"/>
            <w:vAlign w:val="center"/>
          </w:tcPr>
          <w:p>
            <w:pPr>
              <w:pStyle w:val="12"/>
            </w:pPr>
            <w:r>
              <w:t>6-9月在4海里设置检查站，检查过往船只，防止船只驶入</w:t>
            </w:r>
          </w:p>
        </w:tc>
        <w:tc>
          <w:tcPr>
            <w:tcW w:w="2268" w:type="dxa"/>
            <w:vAlign w:val="center"/>
          </w:tcPr>
          <w:p>
            <w:pPr>
              <w:pStyle w:val="12"/>
            </w:pPr>
            <w:r>
              <w:t>无船只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≤23万元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渔船加装消音降噪至最低</w:t>
            </w:r>
          </w:p>
        </w:tc>
        <w:tc>
          <w:tcPr>
            <w:tcW w:w="5386" w:type="dxa"/>
            <w:vAlign w:val="center"/>
          </w:tcPr>
          <w:p>
            <w:pPr>
              <w:pStyle w:val="12"/>
            </w:pPr>
            <w:r>
              <w:t>渔船加装消音降噪至最低</w:t>
            </w:r>
          </w:p>
        </w:tc>
        <w:tc>
          <w:tcPr>
            <w:tcW w:w="2268" w:type="dxa"/>
            <w:vAlign w:val="center"/>
          </w:tcPr>
          <w:p>
            <w:pPr>
              <w:pStyle w:val="12"/>
            </w:pPr>
            <w:r>
              <w:t>≤65分贝</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渔船有序行驶</w:t>
            </w:r>
          </w:p>
        </w:tc>
        <w:tc>
          <w:tcPr>
            <w:tcW w:w="5386" w:type="dxa"/>
            <w:vAlign w:val="center"/>
          </w:tcPr>
          <w:p>
            <w:pPr>
              <w:pStyle w:val="12"/>
            </w:pPr>
            <w:r>
              <w:t>渔船管理有序，监管到位</w:t>
            </w:r>
          </w:p>
        </w:tc>
        <w:tc>
          <w:tcPr>
            <w:tcW w:w="2268" w:type="dxa"/>
            <w:vAlign w:val="center"/>
          </w:tcPr>
          <w:p>
            <w:pPr>
              <w:pStyle w:val="12"/>
            </w:pPr>
            <w:r>
              <w:t>≤65分贝</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最大减少非法捕捞现象</w:t>
            </w:r>
          </w:p>
        </w:tc>
        <w:tc>
          <w:tcPr>
            <w:tcW w:w="5386" w:type="dxa"/>
            <w:vAlign w:val="center"/>
          </w:tcPr>
          <w:p>
            <w:pPr>
              <w:pStyle w:val="12"/>
            </w:pPr>
            <w:r>
              <w:t>非法捕捞得到有效控制</w:t>
            </w:r>
          </w:p>
        </w:tc>
        <w:tc>
          <w:tcPr>
            <w:tcW w:w="2268" w:type="dxa"/>
            <w:vAlign w:val="center"/>
          </w:tcPr>
          <w:p>
            <w:pPr>
              <w:pStyle w:val="12"/>
            </w:pPr>
            <w:r>
              <w:t>无</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3、渔政船检港监管理工作经费绩效目标表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13031325P00880510459A</w:t>
            </w:r>
          </w:p>
        </w:tc>
        <w:tc>
          <w:tcPr>
            <w:tcW w:w="2835" w:type="dxa"/>
            <w:vAlign w:val="center"/>
          </w:tcPr>
          <w:p>
            <w:pPr>
              <w:pStyle w:val="10"/>
            </w:pPr>
            <w:r>
              <w:t>项目名称</w:t>
            </w:r>
          </w:p>
        </w:tc>
        <w:tc>
          <w:tcPr>
            <w:tcW w:w="6095" w:type="dxa"/>
            <w:gridSpan w:val="3"/>
            <w:vAlign w:val="center"/>
          </w:tcPr>
          <w:p>
            <w:pPr>
              <w:pStyle w:val="12"/>
            </w:pPr>
            <w:r>
              <w:t>渔政船检港监管理工作经费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用于支付印刷专用船舶证书、展板、条幅制作等费用。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1.顺利开展渔政执法，落实渔业安全生产工作。</w:t>
            </w:r>
          </w:p>
          <w:p>
            <w:pPr>
              <w:pStyle w:val="12"/>
            </w:pPr>
            <w:r>
              <w:t>2.保障辖区渔业船舶检验，渔港管理规范，创建平安渔业。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渔业船舶检验率</w:t>
            </w:r>
          </w:p>
        </w:tc>
        <w:tc>
          <w:tcPr>
            <w:tcW w:w="5386" w:type="dxa"/>
            <w:vAlign w:val="center"/>
          </w:tcPr>
          <w:p>
            <w:pPr>
              <w:pStyle w:val="12"/>
            </w:pPr>
            <w:r>
              <w:t>完成辖区内适航渔业船舶检验</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渔业船舶检验规范率</w:t>
            </w:r>
          </w:p>
        </w:tc>
        <w:tc>
          <w:tcPr>
            <w:tcW w:w="5386" w:type="dxa"/>
            <w:vAlign w:val="center"/>
          </w:tcPr>
          <w:p>
            <w:pPr>
              <w:pStyle w:val="12"/>
            </w:pPr>
            <w:r>
              <w:t>严格按照渔业船舶检验规范检验船只</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发现沉船及时清理率</w:t>
            </w:r>
          </w:p>
        </w:tc>
        <w:tc>
          <w:tcPr>
            <w:tcW w:w="5386" w:type="dxa"/>
            <w:vAlign w:val="center"/>
          </w:tcPr>
          <w:p>
            <w:pPr>
              <w:pStyle w:val="12"/>
            </w:pPr>
            <w:r>
              <w:t>发现沉船及时清理率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清理渔港内妨碍交通安全的船只，防止水污染</w:t>
            </w:r>
          </w:p>
        </w:tc>
        <w:tc>
          <w:tcPr>
            <w:tcW w:w="5386" w:type="dxa"/>
            <w:vAlign w:val="center"/>
          </w:tcPr>
          <w:p>
            <w:pPr>
              <w:pStyle w:val="12"/>
            </w:pPr>
            <w:r>
              <w:t>清理渔港内妨碍交通安全的船只，防止水污染</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争取辖区内无重大安全生产事故</w:t>
            </w:r>
          </w:p>
        </w:tc>
        <w:tc>
          <w:tcPr>
            <w:tcW w:w="5386" w:type="dxa"/>
            <w:vAlign w:val="center"/>
          </w:tcPr>
          <w:p>
            <w:pPr>
              <w:pStyle w:val="12"/>
            </w:pPr>
            <w:r>
              <w:t>争取辖区内无重大安全生产事故</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渔民满意度</w:t>
            </w:r>
          </w:p>
        </w:tc>
        <w:tc>
          <w:tcPr>
            <w:tcW w:w="5386" w:type="dxa"/>
            <w:vAlign w:val="center"/>
          </w:tcPr>
          <w:p>
            <w:pPr>
              <w:pStyle w:val="12"/>
            </w:pPr>
            <w:r>
              <w:t>渔民满意度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4、2017年国家级海洋牧场示范区项目资金绩效目标表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13031324P00535811085M</w:t>
            </w:r>
          </w:p>
        </w:tc>
        <w:tc>
          <w:tcPr>
            <w:tcW w:w="2835" w:type="dxa"/>
            <w:vAlign w:val="center"/>
          </w:tcPr>
          <w:p>
            <w:pPr>
              <w:pStyle w:val="10"/>
            </w:pPr>
            <w:r>
              <w:t>项目名称</w:t>
            </w:r>
          </w:p>
        </w:tc>
        <w:tc>
          <w:tcPr>
            <w:tcW w:w="6095" w:type="dxa"/>
            <w:gridSpan w:val="3"/>
            <w:vAlign w:val="center"/>
          </w:tcPr>
          <w:p>
            <w:pPr>
              <w:pStyle w:val="12"/>
            </w:pPr>
            <w:r>
              <w:t>2017年国家级海洋牧场示范区项目资金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用于支付2017年国家级海洋牧场示范区项目补助资金。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1.完成建设人工鱼礁总规模3.5003万空m3，建设海洋牧场可视化智能化信息化系统1套等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人工鱼礁总规模</w:t>
            </w:r>
          </w:p>
        </w:tc>
        <w:tc>
          <w:tcPr>
            <w:tcW w:w="5386" w:type="dxa"/>
            <w:vAlign w:val="center"/>
          </w:tcPr>
          <w:p>
            <w:pPr>
              <w:pStyle w:val="12"/>
            </w:pPr>
            <w:r>
              <w:t>人工鱼礁总规模</w:t>
            </w:r>
          </w:p>
        </w:tc>
        <w:tc>
          <w:tcPr>
            <w:tcW w:w="2268" w:type="dxa"/>
            <w:vAlign w:val="center"/>
          </w:tcPr>
          <w:p>
            <w:pPr>
              <w:pStyle w:val="12"/>
            </w:pPr>
            <w:r>
              <w:t>≥3.5万空m3</w:t>
            </w:r>
          </w:p>
        </w:tc>
        <w:tc>
          <w:tcPr>
            <w:tcW w:w="1276" w:type="dxa"/>
            <w:vAlign w:val="center"/>
          </w:tcPr>
          <w:p>
            <w:pPr>
              <w:pStyle w:val="12"/>
            </w:pPr>
            <w:r>
              <w:t>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1年内完成</w:t>
            </w:r>
          </w:p>
        </w:tc>
        <w:tc>
          <w:tcPr>
            <w:tcW w:w="5386" w:type="dxa"/>
            <w:vAlign w:val="center"/>
          </w:tcPr>
          <w:p>
            <w:pPr>
              <w:pStyle w:val="12"/>
            </w:pPr>
            <w:r>
              <w:t>1年内完成</w:t>
            </w:r>
          </w:p>
        </w:tc>
        <w:tc>
          <w:tcPr>
            <w:tcW w:w="2268" w:type="dxa"/>
            <w:vAlign w:val="center"/>
          </w:tcPr>
          <w:p>
            <w:pPr>
              <w:pStyle w:val="12"/>
            </w:pPr>
            <w:r>
              <w:t>≤12月</w:t>
            </w:r>
          </w:p>
        </w:tc>
        <w:tc>
          <w:tcPr>
            <w:tcW w:w="1276" w:type="dxa"/>
            <w:vAlign w:val="center"/>
          </w:tcPr>
          <w:p>
            <w:pPr>
              <w:pStyle w:val="12"/>
            </w:pPr>
            <w:r>
              <w:t>项目批复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1000万元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实施后可提供大量优质生态的渔货产品</w:t>
            </w:r>
          </w:p>
        </w:tc>
        <w:tc>
          <w:tcPr>
            <w:tcW w:w="5386" w:type="dxa"/>
            <w:vAlign w:val="center"/>
          </w:tcPr>
          <w:p>
            <w:pPr>
              <w:pStyle w:val="12"/>
            </w:pPr>
            <w:r>
              <w:t>实施后可提供大量优质生态的渔货产品</w:t>
            </w:r>
          </w:p>
        </w:tc>
        <w:tc>
          <w:tcPr>
            <w:tcW w:w="2268" w:type="dxa"/>
            <w:vAlign w:val="center"/>
          </w:tcPr>
          <w:p>
            <w:pPr>
              <w:pStyle w:val="12"/>
            </w:pPr>
            <w:r>
              <w:t>100%</w:t>
            </w:r>
          </w:p>
        </w:tc>
        <w:tc>
          <w:tcPr>
            <w:tcW w:w="1276" w:type="dxa"/>
            <w:vAlign w:val="center"/>
          </w:tcPr>
          <w:p>
            <w:pPr>
              <w:pStyle w:val="12"/>
            </w:pPr>
            <w:r>
              <w:t>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改善和优化海域生态环境</w:t>
            </w:r>
          </w:p>
        </w:tc>
        <w:tc>
          <w:tcPr>
            <w:tcW w:w="5386" w:type="dxa"/>
            <w:vAlign w:val="center"/>
          </w:tcPr>
          <w:p>
            <w:pPr>
              <w:pStyle w:val="12"/>
            </w:pPr>
            <w:r>
              <w:t>改善和优化海域生态环境</w:t>
            </w:r>
          </w:p>
        </w:tc>
        <w:tc>
          <w:tcPr>
            <w:tcW w:w="2268" w:type="dxa"/>
            <w:vAlign w:val="center"/>
          </w:tcPr>
          <w:p>
            <w:pPr>
              <w:pStyle w:val="12"/>
            </w:pPr>
            <w:r>
              <w:t>100%</w:t>
            </w:r>
          </w:p>
        </w:tc>
        <w:tc>
          <w:tcPr>
            <w:tcW w:w="1276" w:type="dxa"/>
            <w:vAlign w:val="center"/>
          </w:tcPr>
          <w:p>
            <w:pPr>
              <w:pStyle w:val="12"/>
            </w:pPr>
            <w:r>
              <w:t>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促进海洋渔业持续健康发展</w:t>
            </w:r>
          </w:p>
        </w:tc>
        <w:tc>
          <w:tcPr>
            <w:tcW w:w="5386" w:type="dxa"/>
            <w:vAlign w:val="center"/>
          </w:tcPr>
          <w:p>
            <w:pPr>
              <w:pStyle w:val="12"/>
            </w:pPr>
            <w:r>
              <w:t>促进海洋渔业持续健康发展</w:t>
            </w:r>
          </w:p>
        </w:tc>
        <w:tc>
          <w:tcPr>
            <w:tcW w:w="2268" w:type="dxa"/>
            <w:vAlign w:val="center"/>
          </w:tcPr>
          <w:p>
            <w:pPr>
              <w:pStyle w:val="12"/>
            </w:pPr>
            <w:r>
              <w:t>100%</w:t>
            </w:r>
          </w:p>
        </w:tc>
        <w:tc>
          <w:tcPr>
            <w:tcW w:w="1276" w:type="dxa"/>
            <w:vAlign w:val="center"/>
          </w:tcPr>
          <w:p>
            <w:pPr>
              <w:pStyle w:val="12"/>
            </w:pPr>
            <w:r>
              <w:t>100%完成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w:t>
            </w:r>
          </w:p>
        </w:tc>
        <w:tc>
          <w:tcPr>
            <w:tcW w:w="5386" w:type="dxa"/>
            <w:vAlign w:val="center"/>
          </w:tcPr>
          <w:p>
            <w:pPr>
              <w:pStyle w:val="12"/>
            </w:pPr>
            <w:r>
              <w:t>企业满意</w:t>
            </w:r>
          </w:p>
        </w:tc>
        <w:tc>
          <w:tcPr>
            <w:tcW w:w="2268" w:type="dxa"/>
            <w:vAlign w:val="center"/>
          </w:tcPr>
          <w:p>
            <w:pPr>
              <w:pStyle w:val="12"/>
            </w:pPr>
            <w:r>
              <w:t>100%</w:t>
            </w:r>
          </w:p>
        </w:tc>
        <w:tc>
          <w:tcPr>
            <w:tcW w:w="1276" w:type="dxa"/>
            <w:vAlign w:val="center"/>
          </w:tcPr>
          <w:p>
            <w:pPr>
              <w:pStyle w:val="12"/>
            </w:pPr>
            <w:r>
              <w:t>100%完成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5、2022年第八批新增政府债券资金-秦皇岛海洋高新产业示范园区基础设施建设工程项目绩效目标表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13031322P008325100238</w:t>
            </w:r>
          </w:p>
        </w:tc>
        <w:tc>
          <w:tcPr>
            <w:tcW w:w="2835" w:type="dxa"/>
            <w:vAlign w:val="center"/>
          </w:tcPr>
          <w:p>
            <w:pPr>
              <w:pStyle w:val="10"/>
            </w:pPr>
            <w:r>
              <w:t>项目名称</w:t>
            </w:r>
          </w:p>
        </w:tc>
        <w:tc>
          <w:tcPr>
            <w:tcW w:w="6095" w:type="dxa"/>
            <w:gridSpan w:val="3"/>
            <w:vAlign w:val="center"/>
          </w:tcPr>
          <w:p>
            <w:pPr>
              <w:pStyle w:val="12"/>
            </w:pPr>
            <w:r>
              <w:t>2022年第八批新增政府债券资金-秦皇岛海洋高新产业示范园区基础设施建设工程项目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1191.25</w:t>
            </w:r>
          </w:p>
        </w:tc>
        <w:tc>
          <w:tcPr>
            <w:tcW w:w="2835" w:type="dxa"/>
            <w:vAlign w:val="center"/>
          </w:tcPr>
          <w:p>
            <w:pPr>
              <w:pStyle w:val="10"/>
            </w:pPr>
            <w:r>
              <w:t>其中：财政    资金</w:t>
            </w:r>
          </w:p>
        </w:tc>
        <w:tc>
          <w:tcPr>
            <w:tcW w:w="2551" w:type="dxa"/>
            <w:vAlign w:val="center"/>
          </w:tcPr>
          <w:p>
            <w:pPr>
              <w:pStyle w:val="12"/>
            </w:pPr>
            <w:r>
              <w:t>1191.25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用于支付海洋高新产业示范园区基础设施建设工程项目资金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1.完成海洋高新产业示范园区基础设施建设工程前期工作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园区道路（米）</w:t>
            </w:r>
          </w:p>
        </w:tc>
        <w:tc>
          <w:tcPr>
            <w:tcW w:w="5386" w:type="dxa"/>
            <w:vAlign w:val="center"/>
          </w:tcPr>
          <w:p>
            <w:pPr>
              <w:pStyle w:val="12"/>
            </w:pPr>
            <w:r>
              <w:t>园区道路（米）</w:t>
            </w:r>
          </w:p>
        </w:tc>
        <w:tc>
          <w:tcPr>
            <w:tcW w:w="2268" w:type="dxa"/>
            <w:vAlign w:val="center"/>
          </w:tcPr>
          <w:p>
            <w:pPr>
              <w:pStyle w:val="12"/>
            </w:pPr>
            <w:r>
              <w:t>1002米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≤12月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≤4900万元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完善北戴河新区的基础配套建设，提升城市整体形象</w:t>
            </w:r>
          </w:p>
        </w:tc>
        <w:tc>
          <w:tcPr>
            <w:tcW w:w="5386" w:type="dxa"/>
            <w:vAlign w:val="center"/>
          </w:tcPr>
          <w:p>
            <w:pPr>
              <w:pStyle w:val="12"/>
            </w:pPr>
            <w:r>
              <w:t>完善北戴河新区的基础配套建设，提升城市整体形象</w:t>
            </w:r>
          </w:p>
        </w:tc>
        <w:tc>
          <w:tcPr>
            <w:tcW w:w="2268" w:type="dxa"/>
            <w:vAlign w:val="center"/>
          </w:tcPr>
          <w:p>
            <w:pPr>
              <w:pStyle w:val="12"/>
            </w:pPr>
            <w:r>
              <w:t>100%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w:t>
            </w:r>
          </w:p>
        </w:tc>
        <w:tc>
          <w:tcPr>
            <w:tcW w:w="5386" w:type="dxa"/>
            <w:vAlign w:val="center"/>
          </w:tcPr>
          <w:p>
            <w:pPr>
              <w:pStyle w:val="12"/>
            </w:pPr>
            <w:r>
              <w:t>人民群众满意</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6、2022年第八批新增政府债券资金-秦皇岛海洋高新产业示范园区基础设施建设工程项目绩效目标表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13031323P00012C10165A</w:t>
            </w:r>
          </w:p>
        </w:tc>
        <w:tc>
          <w:tcPr>
            <w:tcW w:w="2835" w:type="dxa"/>
            <w:vAlign w:val="center"/>
          </w:tcPr>
          <w:p>
            <w:pPr>
              <w:pStyle w:val="10"/>
            </w:pPr>
            <w:r>
              <w:t>项目名称</w:t>
            </w:r>
          </w:p>
        </w:tc>
        <w:tc>
          <w:tcPr>
            <w:tcW w:w="6095" w:type="dxa"/>
            <w:gridSpan w:val="3"/>
            <w:vAlign w:val="center"/>
          </w:tcPr>
          <w:p>
            <w:pPr>
              <w:pStyle w:val="12"/>
            </w:pPr>
            <w:r>
              <w:t>2022年第八批新增政府债券资金-秦皇岛海洋高新产业示范园区基础设施建设工程项目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116.80</w:t>
            </w:r>
          </w:p>
        </w:tc>
        <w:tc>
          <w:tcPr>
            <w:tcW w:w="2835" w:type="dxa"/>
            <w:vAlign w:val="center"/>
          </w:tcPr>
          <w:p>
            <w:pPr>
              <w:pStyle w:val="10"/>
            </w:pPr>
            <w:r>
              <w:t>其中：财政    资金</w:t>
            </w:r>
          </w:p>
        </w:tc>
        <w:tc>
          <w:tcPr>
            <w:tcW w:w="2551" w:type="dxa"/>
            <w:vAlign w:val="center"/>
          </w:tcPr>
          <w:p>
            <w:pPr>
              <w:pStyle w:val="12"/>
            </w:pPr>
            <w:r>
              <w:t>116.80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支付工程材料检验试验费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1.完善园区基础设施，促进城市建设目标的实现和城市水产基地的建设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园区道路（米）</w:t>
            </w:r>
          </w:p>
        </w:tc>
        <w:tc>
          <w:tcPr>
            <w:tcW w:w="5386" w:type="dxa"/>
            <w:vAlign w:val="center"/>
          </w:tcPr>
          <w:p>
            <w:pPr>
              <w:pStyle w:val="12"/>
            </w:pPr>
            <w:r>
              <w:t>园区道路（米）</w:t>
            </w:r>
          </w:p>
        </w:tc>
        <w:tc>
          <w:tcPr>
            <w:tcW w:w="2268" w:type="dxa"/>
            <w:vAlign w:val="center"/>
          </w:tcPr>
          <w:p>
            <w:pPr>
              <w:pStyle w:val="12"/>
            </w:pPr>
            <w:r>
              <w:t>1002米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≤12月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≥4900万元</w:t>
            </w:r>
          </w:p>
        </w:tc>
        <w:tc>
          <w:tcPr>
            <w:tcW w:w="1276" w:type="dxa"/>
            <w:vAlign w:val="center"/>
          </w:tcPr>
          <w:p>
            <w:pPr>
              <w:pStyle w:val="12"/>
            </w:pPr>
            <w:r>
              <w:t>竣工决算审计报告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带动项目区域地段经济的发展</w:t>
            </w:r>
          </w:p>
        </w:tc>
        <w:tc>
          <w:tcPr>
            <w:tcW w:w="2268" w:type="dxa"/>
            <w:vAlign w:val="center"/>
          </w:tcPr>
          <w:p>
            <w:pPr>
              <w:pStyle w:val="12"/>
            </w:pPr>
            <w:r>
              <w:t>≥15%</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完善北戴河新区的基础配套建设，提升城市整体形象</w:t>
            </w:r>
          </w:p>
        </w:tc>
        <w:tc>
          <w:tcPr>
            <w:tcW w:w="5386" w:type="dxa"/>
            <w:vAlign w:val="center"/>
          </w:tcPr>
          <w:p>
            <w:pPr>
              <w:pStyle w:val="12"/>
            </w:pPr>
            <w:r>
              <w:t>完善北戴河新区的基础配套建设，提升城市整体形象</w:t>
            </w:r>
          </w:p>
        </w:tc>
        <w:tc>
          <w:tcPr>
            <w:tcW w:w="2268" w:type="dxa"/>
            <w:vAlign w:val="center"/>
          </w:tcPr>
          <w:p>
            <w:pPr>
              <w:pStyle w:val="12"/>
            </w:pPr>
            <w:r>
              <w:t>100%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7、2024年成品油价格调整对渔业补助资金（2023年度）绩效目标表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13031324P00535811066H</w:t>
            </w:r>
          </w:p>
        </w:tc>
        <w:tc>
          <w:tcPr>
            <w:tcW w:w="2835" w:type="dxa"/>
            <w:vAlign w:val="center"/>
          </w:tcPr>
          <w:p>
            <w:pPr>
              <w:pStyle w:val="10"/>
            </w:pPr>
            <w:r>
              <w:t>项目名称</w:t>
            </w:r>
          </w:p>
        </w:tc>
        <w:tc>
          <w:tcPr>
            <w:tcW w:w="6095" w:type="dxa"/>
            <w:gridSpan w:val="3"/>
            <w:vAlign w:val="center"/>
          </w:tcPr>
          <w:p>
            <w:pPr>
              <w:pStyle w:val="12"/>
            </w:pPr>
            <w:r>
              <w:t>2024年成品油价格调整对渔业补助资金（2023年度）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用于支付2023年度渔业资源养护补贴等资金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1.完成2023年度渔业资源养护补贴的发放。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渔业资源养护补贴培训次数</w:t>
            </w:r>
          </w:p>
        </w:tc>
        <w:tc>
          <w:tcPr>
            <w:tcW w:w="5386" w:type="dxa"/>
            <w:vAlign w:val="center"/>
          </w:tcPr>
          <w:p>
            <w:pPr>
              <w:pStyle w:val="12"/>
            </w:pPr>
            <w:r>
              <w:t>渔业资源养护补贴培训次数</w:t>
            </w:r>
          </w:p>
        </w:tc>
        <w:tc>
          <w:tcPr>
            <w:tcW w:w="2268" w:type="dxa"/>
            <w:vAlign w:val="center"/>
          </w:tcPr>
          <w:p>
            <w:pPr>
              <w:pStyle w:val="12"/>
            </w:pPr>
            <w:r>
              <w:t>≥1次</w:t>
            </w:r>
          </w:p>
        </w:tc>
        <w:tc>
          <w:tcPr>
            <w:tcW w:w="1276" w:type="dxa"/>
            <w:vAlign w:val="center"/>
          </w:tcPr>
          <w:p>
            <w:pPr>
              <w:pStyle w:val="12"/>
            </w:pPr>
            <w:r>
              <w:t>根据实际培训情况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渔业资源养护补贴发放完成率</w:t>
            </w:r>
          </w:p>
        </w:tc>
        <w:tc>
          <w:tcPr>
            <w:tcW w:w="5386" w:type="dxa"/>
            <w:vAlign w:val="center"/>
          </w:tcPr>
          <w:p>
            <w:pPr>
              <w:pStyle w:val="12"/>
            </w:pPr>
            <w:r>
              <w:t>渔业资源养护补贴发放完成率</w:t>
            </w:r>
          </w:p>
        </w:tc>
        <w:tc>
          <w:tcPr>
            <w:tcW w:w="2268" w:type="dxa"/>
            <w:vAlign w:val="center"/>
          </w:tcPr>
          <w:p>
            <w:pPr>
              <w:pStyle w:val="12"/>
            </w:pPr>
            <w:r>
              <w:t>100%</w:t>
            </w:r>
          </w:p>
        </w:tc>
        <w:tc>
          <w:tcPr>
            <w:tcW w:w="1276" w:type="dxa"/>
            <w:vAlign w:val="center"/>
          </w:tcPr>
          <w:p>
            <w:pPr>
              <w:pStyle w:val="12"/>
            </w:pPr>
            <w:r>
              <w:t>根据实施方案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补助资金的发放于12月底之前完成</w:t>
            </w:r>
          </w:p>
        </w:tc>
        <w:tc>
          <w:tcPr>
            <w:tcW w:w="5386" w:type="dxa"/>
            <w:vAlign w:val="center"/>
          </w:tcPr>
          <w:p>
            <w:pPr>
              <w:pStyle w:val="12"/>
            </w:pPr>
            <w:r>
              <w:t>补助资金的发放于12月底之前完成</w:t>
            </w:r>
          </w:p>
        </w:tc>
        <w:tc>
          <w:tcPr>
            <w:tcW w:w="2268" w:type="dxa"/>
            <w:vAlign w:val="center"/>
          </w:tcPr>
          <w:p>
            <w:pPr>
              <w:pStyle w:val="12"/>
            </w:pPr>
            <w:r>
              <w:t>100%</w:t>
            </w:r>
          </w:p>
        </w:tc>
        <w:tc>
          <w:tcPr>
            <w:tcW w:w="1276" w:type="dxa"/>
            <w:vAlign w:val="center"/>
          </w:tcPr>
          <w:p>
            <w:pPr>
              <w:pStyle w:val="12"/>
            </w:pPr>
            <w:r>
              <w:t>根据实施方案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≤3252.5万元</w:t>
            </w:r>
          </w:p>
        </w:tc>
        <w:tc>
          <w:tcPr>
            <w:tcW w:w="1276" w:type="dxa"/>
            <w:vAlign w:val="center"/>
          </w:tcPr>
          <w:p>
            <w:pPr>
              <w:pStyle w:val="12"/>
            </w:pPr>
            <w:r>
              <w:t>根据实施方案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补助资金用于居民农业，有利于社会稳定</w:t>
            </w:r>
          </w:p>
        </w:tc>
        <w:tc>
          <w:tcPr>
            <w:tcW w:w="5386" w:type="dxa"/>
            <w:vAlign w:val="center"/>
          </w:tcPr>
          <w:p>
            <w:pPr>
              <w:pStyle w:val="12"/>
            </w:pPr>
            <w:r>
              <w:t>补助资金用于居民农业，有利于社会稳定</w:t>
            </w:r>
          </w:p>
        </w:tc>
        <w:tc>
          <w:tcPr>
            <w:tcW w:w="2268" w:type="dxa"/>
            <w:vAlign w:val="center"/>
          </w:tcPr>
          <w:p>
            <w:pPr>
              <w:pStyle w:val="12"/>
            </w:pPr>
            <w:r>
              <w:t>100%</w:t>
            </w:r>
          </w:p>
        </w:tc>
        <w:tc>
          <w:tcPr>
            <w:tcW w:w="1276" w:type="dxa"/>
            <w:vAlign w:val="center"/>
          </w:tcPr>
          <w:p>
            <w:pPr>
              <w:pStyle w:val="12"/>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对北戴河新区社会稳定和经济发展产生长效影响</w:t>
            </w:r>
          </w:p>
        </w:tc>
        <w:tc>
          <w:tcPr>
            <w:tcW w:w="5386" w:type="dxa"/>
            <w:vAlign w:val="center"/>
          </w:tcPr>
          <w:p>
            <w:pPr>
              <w:pStyle w:val="12"/>
            </w:pPr>
            <w:r>
              <w:t>对北戴河新区社会稳定和经济发展产生长效影响</w:t>
            </w:r>
          </w:p>
        </w:tc>
        <w:tc>
          <w:tcPr>
            <w:tcW w:w="2268" w:type="dxa"/>
            <w:vAlign w:val="center"/>
          </w:tcPr>
          <w:p>
            <w:pPr>
              <w:pStyle w:val="12"/>
            </w:pPr>
            <w:r>
              <w:t>100%</w:t>
            </w:r>
          </w:p>
        </w:tc>
        <w:tc>
          <w:tcPr>
            <w:tcW w:w="1276" w:type="dxa"/>
            <w:vAlign w:val="center"/>
          </w:tcPr>
          <w:p>
            <w:pPr>
              <w:pStyle w:val="12"/>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渔民满意</w:t>
            </w:r>
          </w:p>
        </w:tc>
        <w:tc>
          <w:tcPr>
            <w:tcW w:w="5386" w:type="dxa"/>
            <w:vAlign w:val="center"/>
          </w:tcPr>
          <w:p>
            <w:pPr>
              <w:pStyle w:val="12"/>
            </w:pPr>
            <w:r>
              <w:t>渔民满意</w:t>
            </w:r>
          </w:p>
        </w:tc>
        <w:tc>
          <w:tcPr>
            <w:tcW w:w="2268" w:type="dxa"/>
            <w:vAlign w:val="center"/>
          </w:tcPr>
          <w:p>
            <w:pPr>
              <w:pStyle w:val="12"/>
            </w:pPr>
            <w:r>
              <w:t>100%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8、2024年用途调整专项债券-秦皇岛北戴河新区第二污水处理厂绩效目标表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13031324P00832510104A</w:t>
            </w:r>
          </w:p>
        </w:tc>
        <w:tc>
          <w:tcPr>
            <w:tcW w:w="2835" w:type="dxa"/>
            <w:vAlign w:val="center"/>
          </w:tcPr>
          <w:p>
            <w:pPr>
              <w:pStyle w:val="10"/>
            </w:pPr>
            <w:r>
              <w:t>项目名称</w:t>
            </w:r>
          </w:p>
        </w:tc>
        <w:tc>
          <w:tcPr>
            <w:tcW w:w="6095" w:type="dxa"/>
            <w:gridSpan w:val="3"/>
            <w:vAlign w:val="center"/>
          </w:tcPr>
          <w:p>
            <w:pPr>
              <w:pStyle w:val="12"/>
            </w:pPr>
            <w:r>
              <w:t>2024年用途调整专项债券-秦皇岛北戴河新区第二污水处理厂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3100.00</w:t>
            </w:r>
          </w:p>
        </w:tc>
        <w:tc>
          <w:tcPr>
            <w:tcW w:w="2835" w:type="dxa"/>
            <w:vAlign w:val="center"/>
          </w:tcPr>
          <w:p>
            <w:pPr>
              <w:pStyle w:val="10"/>
            </w:pPr>
            <w:r>
              <w:t>其中：财政    资金</w:t>
            </w:r>
          </w:p>
        </w:tc>
        <w:tc>
          <w:tcPr>
            <w:tcW w:w="2551" w:type="dxa"/>
            <w:vAlign w:val="center"/>
          </w:tcPr>
          <w:p>
            <w:pPr>
              <w:pStyle w:val="12"/>
            </w:pPr>
            <w:r>
              <w:t>3100.00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支付秦皇岛北戴河新区第二污水处理厂工程施工款。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1.改善区域性水环境污染，同时使污水实现资源化，回用于城市和工业，缓解北戴河新区水资源的紧缺状况，促进经济、生态环境同步发展。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厂外污水收集主干管</w:t>
            </w:r>
          </w:p>
        </w:tc>
        <w:tc>
          <w:tcPr>
            <w:tcW w:w="5386" w:type="dxa"/>
            <w:vAlign w:val="center"/>
          </w:tcPr>
          <w:p>
            <w:pPr>
              <w:pStyle w:val="12"/>
            </w:pPr>
            <w:r>
              <w:t>厂外污水收集主干管2.9km</w:t>
            </w:r>
          </w:p>
        </w:tc>
        <w:tc>
          <w:tcPr>
            <w:tcW w:w="2268" w:type="dxa"/>
            <w:vAlign w:val="center"/>
          </w:tcPr>
          <w:p>
            <w:pPr>
              <w:pStyle w:val="12"/>
            </w:pPr>
            <w:r>
              <w:t>2.9千米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≤12月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3100万元</w:t>
            </w:r>
          </w:p>
        </w:tc>
        <w:tc>
          <w:tcPr>
            <w:tcW w:w="1276" w:type="dxa"/>
            <w:vAlign w:val="center"/>
          </w:tcPr>
          <w:p>
            <w:pPr>
              <w:pStyle w:val="12"/>
            </w:pPr>
            <w:r>
              <w:t>根据资金预算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地价、水产行业、周边配套水平增长</w:t>
            </w:r>
          </w:p>
        </w:tc>
        <w:tc>
          <w:tcPr>
            <w:tcW w:w="2268" w:type="dxa"/>
            <w:vAlign w:val="center"/>
          </w:tcPr>
          <w:p>
            <w:pPr>
              <w:pStyle w:val="12"/>
            </w:pPr>
            <w:r>
              <w:t>≥80%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降低水环境污染，实现水资源的良性循环</w:t>
            </w:r>
          </w:p>
        </w:tc>
        <w:tc>
          <w:tcPr>
            <w:tcW w:w="5386" w:type="dxa"/>
            <w:vAlign w:val="center"/>
          </w:tcPr>
          <w:p>
            <w:pPr>
              <w:pStyle w:val="12"/>
            </w:pPr>
            <w:r>
              <w:t>改善区域性水环境污染，使污水实现资源化，回用于城市和工业，缓解北戴河新区水资源的紧缺状况</w:t>
            </w:r>
          </w:p>
        </w:tc>
        <w:tc>
          <w:tcPr>
            <w:tcW w:w="2268" w:type="dxa"/>
            <w:vAlign w:val="center"/>
          </w:tcPr>
          <w:p>
            <w:pPr>
              <w:pStyle w:val="12"/>
            </w:pPr>
            <w:r>
              <w:t>100%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周边居民满意</w:t>
            </w:r>
          </w:p>
        </w:tc>
        <w:tc>
          <w:tcPr>
            <w:tcW w:w="5386" w:type="dxa"/>
            <w:vAlign w:val="center"/>
          </w:tcPr>
          <w:p>
            <w:pPr>
              <w:pStyle w:val="12"/>
            </w:pPr>
            <w:r>
              <w:t>周边居民满意</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9、戴河口护岸加固工程资金绩效目标表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13031325P00880110979R</w:t>
            </w:r>
          </w:p>
        </w:tc>
        <w:tc>
          <w:tcPr>
            <w:tcW w:w="2835" w:type="dxa"/>
            <w:vAlign w:val="center"/>
          </w:tcPr>
          <w:p>
            <w:pPr>
              <w:pStyle w:val="10"/>
            </w:pPr>
            <w:r>
              <w:t>项目名称</w:t>
            </w:r>
          </w:p>
        </w:tc>
        <w:tc>
          <w:tcPr>
            <w:tcW w:w="6095" w:type="dxa"/>
            <w:gridSpan w:val="3"/>
            <w:vAlign w:val="center"/>
          </w:tcPr>
          <w:p>
            <w:pPr>
              <w:pStyle w:val="12"/>
            </w:pPr>
            <w:r>
              <w:t>戴河口护岸加固工程资金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23.10</w:t>
            </w:r>
          </w:p>
        </w:tc>
        <w:tc>
          <w:tcPr>
            <w:tcW w:w="2835" w:type="dxa"/>
            <w:vAlign w:val="center"/>
          </w:tcPr>
          <w:p>
            <w:pPr>
              <w:pStyle w:val="10"/>
            </w:pPr>
            <w:r>
              <w:t>其中：财政    资金</w:t>
            </w:r>
          </w:p>
        </w:tc>
        <w:tc>
          <w:tcPr>
            <w:tcW w:w="2551" w:type="dxa"/>
            <w:vAlign w:val="center"/>
          </w:tcPr>
          <w:p>
            <w:pPr>
              <w:pStyle w:val="12"/>
            </w:pPr>
            <w:r>
              <w:t>23.10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用于支付戴河口护岸加固工程款。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1.完成加固戴河口受损岸线工作。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加固受损岸线长度</w:t>
            </w:r>
          </w:p>
        </w:tc>
        <w:tc>
          <w:tcPr>
            <w:tcW w:w="5386" w:type="dxa"/>
            <w:vAlign w:val="center"/>
          </w:tcPr>
          <w:p>
            <w:pPr>
              <w:pStyle w:val="12"/>
            </w:pPr>
            <w:r>
              <w:t>加固受损岸线长度</w:t>
            </w:r>
          </w:p>
        </w:tc>
        <w:tc>
          <w:tcPr>
            <w:tcW w:w="2268" w:type="dxa"/>
            <w:vAlign w:val="center"/>
          </w:tcPr>
          <w:p>
            <w:pPr>
              <w:pStyle w:val="12"/>
            </w:pPr>
            <w:r>
              <w:t>60米</w:t>
            </w:r>
          </w:p>
        </w:tc>
        <w:tc>
          <w:tcPr>
            <w:tcW w:w="1276" w:type="dxa"/>
            <w:vAlign w:val="center"/>
          </w:tcPr>
          <w:p>
            <w:pPr>
              <w:pStyle w:val="12"/>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受损护岸修复完成情况</w:t>
            </w:r>
          </w:p>
        </w:tc>
        <w:tc>
          <w:tcPr>
            <w:tcW w:w="5386" w:type="dxa"/>
            <w:vAlign w:val="center"/>
          </w:tcPr>
          <w:p>
            <w:pPr>
              <w:pStyle w:val="12"/>
            </w:pPr>
            <w:r>
              <w:t>受损护岸修复完成情况</w:t>
            </w:r>
          </w:p>
        </w:tc>
        <w:tc>
          <w:tcPr>
            <w:tcW w:w="2268" w:type="dxa"/>
            <w:vAlign w:val="center"/>
          </w:tcPr>
          <w:p>
            <w:pPr>
              <w:pStyle w:val="12"/>
            </w:pPr>
            <w:r>
              <w:t>100%</w:t>
            </w:r>
          </w:p>
        </w:tc>
        <w:tc>
          <w:tcPr>
            <w:tcW w:w="1276" w:type="dxa"/>
            <w:vAlign w:val="center"/>
          </w:tcPr>
          <w:p>
            <w:pPr>
              <w:pStyle w:val="12"/>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2个月内完成</w:t>
            </w:r>
          </w:p>
        </w:tc>
        <w:tc>
          <w:tcPr>
            <w:tcW w:w="5386" w:type="dxa"/>
            <w:vAlign w:val="center"/>
          </w:tcPr>
          <w:p>
            <w:pPr>
              <w:pStyle w:val="12"/>
            </w:pPr>
            <w:r>
              <w:t>2个月内完成</w:t>
            </w:r>
          </w:p>
        </w:tc>
        <w:tc>
          <w:tcPr>
            <w:tcW w:w="2268" w:type="dxa"/>
            <w:vAlign w:val="center"/>
          </w:tcPr>
          <w:p>
            <w:pPr>
              <w:pStyle w:val="12"/>
            </w:pPr>
            <w:r>
              <w:t>≤2月</w:t>
            </w:r>
          </w:p>
        </w:tc>
        <w:tc>
          <w:tcPr>
            <w:tcW w:w="1276" w:type="dxa"/>
            <w:vAlign w:val="center"/>
          </w:tcPr>
          <w:p>
            <w:pPr>
              <w:pStyle w:val="12"/>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≤23.1万元</w:t>
            </w:r>
          </w:p>
        </w:tc>
        <w:tc>
          <w:tcPr>
            <w:tcW w:w="1276" w:type="dxa"/>
            <w:vAlign w:val="center"/>
          </w:tcPr>
          <w:p>
            <w:pPr>
              <w:pStyle w:val="12"/>
            </w:pPr>
            <w:r>
              <w:t>根据资金预算批复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恢复戴河口护岸原貌，完成加固</w:t>
            </w:r>
          </w:p>
        </w:tc>
        <w:tc>
          <w:tcPr>
            <w:tcW w:w="5386" w:type="dxa"/>
            <w:vAlign w:val="center"/>
          </w:tcPr>
          <w:p>
            <w:pPr>
              <w:pStyle w:val="12"/>
            </w:pPr>
            <w:r>
              <w:t>恢复戴河口护岸原貌，完成加固</w:t>
            </w:r>
          </w:p>
        </w:tc>
        <w:tc>
          <w:tcPr>
            <w:tcW w:w="2268" w:type="dxa"/>
            <w:vAlign w:val="center"/>
          </w:tcPr>
          <w:p>
            <w:pPr>
              <w:pStyle w:val="12"/>
            </w:pPr>
            <w:r>
              <w:t>100%</w:t>
            </w:r>
          </w:p>
        </w:tc>
        <w:tc>
          <w:tcPr>
            <w:tcW w:w="1276" w:type="dxa"/>
            <w:vAlign w:val="center"/>
          </w:tcPr>
          <w:p>
            <w:pPr>
              <w:pStyle w:val="12"/>
            </w:pPr>
            <w:r>
              <w:t>根据戴河口护岸加固方案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带动周边旅游业发展</w:t>
            </w:r>
          </w:p>
        </w:tc>
        <w:tc>
          <w:tcPr>
            <w:tcW w:w="5386" w:type="dxa"/>
            <w:vAlign w:val="center"/>
          </w:tcPr>
          <w:p>
            <w:pPr>
              <w:pStyle w:val="12"/>
            </w:pPr>
            <w:r>
              <w:t>带动周边旅游业发展</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周边居民满意</w:t>
            </w:r>
          </w:p>
        </w:tc>
        <w:tc>
          <w:tcPr>
            <w:tcW w:w="5386" w:type="dxa"/>
            <w:vAlign w:val="center"/>
          </w:tcPr>
          <w:p>
            <w:pPr>
              <w:pStyle w:val="12"/>
            </w:pPr>
            <w:r>
              <w:t>周边居民满意</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10、戴河口停车场拆除修复工程资金绩效目标表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13031325P00880110950H</w:t>
            </w:r>
          </w:p>
        </w:tc>
        <w:tc>
          <w:tcPr>
            <w:tcW w:w="2835" w:type="dxa"/>
            <w:vAlign w:val="center"/>
          </w:tcPr>
          <w:p>
            <w:pPr>
              <w:pStyle w:val="10"/>
            </w:pPr>
            <w:r>
              <w:t>项目名称</w:t>
            </w:r>
          </w:p>
        </w:tc>
        <w:tc>
          <w:tcPr>
            <w:tcW w:w="6095" w:type="dxa"/>
            <w:gridSpan w:val="3"/>
            <w:vAlign w:val="center"/>
          </w:tcPr>
          <w:p>
            <w:pPr>
              <w:pStyle w:val="12"/>
            </w:pPr>
            <w:r>
              <w:t>戴河口停车场拆除修复工程资金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用于支付戴河口停车场拆除修复工程款。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1.修复浆砌片石挡墙 、砖砌挡墙压顶、踏步、栏杆柱、门垛、绿化等</w:t>
            </w:r>
          </w:p>
          <w:p>
            <w:pPr>
              <w:pStyle w:val="12"/>
            </w:pPr>
            <w:r>
              <w:t>2.拆停车场除铁艺围挡 、凿除停车场地面、凿除挡墙及基础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拆除修复</w:t>
            </w:r>
          </w:p>
        </w:tc>
        <w:tc>
          <w:tcPr>
            <w:tcW w:w="5386" w:type="dxa"/>
            <w:vAlign w:val="center"/>
          </w:tcPr>
          <w:p>
            <w:pPr>
              <w:pStyle w:val="12"/>
            </w:pPr>
            <w:r>
              <w:t>停车场地面1650平方米，并进行修复绿化等</w:t>
            </w:r>
          </w:p>
        </w:tc>
        <w:tc>
          <w:tcPr>
            <w:tcW w:w="2268" w:type="dxa"/>
            <w:vAlign w:val="center"/>
          </w:tcPr>
          <w:p>
            <w:pPr>
              <w:pStyle w:val="12"/>
            </w:pPr>
            <w:r>
              <w:t>1650平方米</w:t>
            </w:r>
          </w:p>
        </w:tc>
        <w:tc>
          <w:tcPr>
            <w:tcW w:w="1276" w:type="dxa"/>
            <w:vAlign w:val="center"/>
          </w:tcPr>
          <w:p>
            <w:pPr>
              <w:pStyle w:val="12"/>
            </w:pPr>
            <w:r>
              <w:t>实际测量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6个月内完成</w:t>
            </w:r>
          </w:p>
        </w:tc>
        <w:tc>
          <w:tcPr>
            <w:tcW w:w="2268" w:type="dxa"/>
            <w:vAlign w:val="center"/>
          </w:tcPr>
          <w:p>
            <w:pPr>
              <w:pStyle w:val="12"/>
            </w:pPr>
            <w:r>
              <w:t>≤6月</w:t>
            </w:r>
          </w:p>
        </w:tc>
        <w:tc>
          <w:tcPr>
            <w:tcW w:w="1276" w:type="dxa"/>
            <w:vAlign w:val="center"/>
          </w:tcPr>
          <w:p>
            <w:pPr>
              <w:pStyle w:val="12"/>
            </w:pPr>
            <w:r>
              <w:t>施工合同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≤60万元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带动周边项目规范用海</w:t>
            </w:r>
          </w:p>
        </w:tc>
        <w:tc>
          <w:tcPr>
            <w:tcW w:w="5386" w:type="dxa"/>
            <w:vAlign w:val="center"/>
          </w:tcPr>
          <w:p>
            <w:pPr>
              <w:pStyle w:val="12"/>
            </w:pPr>
            <w:r>
              <w:t>带动周边项目规范用海</w:t>
            </w:r>
          </w:p>
        </w:tc>
        <w:tc>
          <w:tcPr>
            <w:tcW w:w="2268" w:type="dxa"/>
            <w:vAlign w:val="center"/>
          </w:tcPr>
          <w:p>
            <w:pPr>
              <w:pStyle w:val="12"/>
            </w:pPr>
            <w:r>
              <w:t>100%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增加自然岸线</w:t>
            </w:r>
          </w:p>
        </w:tc>
        <w:tc>
          <w:tcPr>
            <w:tcW w:w="5386" w:type="dxa"/>
            <w:vAlign w:val="center"/>
          </w:tcPr>
          <w:p>
            <w:pPr>
              <w:pStyle w:val="12"/>
            </w:pPr>
            <w:r>
              <w:t>增加自然岸线</w:t>
            </w:r>
          </w:p>
        </w:tc>
        <w:tc>
          <w:tcPr>
            <w:tcW w:w="2268" w:type="dxa"/>
            <w:vAlign w:val="center"/>
          </w:tcPr>
          <w:p>
            <w:pPr>
              <w:pStyle w:val="12"/>
            </w:pPr>
            <w:r>
              <w:t>60米</w:t>
            </w:r>
          </w:p>
        </w:tc>
        <w:tc>
          <w:tcPr>
            <w:tcW w:w="1276" w:type="dxa"/>
            <w:vAlign w:val="center"/>
          </w:tcPr>
          <w:p>
            <w:pPr>
              <w:pStyle w:val="12"/>
            </w:pPr>
            <w:r>
              <w:t>实际测量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增加沙滩面积，带来更多的游客。</w:t>
            </w:r>
          </w:p>
        </w:tc>
        <w:tc>
          <w:tcPr>
            <w:tcW w:w="5386" w:type="dxa"/>
            <w:vAlign w:val="center"/>
          </w:tcPr>
          <w:p>
            <w:pPr>
              <w:pStyle w:val="12"/>
            </w:pPr>
            <w:r>
              <w:t>增加沙滩面积，带来更多的游客。增加旅游收入</w:t>
            </w:r>
          </w:p>
        </w:tc>
        <w:tc>
          <w:tcPr>
            <w:tcW w:w="2268" w:type="dxa"/>
            <w:vAlign w:val="center"/>
          </w:tcPr>
          <w:p>
            <w:pPr>
              <w:pStyle w:val="12"/>
            </w:pPr>
            <w:r>
              <w:t>≥8分</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周边居民满意</w:t>
            </w:r>
          </w:p>
        </w:tc>
        <w:tc>
          <w:tcPr>
            <w:tcW w:w="5386" w:type="dxa"/>
            <w:vAlign w:val="center"/>
          </w:tcPr>
          <w:p>
            <w:pPr>
              <w:pStyle w:val="12"/>
            </w:pPr>
            <w:r>
              <w:t>周边居民满意</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11、秦财建【2024】678 号 提前下达2025年成品油价格调整对渔业补助资金【2024年度】绩效目标表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13031325P008801111464</w:t>
            </w:r>
          </w:p>
        </w:tc>
        <w:tc>
          <w:tcPr>
            <w:tcW w:w="2835" w:type="dxa"/>
            <w:vAlign w:val="center"/>
          </w:tcPr>
          <w:p>
            <w:pPr>
              <w:pStyle w:val="10"/>
            </w:pPr>
            <w:r>
              <w:t>项目名称</w:t>
            </w:r>
          </w:p>
        </w:tc>
        <w:tc>
          <w:tcPr>
            <w:tcW w:w="6095" w:type="dxa"/>
            <w:gridSpan w:val="3"/>
            <w:vAlign w:val="center"/>
          </w:tcPr>
          <w:p>
            <w:pPr>
              <w:pStyle w:val="12"/>
            </w:pPr>
            <w:r>
              <w:t>秦财建【2024】678 号 提前下达2025年成品油价格调整对渔业补助资金【2024年度】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1860.00</w:t>
            </w:r>
          </w:p>
        </w:tc>
        <w:tc>
          <w:tcPr>
            <w:tcW w:w="2835" w:type="dxa"/>
            <w:vAlign w:val="center"/>
          </w:tcPr>
          <w:p>
            <w:pPr>
              <w:pStyle w:val="10"/>
            </w:pPr>
            <w:r>
              <w:t>其中：财政    资金</w:t>
            </w:r>
          </w:p>
        </w:tc>
        <w:tc>
          <w:tcPr>
            <w:tcW w:w="2551" w:type="dxa"/>
            <w:vAlign w:val="center"/>
          </w:tcPr>
          <w:p>
            <w:pPr>
              <w:pStyle w:val="12"/>
            </w:pPr>
            <w:r>
              <w:t>1860.00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用于支付2025年现代化海洋牧场建设提升项目、2025年渔业高质量发展示范项目、牙鲆现代渔业产业园项目建设补助资金。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1.完成2025年现代化海洋牧场建设提升项目。</w:t>
            </w:r>
          </w:p>
          <w:p>
            <w:pPr>
              <w:pStyle w:val="12"/>
            </w:pPr>
            <w:r>
              <w:t>2.完成2025年渔业高质量发展示范项目。</w:t>
            </w:r>
          </w:p>
          <w:p>
            <w:pPr>
              <w:pStyle w:val="12"/>
            </w:pPr>
            <w:r>
              <w:t>3.完成牙鲆现代渔业产业园项目建设。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建设牙鲆现代渔业产业园项目1个</w:t>
            </w:r>
          </w:p>
        </w:tc>
        <w:tc>
          <w:tcPr>
            <w:tcW w:w="5386" w:type="dxa"/>
            <w:vAlign w:val="center"/>
          </w:tcPr>
          <w:p>
            <w:pPr>
              <w:pStyle w:val="12"/>
            </w:pPr>
            <w:r>
              <w:t>建设牙鲆现代渔业产业园项目1个</w:t>
            </w:r>
          </w:p>
        </w:tc>
        <w:tc>
          <w:tcPr>
            <w:tcW w:w="2268" w:type="dxa"/>
            <w:vAlign w:val="center"/>
          </w:tcPr>
          <w:p>
            <w:pPr>
              <w:pStyle w:val="12"/>
            </w:pPr>
            <w:r>
              <w:t>1个</w:t>
            </w:r>
          </w:p>
        </w:tc>
        <w:tc>
          <w:tcPr>
            <w:tcW w:w="1276" w:type="dxa"/>
            <w:vAlign w:val="center"/>
          </w:tcPr>
          <w:p>
            <w:pPr>
              <w:pStyle w:val="12"/>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建设智能化多功能综合养护平台1座</w:t>
            </w:r>
          </w:p>
        </w:tc>
        <w:tc>
          <w:tcPr>
            <w:tcW w:w="5386" w:type="dxa"/>
            <w:vAlign w:val="center"/>
          </w:tcPr>
          <w:p>
            <w:pPr>
              <w:pStyle w:val="12"/>
            </w:pPr>
            <w:r>
              <w:t>建设智能化多功能综合养护平台1座</w:t>
            </w:r>
          </w:p>
        </w:tc>
        <w:tc>
          <w:tcPr>
            <w:tcW w:w="2268" w:type="dxa"/>
            <w:vAlign w:val="center"/>
          </w:tcPr>
          <w:p>
            <w:pPr>
              <w:pStyle w:val="12"/>
            </w:pPr>
            <w:r>
              <w:t>1座</w:t>
            </w:r>
          </w:p>
        </w:tc>
        <w:tc>
          <w:tcPr>
            <w:tcW w:w="1276" w:type="dxa"/>
            <w:vAlign w:val="center"/>
          </w:tcPr>
          <w:p>
            <w:pPr>
              <w:pStyle w:val="12"/>
            </w:pPr>
            <w:r>
              <w:t>项目储备申报书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建设深远海养殖网箱1座</w:t>
            </w:r>
          </w:p>
        </w:tc>
        <w:tc>
          <w:tcPr>
            <w:tcW w:w="5386" w:type="dxa"/>
            <w:vAlign w:val="center"/>
          </w:tcPr>
          <w:p>
            <w:pPr>
              <w:pStyle w:val="12"/>
            </w:pPr>
            <w:r>
              <w:t>建设深远海养殖网箱1座</w:t>
            </w:r>
          </w:p>
        </w:tc>
        <w:tc>
          <w:tcPr>
            <w:tcW w:w="2268" w:type="dxa"/>
            <w:vAlign w:val="center"/>
          </w:tcPr>
          <w:p>
            <w:pPr>
              <w:pStyle w:val="12"/>
            </w:pPr>
            <w:r>
              <w:t>1座</w:t>
            </w:r>
          </w:p>
        </w:tc>
        <w:tc>
          <w:tcPr>
            <w:tcW w:w="1276" w:type="dxa"/>
            <w:vAlign w:val="center"/>
          </w:tcPr>
          <w:p>
            <w:pPr>
              <w:pStyle w:val="12"/>
            </w:pPr>
            <w:r>
              <w:t>项目储备申报书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2年内完成</w:t>
            </w:r>
          </w:p>
        </w:tc>
        <w:tc>
          <w:tcPr>
            <w:tcW w:w="5386" w:type="dxa"/>
            <w:vAlign w:val="center"/>
          </w:tcPr>
          <w:p>
            <w:pPr>
              <w:pStyle w:val="12"/>
            </w:pPr>
            <w:r>
              <w:t>2年内完成</w:t>
            </w:r>
          </w:p>
        </w:tc>
        <w:tc>
          <w:tcPr>
            <w:tcW w:w="2268" w:type="dxa"/>
            <w:vAlign w:val="center"/>
          </w:tcPr>
          <w:p>
            <w:pPr>
              <w:pStyle w:val="12"/>
            </w:pPr>
            <w:r>
              <w:t>≤2年</w:t>
            </w:r>
          </w:p>
        </w:tc>
        <w:tc>
          <w:tcPr>
            <w:tcW w:w="1276" w:type="dxa"/>
            <w:vAlign w:val="center"/>
          </w:tcPr>
          <w:p>
            <w:pPr>
              <w:pStyle w:val="12"/>
            </w:pPr>
            <w:r>
              <w:t>项目储备申报书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≤1860年</w:t>
            </w:r>
          </w:p>
        </w:tc>
        <w:tc>
          <w:tcPr>
            <w:tcW w:w="1276" w:type="dxa"/>
            <w:vAlign w:val="center"/>
          </w:tcPr>
          <w:p>
            <w:pPr>
              <w:pStyle w:val="12"/>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实现渔业经济总产值</w:t>
            </w:r>
          </w:p>
        </w:tc>
        <w:tc>
          <w:tcPr>
            <w:tcW w:w="5386" w:type="dxa"/>
            <w:vAlign w:val="center"/>
          </w:tcPr>
          <w:p>
            <w:pPr>
              <w:pStyle w:val="12"/>
            </w:pPr>
            <w:r>
              <w:t>实现渔业经济总产值</w:t>
            </w:r>
          </w:p>
        </w:tc>
        <w:tc>
          <w:tcPr>
            <w:tcW w:w="2268" w:type="dxa"/>
            <w:vAlign w:val="center"/>
          </w:tcPr>
          <w:p>
            <w:pPr>
              <w:pStyle w:val="12"/>
            </w:pPr>
            <w:r>
              <w:t>≥2000万</w:t>
            </w:r>
          </w:p>
        </w:tc>
        <w:tc>
          <w:tcPr>
            <w:tcW w:w="1276" w:type="dxa"/>
            <w:vAlign w:val="center"/>
          </w:tcPr>
          <w:p>
            <w:pPr>
              <w:pStyle w:val="12"/>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科学规划和管理减少尾水的排放量，保护海洋环境。</w:t>
            </w:r>
          </w:p>
        </w:tc>
        <w:tc>
          <w:tcPr>
            <w:tcW w:w="5386" w:type="dxa"/>
            <w:vAlign w:val="center"/>
          </w:tcPr>
          <w:p>
            <w:pPr>
              <w:pStyle w:val="12"/>
            </w:pPr>
            <w:r>
              <w:t>科学规划和管理减少尾水的排放量，保护海洋环境</w:t>
            </w:r>
          </w:p>
        </w:tc>
        <w:tc>
          <w:tcPr>
            <w:tcW w:w="2268" w:type="dxa"/>
            <w:vAlign w:val="center"/>
          </w:tcPr>
          <w:p>
            <w:pPr>
              <w:pStyle w:val="12"/>
            </w:pPr>
            <w:r>
              <w:t>100%</w:t>
            </w:r>
          </w:p>
        </w:tc>
        <w:tc>
          <w:tcPr>
            <w:tcW w:w="1276" w:type="dxa"/>
            <w:vAlign w:val="center"/>
          </w:tcPr>
          <w:p>
            <w:pPr>
              <w:pStyle w:val="12"/>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转变传统养殖模式，促进渔业持续健康发展</w:t>
            </w:r>
          </w:p>
        </w:tc>
        <w:tc>
          <w:tcPr>
            <w:tcW w:w="5386" w:type="dxa"/>
            <w:vAlign w:val="center"/>
          </w:tcPr>
          <w:p>
            <w:pPr>
              <w:pStyle w:val="12"/>
            </w:pPr>
            <w:r>
              <w:t>转变传统养殖模式，促进渔业持续健康发展</w:t>
            </w:r>
          </w:p>
        </w:tc>
        <w:tc>
          <w:tcPr>
            <w:tcW w:w="2268" w:type="dxa"/>
            <w:vAlign w:val="center"/>
          </w:tcPr>
          <w:p>
            <w:pPr>
              <w:pStyle w:val="12"/>
            </w:pPr>
            <w:r>
              <w:t>100%</w:t>
            </w:r>
          </w:p>
        </w:tc>
        <w:tc>
          <w:tcPr>
            <w:tcW w:w="1276" w:type="dxa"/>
            <w:vAlign w:val="center"/>
          </w:tcPr>
          <w:p>
            <w:pPr>
              <w:pStyle w:val="12"/>
            </w:pPr>
            <w:r>
              <w:t>项目储备建设方案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w:t>
            </w:r>
          </w:p>
        </w:tc>
        <w:tc>
          <w:tcPr>
            <w:tcW w:w="5386" w:type="dxa"/>
            <w:vAlign w:val="center"/>
          </w:tcPr>
          <w:p>
            <w:pPr>
              <w:pStyle w:val="12"/>
            </w:pPr>
            <w:r>
              <w:t>企业满意</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12、秦财农【2024】684号 提前下达2025年省级农业产业发展资金绩效目标表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13031325P00880111147P</w:t>
            </w:r>
          </w:p>
        </w:tc>
        <w:tc>
          <w:tcPr>
            <w:tcW w:w="2835" w:type="dxa"/>
            <w:vAlign w:val="center"/>
          </w:tcPr>
          <w:p>
            <w:pPr>
              <w:pStyle w:val="10"/>
            </w:pPr>
            <w:r>
              <w:t>项目名称</w:t>
            </w:r>
          </w:p>
        </w:tc>
        <w:tc>
          <w:tcPr>
            <w:tcW w:w="6095" w:type="dxa"/>
            <w:gridSpan w:val="3"/>
            <w:vAlign w:val="center"/>
          </w:tcPr>
          <w:p>
            <w:pPr>
              <w:pStyle w:val="12"/>
            </w:pPr>
            <w:r>
              <w:t>秦财农【2024】684号 提前下达2025年省级农业产业发展资金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用于支付2025年省级水产种质资源保护区项目建设补助资金。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1.完成南戴河海域国家级水产种质资源保护区增殖放流和渔业资源环境调查工作。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增殖放流魁蚶苗种</w:t>
            </w:r>
          </w:p>
        </w:tc>
        <w:tc>
          <w:tcPr>
            <w:tcW w:w="5386" w:type="dxa"/>
            <w:vAlign w:val="center"/>
          </w:tcPr>
          <w:p>
            <w:pPr>
              <w:pStyle w:val="12"/>
            </w:pPr>
            <w:r>
              <w:t>增殖放流魁蚶苗种</w:t>
            </w:r>
          </w:p>
        </w:tc>
        <w:tc>
          <w:tcPr>
            <w:tcW w:w="2268" w:type="dxa"/>
            <w:vAlign w:val="center"/>
          </w:tcPr>
          <w:p>
            <w:pPr>
              <w:pStyle w:val="12"/>
            </w:pPr>
            <w:r>
              <w:t>2600公斤</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苗种成活率</w:t>
            </w:r>
          </w:p>
        </w:tc>
        <w:tc>
          <w:tcPr>
            <w:tcW w:w="5386" w:type="dxa"/>
            <w:vAlign w:val="center"/>
          </w:tcPr>
          <w:p>
            <w:pPr>
              <w:pStyle w:val="12"/>
            </w:pPr>
            <w:r>
              <w:t>苗种成活率</w:t>
            </w:r>
          </w:p>
        </w:tc>
        <w:tc>
          <w:tcPr>
            <w:tcW w:w="2268" w:type="dxa"/>
            <w:vAlign w:val="center"/>
          </w:tcPr>
          <w:p>
            <w:pPr>
              <w:pStyle w:val="12"/>
            </w:pPr>
            <w:r>
              <w:t>≥90%</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1年内完成</w:t>
            </w:r>
          </w:p>
        </w:tc>
        <w:tc>
          <w:tcPr>
            <w:tcW w:w="5386" w:type="dxa"/>
            <w:vAlign w:val="center"/>
          </w:tcPr>
          <w:p>
            <w:pPr>
              <w:pStyle w:val="12"/>
            </w:pPr>
            <w:r>
              <w:t>1年内完成</w:t>
            </w:r>
          </w:p>
        </w:tc>
        <w:tc>
          <w:tcPr>
            <w:tcW w:w="2268" w:type="dxa"/>
            <w:vAlign w:val="center"/>
          </w:tcPr>
          <w:p>
            <w:pPr>
              <w:pStyle w:val="12"/>
            </w:pPr>
            <w:r>
              <w:t>≤12月</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≤25万元</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提高环保意识</w:t>
            </w:r>
          </w:p>
        </w:tc>
        <w:tc>
          <w:tcPr>
            <w:tcW w:w="5386" w:type="dxa"/>
            <w:vAlign w:val="center"/>
          </w:tcPr>
          <w:p>
            <w:pPr>
              <w:pStyle w:val="12"/>
            </w:pPr>
            <w:r>
              <w:t>提高环保意识</w:t>
            </w:r>
          </w:p>
        </w:tc>
        <w:tc>
          <w:tcPr>
            <w:tcW w:w="2268" w:type="dxa"/>
            <w:vAlign w:val="center"/>
          </w:tcPr>
          <w:p>
            <w:pPr>
              <w:pStyle w:val="12"/>
            </w:pPr>
            <w:r>
              <w:t>≤100%</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有助于优化保护区内资源结构</w:t>
            </w:r>
          </w:p>
        </w:tc>
        <w:tc>
          <w:tcPr>
            <w:tcW w:w="5386" w:type="dxa"/>
            <w:vAlign w:val="center"/>
          </w:tcPr>
          <w:p>
            <w:pPr>
              <w:pStyle w:val="12"/>
            </w:pPr>
            <w:r>
              <w:t>有助于优化保护区内资源结构</w:t>
            </w:r>
          </w:p>
        </w:tc>
        <w:tc>
          <w:tcPr>
            <w:tcW w:w="2268" w:type="dxa"/>
            <w:vAlign w:val="center"/>
          </w:tcPr>
          <w:p>
            <w:pPr>
              <w:pStyle w:val="12"/>
            </w:pPr>
            <w:r>
              <w:t>≤100%</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修复海洋生态环境，为海域渔业可持续发展提供支撑</w:t>
            </w:r>
          </w:p>
        </w:tc>
        <w:tc>
          <w:tcPr>
            <w:tcW w:w="5386" w:type="dxa"/>
            <w:vAlign w:val="center"/>
          </w:tcPr>
          <w:p>
            <w:pPr>
              <w:pStyle w:val="12"/>
            </w:pPr>
            <w:r>
              <w:t>修复海洋生态环境，为海域渔业可持续发展提供支撑</w:t>
            </w:r>
          </w:p>
        </w:tc>
        <w:tc>
          <w:tcPr>
            <w:tcW w:w="2268" w:type="dxa"/>
            <w:vAlign w:val="center"/>
          </w:tcPr>
          <w:p>
            <w:pPr>
              <w:pStyle w:val="12"/>
            </w:pPr>
            <w:r>
              <w:t>≤100%</w:t>
            </w:r>
          </w:p>
        </w:tc>
        <w:tc>
          <w:tcPr>
            <w:tcW w:w="1276" w:type="dxa"/>
            <w:vAlign w:val="center"/>
          </w:tcPr>
          <w:p>
            <w:pPr>
              <w:pStyle w:val="12"/>
            </w:pPr>
            <w:r>
              <w:t>根据储备申报方案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涉渔工作者</w:t>
            </w:r>
          </w:p>
        </w:tc>
        <w:tc>
          <w:tcPr>
            <w:tcW w:w="5386" w:type="dxa"/>
            <w:vAlign w:val="center"/>
          </w:tcPr>
          <w:p>
            <w:pPr>
              <w:pStyle w:val="12"/>
            </w:pPr>
            <w:r>
              <w:t>涉渔工作者</w:t>
            </w:r>
          </w:p>
        </w:tc>
        <w:tc>
          <w:tcPr>
            <w:tcW w:w="2268" w:type="dxa"/>
            <w:vAlign w:val="center"/>
          </w:tcPr>
          <w:p>
            <w:pPr>
              <w:pStyle w:val="12"/>
            </w:pPr>
            <w:r>
              <w:t>≤100%</w:t>
            </w:r>
          </w:p>
        </w:tc>
        <w:tc>
          <w:tcPr>
            <w:tcW w:w="1276" w:type="dxa"/>
            <w:vAlign w:val="center"/>
          </w:tcPr>
          <w:p>
            <w:pPr>
              <w:pStyle w:val="12"/>
            </w:pPr>
            <w:r>
              <w:t>根据储备申报方案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13、秦皇岛北戴河新区第二污水处理厂绩效目标表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13031325P00880410321T</w:t>
            </w:r>
          </w:p>
        </w:tc>
        <w:tc>
          <w:tcPr>
            <w:tcW w:w="2835" w:type="dxa"/>
            <w:vAlign w:val="center"/>
          </w:tcPr>
          <w:p>
            <w:pPr>
              <w:pStyle w:val="10"/>
            </w:pPr>
            <w:r>
              <w:t>项目名称</w:t>
            </w:r>
          </w:p>
        </w:tc>
        <w:tc>
          <w:tcPr>
            <w:tcW w:w="6095" w:type="dxa"/>
            <w:gridSpan w:val="3"/>
            <w:vAlign w:val="center"/>
          </w:tcPr>
          <w:p>
            <w:pPr>
              <w:pStyle w:val="12"/>
            </w:pPr>
            <w:r>
              <w:t>秦皇岛北戴河新区第二污水处理厂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1900.00</w:t>
            </w:r>
          </w:p>
        </w:tc>
        <w:tc>
          <w:tcPr>
            <w:tcW w:w="2835" w:type="dxa"/>
            <w:vAlign w:val="center"/>
          </w:tcPr>
          <w:p>
            <w:pPr>
              <w:pStyle w:val="10"/>
            </w:pPr>
            <w:r>
              <w:t>其中：财政    资金</w:t>
            </w:r>
          </w:p>
        </w:tc>
        <w:tc>
          <w:tcPr>
            <w:tcW w:w="2551" w:type="dxa"/>
            <w:vAlign w:val="center"/>
          </w:tcPr>
          <w:p>
            <w:pPr>
              <w:pStyle w:val="12"/>
            </w:pPr>
            <w:r>
              <w:t>1900.00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用于支付秦皇岛北戴河新区第二污水处理厂工程款。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1.改善区域性水环境污染，同时使污水实现资源化，回用于城市和工业，缓解北戴河新区水资源的紧缺状况，促进经济、生态环境同步发展。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厂外污水收集主干管</w:t>
            </w:r>
          </w:p>
        </w:tc>
        <w:tc>
          <w:tcPr>
            <w:tcW w:w="5386" w:type="dxa"/>
            <w:vAlign w:val="center"/>
          </w:tcPr>
          <w:p>
            <w:pPr>
              <w:pStyle w:val="12"/>
            </w:pPr>
            <w:r>
              <w:t>厂外污水收集主干管2.9km</w:t>
            </w:r>
          </w:p>
        </w:tc>
        <w:tc>
          <w:tcPr>
            <w:tcW w:w="2268" w:type="dxa"/>
            <w:vAlign w:val="center"/>
          </w:tcPr>
          <w:p>
            <w:pPr>
              <w:pStyle w:val="12"/>
            </w:pPr>
            <w:r>
              <w:t>2.9千米</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验收记录及竣工验收报告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项目建设期（月）</w:t>
            </w:r>
          </w:p>
        </w:tc>
        <w:tc>
          <w:tcPr>
            <w:tcW w:w="5386" w:type="dxa"/>
            <w:vAlign w:val="center"/>
          </w:tcPr>
          <w:p>
            <w:pPr>
              <w:pStyle w:val="12"/>
            </w:pPr>
            <w:r>
              <w:t>项目建设期（月）</w:t>
            </w:r>
          </w:p>
        </w:tc>
        <w:tc>
          <w:tcPr>
            <w:tcW w:w="2268" w:type="dxa"/>
            <w:vAlign w:val="center"/>
          </w:tcPr>
          <w:p>
            <w:pPr>
              <w:pStyle w:val="12"/>
            </w:pPr>
            <w:r>
              <w:t>≤12月</w:t>
            </w:r>
          </w:p>
        </w:tc>
        <w:tc>
          <w:tcPr>
            <w:tcW w:w="1276" w:type="dxa"/>
            <w:vAlign w:val="center"/>
          </w:tcPr>
          <w:p>
            <w:pPr>
              <w:pStyle w:val="12"/>
            </w:pPr>
            <w:r>
              <w:t>开工令及竣工验收报告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1900万元</w:t>
            </w:r>
          </w:p>
        </w:tc>
        <w:tc>
          <w:tcPr>
            <w:tcW w:w="1276" w:type="dxa"/>
            <w:vAlign w:val="center"/>
          </w:tcPr>
          <w:p>
            <w:pPr>
              <w:pStyle w:val="12"/>
            </w:pPr>
            <w:r>
              <w:t>根据资金预算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带动项目区域地段经济的发展</w:t>
            </w:r>
          </w:p>
        </w:tc>
        <w:tc>
          <w:tcPr>
            <w:tcW w:w="5386" w:type="dxa"/>
            <w:vAlign w:val="center"/>
          </w:tcPr>
          <w:p>
            <w:pPr>
              <w:pStyle w:val="12"/>
            </w:pPr>
            <w:r>
              <w:t>地价、水产行业、周边配套水平增长</w:t>
            </w:r>
          </w:p>
        </w:tc>
        <w:tc>
          <w:tcPr>
            <w:tcW w:w="2268" w:type="dxa"/>
            <w:vAlign w:val="center"/>
          </w:tcPr>
          <w:p>
            <w:pPr>
              <w:pStyle w:val="12"/>
            </w:pPr>
            <w:r>
              <w:t>≥80%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降低水环境污染，实现水资源的良性循环</w:t>
            </w:r>
          </w:p>
        </w:tc>
        <w:tc>
          <w:tcPr>
            <w:tcW w:w="5386" w:type="dxa"/>
            <w:vAlign w:val="center"/>
          </w:tcPr>
          <w:p>
            <w:pPr>
              <w:pStyle w:val="12"/>
            </w:pPr>
            <w:r>
              <w:t>改善区域性水环境污染，使污水实现资源化，回用于城市和工业，缓解北戴河新区水资源的紧缺状况</w:t>
            </w:r>
          </w:p>
        </w:tc>
        <w:tc>
          <w:tcPr>
            <w:tcW w:w="2268" w:type="dxa"/>
            <w:vAlign w:val="center"/>
          </w:tcPr>
          <w:p>
            <w:pPr>
              <w:pStyle w:val="12"/>
            </w:pPr>
            <w:r>
              <w:t>100%</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项目投入运营年限（年）</w:t>
            </w:r>
          </w:p>
        </w:tc>
        <w:tc>
          <w:tcPr>
            <w:tcW w:w="5386" w:type="dxa"/>
            <w:vAlign w:val="center"/>
          </w:tcPr>
          <w:p>
            <w:pPr>
              <w:pStyle w:val="12"/>
            </w:pPr>
            <w:r>
              <w:t>项目投入运营年限（年）</w:t>
            </w:r>
          </w:p>
        </w:tc>
        <w:tc>
          <w:tcPr>
            <w:tcW w:w="2268" w:type="dxa"/>
            <w:vAlign w:val="center"/>
          </w:tcPr>
          <w:p>
            <w:pPr>
              <w:pStyle w:val="12"/>
            </w:pPr>
            <w:r>
              <w:t>≥20年</w:t>
            </w:r>
          </w:p>
        </w:tc>
        <w:tc>
          <w:tcPr>
            <w:tcW w:w="1276" w:type="dxa"/>
            <w:vAlign w:val="center"/>
          </w:tcPr>
          <w:p>
            <w:pPr>
              <w:pStyle w:val="12"/>
            </w:pPr>
            <w:r>
              <w:t>居民及政府相关人员访谈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周边居民满意</w:t>
            </w:r>
          </w:p>
        </w:tc>
        <w:tc>
          <w:tcPr>
            <w:tcW w:w="5386" w:type="dxa"/>
            <w:vAlign w:val="center"/>
          </w:tcPr>
          <w:p>
            <w:pPr>
              <w:pStyle w:val="12"/>
            </w:pPr>
            <w:r>
              <w:t>周边居民满意</w:t>
            </w:r>
          </w:p>
        </w:tc>
        <w:tc>
          <w:tcPr>
            <w:tcW w:w="2268" w:type="dxa"/>
            <w:vAlign w:val="center"/>
          </w:tcPr>
          <w:p>
            <w:pPr>
              <w:pStyle w:val="12"/>
            </w:pPr>
            <w:r>
              <w:t>≥90%</w:t>
            </w:r>
          </w:p>
        </w:tc>
        <w:tc>
          <w:tcPr>
            <w:tcW w:w="1276" w:type="dxa"/>
            <w:vAlign w:val="center"/>
          </w:tcPr>
          <w:p>
            <w:pPr>
              <w:pStyle w:val="12"/>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14、秦皇岛北戴河新区开放式养殖用海（南区）海域使用论证经费绩效目标表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13031325P008801109225</w:t>
            </w:r>
          </w:p>
        </w:tc>
        <w:tc>
          <w:tcPr>
            <w:tcW w:w="2835" w:type="dxa"/>
            <w:vAlign w:val="center"/>
          </w:tcPr>
          <w:p>
            <w:pPr>
              <w:pStyle w:val="10"/>
            </w:pPr>
            <w:r>
              <w:t>项目名称</w:t>
            </w:r>
          </w:p>
        </w:tc>
        <w:tc>
          <w:tcPr>
            <w:tcW w:w="6095" w:type="dxa"/>
            <w:gridSpan w:val="3"/>
            <w:vAlign w:val="center"/>
          </w:tcPr>
          <w:p>
            <w:pPr>
              <w:pStyle w:val="12"/>
            </w:pPr>
            <w:r>
              <w:t>秦皇岛北戴河新区开放式养殖用海（南区）海域使用论证经费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用于支付秦皇岛北戴河新区开放式养殖用海（南区）海域使用论证报告编制费。</w:t>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1.完成秦皇岛北戴河新区开放式养殖用海（南区）海域使用论证报告编制工作。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完成海域使用论证报告</w:t>
            </w:r>
          </w:p>
        </w:tc>
        <w:tc>
          <w:tcPr>
            <w:tcW w:w="5386" w:type="dxa"/>
            <w:vAlign w:val="center"/>
          </w:tcPr>
          <w:p>
            <w:pPr>
              <w:pStyle w:val="12"/>
            </w:pPr>
            <w:r>
              <w:t>完成海域使用论证报告</w:t>
            </w:r>
          </w:p>
        </w:tc>
        <w:tc>
          <w:tcPr>
            <w:tcW w:w="2268" w:type="dxa"/>
            <w:vAlign w:val="center"/>
          </w:tcPr>
          <w:p>
            <w:pPr>
              <w:pStyle w:val="12"/>
            </w:pPr>
            <w:r>
              <w:t>1份</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成果质量</w:t>
            </w:r>
          </w:p>
        </w:tc>
        <w:tc>
          <w:tcPr>
            <w:tcW w:w="5386" w:type="dxa"/>
            <w:vAlign w:val="center"/>
          </w:tcPr>
          <w:p>
            <w:pPr>
              <w:pStyle w:val="12"/>
            </w:pPr>
            <w:r>
              <w:t>研究成果符合项目要求</w:t>
            </w:r>
          </w:p>
        </w:tc>
        <w:tc>
          <w:tcPr>
            <w:tcW w:w="2268" w:type="dxa"/>
            <w:vAlign w:val="center"/>
          </w:tcPr>
          <w:p>
            <w:pPr>
              <w:pStyle w:val="12"/>
            </w:pPr>
            <w:r>
              <w:t>通过专家评审</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成果提交</w:t>
            </w:r>
          </w:p>
        </w:tc>
        <w:tc>
          <w:tcPr>
            <w:tcW w:w="5386" w:type="dxa"/>
            <w:vAlign w:val="center"/>
          </w:tcPr>
          <w:p>
            <w:pPr>
              <w:pStyle w:val="12"/>
            </w:pPr>
            <w:r>
              <w:t>9月30日之前完成</w:t>
            </w:r>
          </w:p>
        </w:tc>
        <w:tc>
          <w:tcPr>
            <w:tcW w:w="2268" w:type="dxa"/>
            <w:vAlign w:val="center"/>
          </w:tcPr>
          <w:p>
            <w:pPr>
              <w:pStyle w:val="12"/>
            </w:pPr>
            <w:r>
              <w:t>≥9月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≤50万元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论证海域的养殖开发利用</w:t>
            </w:r>
          </w:p>
        </w:tc>
        <w:tc>
          <w:tcPr>
            <w:tcW w:w="5386" w:type="dxa"/>
            <w:vAlign w:val="center"/>
          </w:tcPr>
          <w:p>
            <w:pPr>
              <w:pStyle w:val="12"/>
            </w:pPr>
            <w:r>
              <w:t>论证海域养殖项目海域使用金收入</w:t>
            </w:r>
          </w:p>
        </w:tc>
        <w:tc>
          <w:tcPr>
            <w:tcW w:w="2268" w:type="dxa"/>
            <w:vAlign w:val="center"/>
          </w:tcPr>
          <w:p>
            <w:pPr>
              <w:pStyle w:val="12"/>
            </w:pPr>
            <w:r>
              <w:t>实际收入</w:t>
            </w:r>
          </w:p>
        </w:tc>
        <w:tc>
          <w:tcPr>
            <w:tcW w:w="1276" w:type="dxa"/>
            <w:vAlign w:val="center"/>
          </w:tcPr>
          <w:p>
            <w:pPr>
              <w:pStyle w:val="12"/>
            </w:pPr>
            <w:r>
              <w:t>海域使用金统计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用海管理技术支撑</w:t>
            </w:r>
          </w:p>
        </w:tc>
        <w:tc>
          <w:tcPr>
            <w:tcW w:w="5386" w:type="dxa"/>
            <w:vAlign w:val="center"/>
          </w:tcPr>
          <w:p>
            <w:pPr>
              <w:pStyle w:val="12"/>
            </w:pPr>
            <w:r>
              <w:t>做好用海管理技术支撑工作</w:t>
            </w:r>
          </w:p>
        </w:tc>
        <w:tc>
          <w:tcPr>
            <w:tcW w:w="2268" w:type="dxa"/>
            <w:vAlign w:val="center"/>
          </w:tcPr>
          <w:p>
            <w:pPr>
              <w:pStyle w:val="12"/>
            </w:pPr>
            <w:r>
              <w:t>符合海域管理部门的实际需求</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支撑海洋资源管理</w:t>
            </w:r>
          </w:p>
        </w:tc>
        <w:tc>
          <w:tcPr>
            <w:tcW w:w="5386" w:type="dxa"/>
            <w:vAlign w:val="center"/>
          </w:tcPr>
          <w:p>
            <w:pPr>
              <w:pStyle w:val="12"/>
            </w:pPr>
            <w:r>
              <w:t>支撑海域资源管理工作，规范养殖用海出让</w:t>
            </w:r>
          </w:p>
        </w:tc>
        <w:tc>
          <w:tcPr>
            <w:tcW w:w="2268" w:type="dxa"/>
            <w:vAlign w:val="center"/>
          </w:tcPr>
          <w:p>
            <w:pPr>
              <w:pStyle w:val="12"/>
            </w:pPr>
            <w:r>
              <w:t>≥2年</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海域使用权人满意</w:t>
            </w:r>
          </w:p>
        </w:tc>
        <w:tc>
          <w:tcPr>
            <w:tcW w:w="5386" w:type="dxa"/>
            <w:vAlign w:val="center"/>
          </w:tcPr>
          <w:p>
            <w:pPr>
              <w:pStyle w:val="12"/>
            </w:pPr>
            <w:r>
              <w:t>海域使用权人满意</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15、秦皇岛市金沙湾海洋生态保护修复工程（退养）资金绩效目标表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13031325P00880110947Y</w:t>
            </w:r>
          </w:p>
        </w:tc>
        <w:tc>
          <w:tcPr>
            <w:tcW w:w="2835" w:type="dxa"/>
            <w:vAlign w:val="center"/>
          </w:tcPr>
          <w:p>
            <w:pPr>
              <w:pStyle w:val="10"/>
            </w:pPr>
            <w:r>
              <w:t>项目名称</w:t>
            </w:r>
          </w:p>
        </w:tc>
        <w:tc>
          <w:tcPr>
            <w:tcW w:w="6095" w:type="dxa"/>
            <w:gridSpan w:val="3"/>
            <w:vAlign w:val="center"/>
          </w:tcPr>
          <w:p>
            <w:pPr>
              <w:pStyle w:val="12"/>
            </w:pPr>
            <w:r>
              <w:t>秦皇岛市金沙湾海洋生态保护修复工程（退养）资金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6807.00</w:t>
            </w:r>
          </w:p>
        </w:tc>
        <w:tc>
          <w:tcPr>
            <w:tcW w:w="2835" w:type="dxa"/>
            <w:vAlign w:val="center"/>
          </w:tcPr>
          <w:p>
            <w:pPr>
              <w:pStyle w:val="10"/>
            </w:pPr>
            <w:r>
              <w:t>其中：财政    资金</w:t>
            </w:r>
          </w:p>
        </w:tc>
        <w:tc>
          <w:tcPr>
            <w:tcW w:w="2551" w:type="dxa"/>
            <w:vAlign w:val="center"/>
          </w:tcPr>
          <w:p>
            <w:pPr>
              <w:pStyle w:val="12"/>
            </w:pPr>
            <w:r>
              <w:t>6807.00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主要用于支付秦皇岛市金沙湾海洋生态保护修复工程退养还海补助资金。</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1.主要用于支付秦皇岛市金沙湾海洋生态保护修复工程退养还海补助资金。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退养还海</w:t>
            </w:r>
          </w:p>
        </w:tc>
        <w:tc>
          <w:tcPr>
            <w:tcW w:w="5386" w:type="dxa"/>
            <w:vAlign w:val="center"/>
          </w:tcPr>
          <w:p>
            <w:pPr>
              <w:pStyle w:val="12"/>
            </w:pPr>
            <w:r>
              <w:t>旅游功能区退养5038公顷</w:t>
            </w:r>
          </w:p>
        </w:tc>
        <w:tc>
          <w:tcPr>
            <w:tcW w:w="2268" w:type="dxa"/>
            <w:vAlign w:val="center"/>
          </w:tcPr>
          <w:p>
            <w:pPr>
              <w:pStyle w:val="12"/>
            </w:pPr>
            <w:r>
              <w:t>≥5038公顷</w:t>
            </w:r>
          </w:p>
        </w:tc>
        <w:tc>
          <w:tcPr>
            <w:tcW w:w="1276" w:type="dxa"/>
            <w:vAlign w:val="center"/>
          </w:tcPr>
          <w:p>
            <w:pPr>
              <w:pStyle w:val="12"/>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退养补偿完成率</w:t>
            </w:r>
          </w:p>
        </w:tc>
        <w:tc>
          <w:tcPr>
            <w:tcW w:w="5386" w:type="dxa"/>
            <w:vAlign w:val="center"/>
          </w:tcPr>
          <w:p>
            <w:pPr>
              <w:pStyle w:val="12"/>
            </w:pPr>
            <w:r>
              <w:t>退养补偿完成率</w:t>
            </w:r>
          </w:p>
        </w:tc>
        <w:tc>
          <w:tcPr>
            <w:tcW w:w="2268" w:type="dxa"/>
            <w:vAlign w:val="center"/>
          </w:tcPr>
          <w:p>
            <w:pPr>
              <w:pStyle w:val="12"/>
            </w:pPr>
            <w:r>
              <w:t>100%</w:t>
            </w:r>
          </w:p>
        </w:tc>
        <w:tc>
          <w:tcPr>
            <w:tcW w:w="1276" w:type="dxa"/>
            <w:vAlign w:val="center"/>
          </w:tcPr>
          <w:p>
            <w:pPr>
              <w:pStyle w:val="12"/>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12月底之前完成</w:t>
            </w:r>
          </w:p>
        </w:tc>
        <w:tc>
          <w:tcPr>
            <w:tcW w:w="2268" w:type="dxa"/>
            <w:vAlign w:val="center"/>
          </w:tcPr>
          <w:p>
            <w:pPr>
              <w:pStyle w:val="12"/>
            </w:pPr>
            <w:r>
              <w:t>≤12月</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≤6807万元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投资项目增多、旅游人数增加</w:t>
            </w:r>
          </w:p>
        </w:tc>
        <w:tc>
          <w:tcPr>
            <w:tcW w:w="5386" w:type="dxa"/>
            <w:vAlign w:val="center"/>
          </w:tcPr>
          <w:p>
            <w:pPr>
              <w:pStyle w:val="12"/>
            </w:pPr>
            <w:r>
              <w:t>投资项目增多、旅游人数增加</w:t>
            </w:r>
          </w:p>
        </w:tc>
        <w:tc>
          <w:tcPr>
            <w:tcW w:w="2268" w:type="dxa"/>
            <w:vAlign w:val="center"/>
          </w:tcPr>
          <w:p>
            <w:pPr>
              <w:pStyle w:val="12"/>
            </w:pPr>
            <w:r>
              <w:t>8分</w:t>
            </w:r>
          </w:p>
        </w:tc>
        <w:tc>
          <w:tcPr>
            <w:tcW w:w="1276" w:type="dxa"/>
            <w:vAlign w:val="center"/>
          </w:tcPr>
          <w:p>
            <w:pPr>
              <w:pStyle w:val="12"/>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改善近岸海域水域环境</w:t>
            </w:r>
          </w:p>
        </w:tc>
        <w:tc>
          <w:tcPr>
            <w:tcW w:w="5386" w:type="dxa"/>
            <w:vAlign w:val="center"/>
          </w:tcPr>
          <w:p>
            <w:pPr>
              <w:pStyle w:val="12"/>
            </w:pPr>
            <w:r>
              <w:t>近岸海域水域环境明显改善</w:t>
            </w:r>
          </w:p>
        </w:tc>
        <w:tc>
          <w:tcPr>
            <w:tcW w:w="2268" w:type="dxa"/>
            <w:vAlign w:val="center"/>
          </w:tcPr>
          <w:p>
            <w:pPr>
              <w:pStyle w:val="12"/>
            </w:pPr>
            <w:r>
              <w:t>10分</w:t>
            </w:r>
          </w:p>
        </w:tc>
        <w:tc>
          <w:tcPr>
            <w:tcW w:w="1276" w:type="dxa"/>
            <w:vAlign w:val="center"/>
          </w:tcPr>
          <w:p>
            <w:pPr>
              <w:pStyle w:val="12"/>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周边旅游收入</w:t>
            </w:r>
          </w:p>
        </w:tc>
        <w:tc>
          <w:tcPr>
            <w:tcW w:w="5386" w:type="dxa"/>
            <w:vAlign w:val="center"/>
          </w:tcPr>
          <w:p>
            <w:pPr>
              <w:pStyle w:val="12"/>
            </w:pPr>
            <w:r>
              <w:t>旅游收入提升</w:t>
            </w:r>
          </w:p>
        </w:tc>
        <w:tc>
          <w:tcPr>
            <w:tcW w:w="2268" w:type="dxa"/>
            <w:vAlign w:val="center"/>
          </w:tcPr>
          <w:p>
            <w:pPr>
              <w:pStyle w:val="12"/>
            </w:pPr>
            <w:r>
              <w:t>8分</w:t>
            </w:r>
          </w:p>
        </w:tc>
        <w:tc>
          <w:tcPr>
            <w:tcW w:w="1276" w:type="dxa"/>
            <w:vAlign w:val="center"/>
          </w:tcPr>
          <w:p>
            <w:pPr>
              <w:pStyle w:val="12"/>
            </w:pPr>
            <w:r>
              <w:t>《秦皇岛市海洋生态保护修复工程实施方案》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公众对开展修复项目满意度</w:t>
            </w:r>
          </w:p>
        </w:tc>
        <w:tc>
          <w:tcPr>
            <w:tcW w:w="5386" w:type="dxa"/>
            <w:vAlign w:val="center"/>
          </w:tcPr>
          <w:p>
            <w:pPr>
              <w:pStyle w:val="12"/>
            </w:pPr>
            <w:r>
              <w:t>对周边环境及海水水质满意度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16、水产品质量安全抽检经费绩效目标表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13031325P00880110981Q</w:t>
            </w:r>
          </w:p>
        </w:tc>
        <w:tc>
          <w:tcPr>
            <w:tcW w:w="2835" w:type="dxa"/>
            <w:vAlign w:val="center"/>
          </w:tcPr>
          <w:p>
            <w:pPr>
              <w:pStyle w:val="10"/>
            </w:pPr>
            <w:r>
              <w:t>项目名称</w:t>
            </w:r>
          </w:p>
        </w:tc>
        <w:tc>
          <w:tcPr>
            <w:tcW w:w="6095" w:type="dxa"/>
            <w:gridSpan w:val="3"/>
            <w:vAlign w:val="center"/>
          </w:tcPr>
          <w:p>
            <w:pPr>
              <w:pStyle w:val="12"/>
            </w:pPr>
            <w:r>
              <w:t>水产品质量安全抽检经费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用于支付水产品质量安全抽检费。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1.保证养殖产品质量安全到位。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抽检养殖产品40个以上</w:t>
            </w:r>
          </w:p>
        </w:tc>
        <w:tc>
          <w:tcPr>
            <w:tcW w:w="5386" w:type="dxa"/>
            <w:vAlign w:val="center"/>
          </w:tcPr>
          <w:p>
            <w:pPr>
              <w:pStyle w:val="12"/>
            </w:pPr>
            <w:r>
              <w:t>其中抽检的鱼类、虾和海参样品氯霉素、呋喃类、孔雀石绿必检；贝类进行麻痹性贝类毒素+重金属检测</w:t>
            </w:r>
          </w:p>
        </w:tc>
        <w:tc>
          <w:tcPr>
            <w:tcW w:w="2268" w:type="dxa"/>
            <w:vAlign w:val="center"/>
          </w:tcPr>
          <w:p>
            <w:pPr>
              <w:pStyle w:val="12"/>
            </w:pPr>
            <w:r>
              <w:t>40个</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抽检养殖样品鲜度质量到位</w:t>
            </w:r>
          </w:p>
        </w:tc>
        <w:tc>
          <w:tcPr>
            <w:tcW w:w="5386" w:type="dxa"/>
            <w:vAlign w:val="center"/>
          </w:tcPr>
          <w:p>
            <w:pPr>
              <w:pStyle w:val="12"/>
            </w:pPr>
            <w:r>
              <w:t>抽检的样品活力、鲜度、质量良好，保证检测各项指数所需</w:t>
            </w:r>
          </w:p>
        </w:tc>
        <w:tc>
          <w:tcPr>
            <w:tcW w:w="2268" w:type="dxa"/>
            <w:vAlign w:val="center"/>
          </w:tcPr>
          <w:p>
            <w:pPr>
              <w:pStyle w:val="12"/>
            </w:pPr>
            <w:r>
              <w:t>1000克</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1年内完成</w:t>
            </w:r>
          </w:p>
        </w:tc>
        <w:tc>
          <w:tcPr>
            <w:tcW w:w="5386" w:type="dxa"/>
            <w:vAlign w:val="center"/>
          </w:tcPr>
          <w:p>
            <w:pPr>
              <w:pStyle w:val="12"/>
            </w:pPr>
            <w:r>
              <w:t>1年内完成</w:t>
            </w:r>
          </w:p>
        </w:tc>
        <w:tc>
          <w:tcPr>
            <w:tcW w:w="2268" w:type="dxa"/>
            <w:vAlign w:val="center"/>
          </w:tcPr>
          <w:p>
            <w:pPr>
              <w:pStyle w:val="12"/>
            </w:pPr>
            <w:r>
              <w:t>≥12月</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6万元</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产品质量监管到位提高了经济效益</w:t>
            </w:r>
          </w:p>
        </w:tc>
        <w:tc>
          <w:tcPr>
            <w:tcW w:w="5386" w:type="dxa"/>
            <w:vAlign w:val="center"/>
          </w:tcPr>
          <w:p>
            <w:pPr>
              <w:pStyle w:val="12"/>
            </w:pPr>
            <w:r>
              <w:t>经济效益提高10%以上</w:t>
            </w:r>
          </w:p>
        </w:tc>
        <w:tc>
          <w:tcPr>
            <w:tcW w:w="2268" w:type="dxa"/>
            <w:vAlign w:val="center"/>
          </w:tcPr>
          <w:p>
            <w:pPr>
              <w:pStyle w:val="12"/>
            </w:pPr>
            <w:r>
              <w:t>≥10%</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进行绿色健康养殖，产品、水质和饲料等检测合格率达到90%以上</w:t>
            </w:r>
          </w:p>
        </w:tc>
        <w:tc>
          <w:tcPr>
            <w:tcW w:w="5386" w:type="dxa"/>
            <w:vAlign w:val="center"/>
          </w:tcPr>
          <w:p>
            <w:pPr>
              <w:pStyle w:val="12"/>
            </w:pPr>
            <w:r>
              <w:t>进行水产品质量安全抽检保障了水产品质量促进水产养殖业持续发展</w:t>
            </w:r>
          </w:p>
        </w:tc>
        <w:tc>
          <w:tcPr>
            <w:tcW w:w="2268" w:type="dxa"/>
            <w:vAlign w:val="center"/>
          </w:tcPr>
          <w:p>
            <w:pPr>
              <w:pStyle w:val="12"/>
            </w:pPr>
            <w:r>
              <w:t>≥90%</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进行水产品质量安全抽检保障了水产品质量促进水产养殖业持续发展</w:t>
            </w:r>
          </w:p>
        </w:tc>
        <w:tc>
          <w:tcPr>
            <w:tcW w:w="5386" w:type="dxa"/>
            <w:vAlign w:val="center"/>
          </w:tcPr>
          <w:p>
            <w:pPr>
              <w:pStyle w:val="12"/>
            </w:pPr>
            <w:r>
              <w:t>进行水产品质量安全抽检保障了水产品质量促进水产养殖业持续发展</w:t>
            </w:r>
          </w:p>
        </w:tc>
        <w:tc>
          <w:tcPr>
            <w:tcW w:w="2268" w:type="dxa"/>
            <w:vAlign w:val="center"/>
          </w:tcPr>
          <w:p>
            <w:pPr>
              <w:pStyle w:val="12"/>
            </w:pPr>
            <w:r>
              <w:t>≥90%</w:t>
            </w:r>
          </w:p>
        </w:tc>
        <w:tc>
          <w:tcPr>
            <w:tcW w:w="1276" w:type="dxa"/>
            <w:vAlign w:val="center"/>
          </w:tcPr>
          <w:p>
            <w:pPr>
              <w:pStyle w:val="12"/>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w:t>
            </w:r>
          </w:p>
        </w:tc>
        <w:tc>
          <w:tcPr>
            <w:tcW w:w="5386" w:type="dxa"/>
            <w:vAlign w:val="center"/>
          </w:tcPr>
          <w:p>
            <w:pPr>
              <w:pStyle w:val="12"/>
            </w:pPr>
            <w:r>
              <w:t>企业满意</w:t>
            </w:r>
          </w:p>
        </w:tc>
        <w:tc>
          <w:tcPr>
            <w:tcW w:w="2268" w:type="dxa"/>
            <w:vAlign w:val="center"/>
          </w:tcPr>
          <w:p>
            <w:pPr>
              <w:pStyle w:val="12"/>
            </w:pPr>
            <w:r>
              <w:t>100%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17、围填海历史遗留问题评估报告及修复方案编制费绩效目标表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13031325P008801109805</w:t>
            </w:r>
          </w:p>
        </w:tc>
        <w:tc>
          <w:tcPr>
            <w:tcW w:w="2835" w:type="dxa"/>
            <w:vAlign w:val="center"/>
          </w:tcPr>
          <w:p>
            <w:pPr>
              <w:pStyle w:val="10"/>
            </w:pPr>
            <w:r>
              <w:t>项目名称</w:t>
            </w:r>
          </w:p>
        </w:tc>
        <w:tc>
          <w:tcPr>
            <w:tcW w:w="6095" w:type="dxa"/>
            <w:gridSpan w:val="3"/>
            <w:vAlign w:val="center"/>
          </w:tcPr>
          <w:p>
            <w:pPr>
              <w:pStyle w:val="12"/>
            </w:pPr>
            <w:r>
              <w:t>围填海历史遗留问题评估报告及修复方案编制费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用于支付围填海历史遗留问题评估报告及修复方案编制费。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1.完成编制北戴河新区辖区内围填海历史遗留问题生态评估报告、修复方案和处理方案。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围填海历史遗留问题生态评估报告、修复方案以及处理方案编制</w:t>
            </w:r>
          </w:p>
        </w:tc>
        <w:tc>
          <w:tcPr>
            <w:tcW w:w="5386" w:type="dxa"/>
            <w:vAlign w:val="center"/>
          </w:tcPr>
          <w:p>
            <w:pPr>
              <w:pStyle w:val="12"/>
            </w:pPr>
            <w:r>
              <w:t>完成围填海历史遗留问题生态评估报告、修复方案以及处理方案</w:t>
            </w:r>
          </w:p>
        </w:tc>
        <w:tc>
          <w:tcPr>
            <w:tcW w:w="2268" w:type="dxa"/>
            <w:vAlign w:val="center"/>
          </w:tcPr>
          <w:p>
            <w:pPr>
              <w:pStyle w:val="12"/>
            </w:pPr>
            <w:r>
              <w:t>1 份</w:t>
            </w:r>
          </w:p>
        </w:tc>
        <w:tc>
          <w:tcPr>
            <w:tcW w:w="1276" w:type="dxa"/>
            <w:vAlign w:val="center"/>
          </w:tcPr>
          <w:p>
            <w:pPr>
              <w:pStyle w:val="12"/>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成果质量</w:t>
            </w:r>
          </w:p>
        </w:tc>
        <w:tc>
          <w:tcPr>
            <w:tcW w:w="5386" w:type="dxa"/>
            <w:vAlign w:val="center"/>
          </w:tcPr>
          <w:p>
            <w:pPr>
              <w:pStyle w:val="12"/>
            </w:pPr>
            <w:r>
              <w:t>成果符合要求</w:t>
            </w:r>
          </w:p>
        </w:tc>
        <w:tc>
          <w:tcPr>
            <w:tcW w:w="2268" w:type="dxa"/>
            <w:vAlign w:val="center"/>
          </w:tcPr>
          <w:p>
            <w:pPr>
              <w:pStyle w:val="12"/>
            </w:pPr>
            <w:r>
              <w:t>通过专家评审</w:t>
            </w:r>
          </w:p>
        </w:tc>
        <w:tc>
          <w:tcPr>
            <w:tcW w:w="1276" w:type="dxa"/>
            <w:vAlign w:val="center"/>
          </w:tcPr>
          <w:p>
            <w:pPr>
              <w:pStyle w:val="12"/>
            </w:pPr>
            <w:r>
              <w:t>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成果提交时间</w:t>
            </w:r>
          </w:p>
        </w:tc>
        <w:tc>
          <w:tcPr>
            <w:tcW w:w="5386" w:type="dxa"/>
            <w:vAlign w:val="center"/>
          </w:tcPr>
          <w:p>
            <w:pPr>
              <w:pStyle w:val="12"/>
            </w:pPr>
            <w:r>
              <w:t>所有成果提交时间</w:t>
            </w:r>
          </w:p>
        </w:tc>
        <w:tc>
          <w:tcPr>
            <w:tcW w:w="2268" w:type="dxa"/>
            <w:vAlign w:val="center"/>
          </w:tcPr>
          <w:p>
            <w:pPr>
              <w:pStyle w:val="12"/>
            </w:pPr>
            <w:r>
              <w:t>2022年8月30日前完成</w:t>
            </w:r>
          </w:p>
        </w:tc>
        <w:tc>
          <w:tcPr>
            <w:tcW w:w="1276" w:type="dxa"/>
            <w:vAlign w:val="center"/>
          </w:tcPr>
          <w:p>
            <w:pPr>
              <w:pStyle w:val="12"/>
            </w:pPr>
            <w:r>
              <w:t>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27万元</w:t>
            </w:r>
          </w:p>
        </w:tc>
        <w:tc>
          <w:tcPr>
            <w:tcW w:w="1276" w:type="dxa"/>
            <w:vAlign w:val="center"/>
          </w:tcPr>
          <w:p>
            <w:pPr>
              <w:pStyle w:val="12"/>
            </w:pPr>
            <w:r>
              <w:t>技术服务合同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围填海历史遗留问题涉及的海域开发利用</w:t>
            </w:r>
          </w:p>
        </w:tc>
        <w:tc>
          <w:tcPr>
            <w:tcW w:w="5386" w:type="dxa"/>
            <w:vAlign w:val="center"/>
          </w:tcPr>
          <w:p>
            <w:pPr>
              <w:pStyle w:val="12"/>
            </w:pPr>
            <w:r>
              <w:t>提升围填海历史遗留问题涉及的海域开发利用率</w:t>
            </w:r>
          </w:p>
        </w:tc>
        <w:tc>
          <w:tcPr>
            <w:tcW w:w="2268" w:type="dxa"/>
            <w:vAlign w:val="center"/>
          </w:tcPr>
          <w:p>
            <w:pPr>
              <w:pStyle w:val="12"/>
            </w:pPr>
            <w:r>
              <w:t>≥60%</w:t>
            </w:r>
          </w:p>
        </w:tc>
        <w:tc>
          <w:tcPr>
            <w:tcW w:w="1276" w:type="dxa"/>
            <w:vAlign w:val="center"/>
          </w:tcPr>
          <w:p>
            <w:pPr>
              <w:pStyle w:val="12"/>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用海管理技术支撑</w:t>
            </w:r>
          </w:p>
        </w:tc>
        <w:tc>
          <w:tcPr>
            <w:tcW w:w="5386" w:type="dxa"/>
            <w:vAlign w:val="center"/>
          </w:tcPr>
          <w:p>
            <w:pPr>
              <w:pStyle w:val="12"/>
            </w:pPr>
            <w:r>
              <w:t>深化用海管理技术支撑影响力</w:t>
            </w:r>
          </w:p>
        </w:tc>
        <w:tc>
          <w:tcPr>
            <w:tcW w:w="2268" w:type="dxa"/>
            <w:vAlign w:val="center"/>
          </w:tcPr>
          <w:p>
            <w:pPr>
              <w:pStyle w:val="12"/>
            </w:pPr>
            <w:r>
              <w:t>≥90%</w:t>
            </w:r>
          </w:p>
        </w:tc>
        <w:tc>
          <w:tcPr>
            <w:tcW w:w="1276" w:type="dxa"/>
            <w:vAlign w:val="center"/>
          </w:tcPr>
          <w:p>
            <w:pPr>
              <w:pStyle w:val="12"/>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支撑海洋资源管理</w:t>
            </w:r>
          </w:p>
        </w:tc>
        <w:tc>
          <w:tcPr>
            <w:tcW w:w="5386" w:type="dxa"/>
            <w:vAlign w:val="center"/>
          </w:tcPr>
          <w:p>
            <w:pPr>
              <w:pStyle w:val="12"/>
            </w:pPr>
            <w:r>
              <w:t>支撑自然资源管理工作，处理围填海历史遗留问题</w:t>
            </w:r>
          </w:p>
        </w:tc>
        <w:tc>
          <w:tcPr>
            <w:tcW w:w="2268" w:type="dxa"/>
            <w:vAlign w:val="center"/>
          </w:tcPr>
          <w:p>
            <w:pPr>
              <w:pStyle w:val="12"/>
            </w:pPr>
            <w:r>
              <w:t>≥90%</w:t>
            </w:r>
          </w:p>
        </w:tc>
        <w:tc>
          <w:tcPr>
            <w:tcW w:w="1276" w:type="dxa"/>
            <w:vAlign w:val="center"/>
          </w:tcPr>
          <w:p>
            <w:pPr>
              <w:pStyle w:val="12"/>
            </w:pPr>
            <w:r>
              <w:t>河北省人民政府关于加强滨海湿地保护严格管控围填海的通知（冀政字〔2018〕48号）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海域使用权人满意</w:t>
            </w:r>
          </w:p>
        </w:tc>
        <w:tc>
          <w:tcPr>
            <w:tcW w:w="5386" w:type="dxa"/>
            <w:vAlign w:val="center"/>
          </w:tcPr>
          <w:p>
            <w:pPr>
              <w:pStyle w:val="12"/>
            </w:pPr>
            <w:r>
              <w:t>海域使用权人满意</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18、一杯澜浴场木栈道维修改造工程资金绩效目标表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13031325P008801109786</w:t>
            </w:r>
          </w:p>
        </w:tc>
        <w:tc>
          <w:tcPr>
            <w:tcW w:w="2835" w:type="dxa"/>
            <w:vAlign w:val="center"/>
          </w:tcPr>
          <w:p>
            <w:pPr>
              <w:pStyle w:val="10"/>
            </w:pPr>
            <w:r>
              <w:t>项目名称</w:t>
            </w:r>
          </w:p>
        </w:tc>
        <w:tc>
          <w:tcPr>
            <w:tcW w:w="6095" w:type="dxa"/>
            <w:gridSpan w:val="3"/>
            <w:vAlign w:val="center"/>
          </w:tcPr>
          <w:p>
            <w:pPr>
              <w:pStyle w:val="12"/>
            </w:pPr>
            <w:r>
              <w:t>一杯澜浴场木栈道维修改造工程资金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34.70</w:t>
            </w:r>
          </w:p>
        </w:tc>
        <w:tc>
          <w:tcPr>
            <w:tcW w:w="2835" w:type="dxa"/>
            <w:vAlign w:val="center"/>
          </w:tcPr>
          <w:p>
            <w:pPr>
              <w:pStyle w:val="10"/>
            </w:pPr>
            <w:r>
              <w:t>其中：财政    资金</w:t>
            </w:r>
          </w:p>
        </w:tc>
        <w:tc>
          <w:tcPr>
            <w:tcW w:w="2551" w:type="dxa"/>
            <w:vAlign w:val="center"/>
          </w:tcPr>
          <w:p>
            <w:pPr>
              <w:pStyle w:val="12"/>
            </w:pPr>
            <w:r>
              <w:t>34.70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用于支付一杯澜浴场木栈道维修改造工程款。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1.完成一杯澜木栈道维修改造工程。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维修改造面积</w:t>
            </w:r>
          </w:p>
        </w:tc>
        <w:tc>
          <w:tcPr>
            <w:tcW w:w="5386" w:type="dxa"/>
            <w:vAlign w:val="center"/>
          </w:tcPr>
          <w:p>
            <w:pPr>
              <w:pStyle w:val="12"/>
            </w:pPr>
            <w:r>
              <w:t>拆除原有木栈道，更换新木栈道。</w:t>
            </w:r>
          </w:p>
        </w:tc>
        <w:tc>
          <w:tcPr>
            <w:tcW w:w="2268" w:type="dxa"/>
            <w:vAlign w:val="center"/>
          </w:tcPr>
          <w:p>
            <w:pPr>
              <w:pStyle w:val="12"/>
            </w:pPr>
            <w:r>
              <w:t>2466.69平米</w:t>
            </w:r>
          </w:p>
        </w:tc>
        <w:tc>
          <w:tcPr>
            <w:tcW w:w="1276" w:type="dxa"/>
            <w:vAlign w:val="center"/>
          </w:tcPr>
          <w:p>
            <w:pPr>
              <w:pStyle w:val="12"/>
            </w:pPr>
            <w:r>
              <w:t>根据结算评审报告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根据验收报告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维修改造实施完成</w:t>
            </w:r>
          </w:p>
        </w:tc>
        <w:tc>
          <w:tcPr>
            <w:tcW w:w="2268" w:type="dxa"/>
            <w:vAlign w:val="center"/>
          </w:tcPr>
          <w:p>
            <w:pPr>
              <w:pStyle w:val="12"/>
            </w:pPr>
            <w:r>
              <w:t>≤30天</w:t>
            </w:r>
          </w:p>
        </w:tc>
        <w:tc>
          <w:tcPr>
            <w:tcW w:w="1276" w:type="dxa"/>
            <w:vAlign w:val="center"/>
          </w:tcPr>
          <w:p>
            <w:pPr>
              <w:pStyle w:val="12"/>
            </w:pPr>
            <w:r>
              <w:t>根据合同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≤34.7万元</w:t>
            </w:r>
          </w:p>
        </w:tc>
        <w:tc>
          <w:tcPr>
            <w:tcW w:w="1276" w:type="dxa"/>
            <w:vAlign w:val="center"/>
          </w:tcPr>
          <w:p>
            <w:pPr>
              <w:pStyle w:val="12"/>
            </w:pPr>
            <w:r>
              <w:t>根据结算评审报告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美化了海滩，提升了景观效果。</w:t>
            </w:r>
          </w:p>
        </w:tc>
        <w:tc>
          <w:tcPr>
            <w:tcW w:w="5386" w:type="dxa"/>
            <w:vAlign w:val="center"/>
          </w:tcPr>
          <w:p>
            <w:pPr>
              <w:pStyle w:val="12"/>
            </w:pPr>
            <w:r>
              <w:t>美化了海滩，提升了景观效果。</w:t>
            </w:r>
          </w:p>
        </w:tc>
        <w:tc>
          <w:tcPr>
            <w:tcW w:w="2268" w:type="dxa"/>
            <w:vAlign w:val="center"/>
          </w:tcPr>
          <w:p>
            <w:pPr>
              <w:pStyle w:val="12"/>
            </w:pPr>
            <w:r>
              <w:t>100%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更换新木栈道，改善了周边环境</w:t>
            </w:r>
          </w:p>
        </w:tc>
        <w:tc>
          <w:tcPr>
            <w:tcW w:w="5386" w:type="dxa"/>
            <w:vAlign w:val="center"/>
          </w:tcPr>
          <w:p>
            <w:pPr>
              <w:pStyle w:val="12"/>
            </w:pPr>
            <w:r>
              <w:t>更换新木栈道，改善了周边环境</w:t>
            </w:r>
          </w:p>
        </w:tc>
        <w:tc>
          <w:tcPr>
            <w:tcW w:w="2268" w:type="dxa"/>
            <w:vAlign w:val="center"/>
          </w:tcPr>
          <w:p>
            <w:pPr>
              <w:pStyle w:val="12"/>
            </w:pPr>
            <w:r>
              <w:t>100%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带动周边旅游人数</w:t>
            </w:r>
          </w:p>
        </w:tc>
        <w:tc>
          <w:tcPr>
            <w:tcW w:w="5386" w:type="dxa"/>
            <w:vAlign w:val="center"/>
          </w:tcPr>
          <w:p>
            <w:pPr>
              <w:pStyle w:val="12"/>
            </w:pPr>
            <w:r>
              <w:t>带动周边旅游人数</w:t>
            </w:r>
          </w:p>
        </w:tc>
        <w:tc>
          <w:tcPr>
            <w:tcW w:w="2268" w:type="dxa"/>
            <w:vAlign w:val="center"/>
          </w:tcPr>
          <w:p>
            <w:pPr>
              <w:pStyle w:val="12"/>
            </w:pPr>
            <w:r>
              <w:t>≥40%</w:t>
            </w:r>
          </w:p>
        </w:tc>
        <w:tc>
          <w:tcPr>
            <w:tcW w:w="1276" w:type="dxa"/>
            <w:vAlign w:val="center"/>
          </w:tcPr>
          <w:p>
            <w:pPr>
              <w:pStyle w:val="12"/>
            </w:pPr>
            <w:r>
              <w:t>大于等于40%为优，小于40%，大于等于30%为良，小于30%，大于等于20%为合格，小于20%不合格。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周边居住人员和旅游人员满意</w:t>
            </w:r>
          </w:p>
        </w:tc>
        <w:tc>
          <w:tcPr>
            <w:tcW w:w="5386" w:type="dxa"/>
            <w:vAlign w:val="center"/>
          </w:tcPr>
          <w:p>
            <w:pPr>
              <w:pStyle w:val="12"/>
            </w:pPr>
            <w:r>
              <w:t>周边居住人员和旅游人员满意</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19、渔港环卫保洁资金绩效目标表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13031325P00880110975B</w:t>
            </w:r>
          </w:p>
        </w:tc>
        <w:tc>
          <w:tcPr>
            <w:tcW w:w="2835" w:type="dxa"/>
            <w:vAlign w:val="center"/>
          </w:tcPr>
          <w:p>
            <w:pPr>
              <w:pStyle w:val="10"/>
            </w:pPr>
            <w:r>
              <w:t>项目名称</w:t>
            </w:r>
          </w:p>
        </w:tc>
        <w:tc>
          <w:tcPr>
            <w:tcW w:w="6095" w:type="dxa"/>
            <w:gridSpan w:val="3"/>
            <w:vAlign w:val="center"/>
          </w:tcPr>
          <w:p>
            <w:pPr>
              <w:pStyle w:val="12"/>
            </w:pPr>
            <w:r>
              <w:t>渔港环卫保洁资金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127.00</w:t>
            </w:r>
          </w:p>
        </w:tc>
        <w:tc>
          <w:tcPr>
            <w:tcW w:w="2835" w:type="dxa"/>
            <w:vAlign w:val="center"/>
          </w:tcPr>
          <w:p>
            <w:pPr>
              <w:pStyle w:val="10"/>
            </w:pPr>
            <w:r>
              <w:t>其中：财政    资金</w:t>
            </w:r>
          </w:p>
        </w:tc>
        <w:tc>
          <w:tcPr>
            <w:tcW w:w="2551" w:type="dxa"/>
            <w:vAlign w:val="center"/>
          </w:tcPr>
          <w:p>
            <w:pPr>
              <w:pStyle w:val="12"/>
            </w:pPr>
            <w:r>
              <w:t>127.00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用于支付新开口、大蒲河口、人造河口、洋河口渔港日常清扫及保洁服务费。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1.渔港整体环境显著提升，防污治污设施设备运行正常，实现管理常态化。</w:t>
            </w:r>
          </w:p>
          <w:p>
            <w:pPr>
              <w:pStyle w:val="12"/>
            </w:pPr>
            <w:r>
              <w:t>2.制定渔港环境整治实施方案，建立长效管理机制，满足渔港污染防治要求。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设施设备</w:t>
            </w:r>
          </w:p>
        </w:tc>
        <w:tc>
          <w:tcPr>
            <w:tcW w:w="5386" w:type="dxa"/>
            <w:vAlign w:val="center"/>
          </w:tcPr>
          <w:p>
            <w:pPr>
              <w:pStyle w:val="12"/>
            </w:pPr>
            <w:r>
              <w:t>设施设备配备达到行业要求</w:t>
            </w:r>
          </w:p>
        </w:tc>
        <w:tc>
          <w:tcPr>
            <w:tcW w:w="2268" w:type="dxa"/>
            <w:vAlign w:val="center"/>
          </w:tcPr>
          <w:p>
            <w:pPr>
              <w:pStyle w:val="12"/>
            </w:pPr>
            <w:r>
              <w:t>≥90%</w:t>
            </w:r>
          </w:p>
        </w:tc>
        <w:tc>
          <w:tcPr>
            <w:tcW w:w="1276" w:type="dxa"/>
            <w:vAlign w:val="center"/>
          </w:tcPr>
          <w:p>
            <w:pPr>
              <w:pStyle w:val="12"/>
            </w:pPr>
            <w:r>
              <w:t>根据保洁服务合同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环境治理</w:t>
            </w:r>
          </w:p>
        </w:tc>
        <w:tc>
          <w:tcPr>
            <w:tcW w:w="5386" w:type="dxa"/>
            <w:vAlign w:val="center"/>
          </w:tcPr>
          <w:p>
            <w:pPr>
              <w:pStyle w:val="12"/>
            </w:pPr>
            <w:r>
              <w:t>渔港环境达到目标要求</w:t>
            </w:r>
          </w:p>
        </w:tc>
        <w:tc>
          <w:tcPr>
            <w:tcW w:w="2268" w:type="dxa"/>
            <w:vAlign w:val="center"/>
          </w:tcPr>
          <w:p>
            <w:pPr>
              <w:pStyle w:val="12"/>
            </w:pPr>
            <w:r>
              <w:t>≥90%</w:t>
            </w:r>
          </w:p>
        </w:tc>
        <w:tc>
          <w:tcPr>
            <w:tcW w:w="1276" w:type="dxa"/>
            <w:vAlign w:val="center"/>
          </w:tcPr>
          <w:p>
            <w:pPr>
              <w:pStyle w:val="12"/>
            </w:pPr>
            <w:r>
              <w:t>根据保洁服务合同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港口管理</w:t>
            </w:r>
          </w:p>
        </w:tc>
        <w:tc>
          <w:tcPr>
            <w:tcW w:w="5386" w:type="dxa"/>
            <w:vAlign w:val="center"/>
          </w:tcPr>
          <w:p>
            <w:pPr>
              <w:pStyle w:val="12"/>
            </w:pPr>
            <w:r>
              <w:t>制定实施方案</w:t>
            </w:r>
          </w:p>
        </w:tc>
        <w:tc>
          <w:tcPr>
            <w:tcW w:w="2268" w:type="dxa"/>
            <w:vAlign w:val="center"/>
          </w:tcPr>
          <w:p>
            <w:pPr>
              <w:pStyle w:val="12"/>
            </w:pPr>
            <w:r>
              <w:t>≥90%</w:t>
            </w:r>
          </w:p>
        </w:tc>
        <w:tc>
          <w:tcPr>
            <w:tcW w:w="1276" w:type="dxa"/>
            <w:vAlign w:val="center"/>
          </w:tcPr>
          <w:p>
            <w:pPr>
              <w:pStyle w:val="12"/>
            </w:pPr>
            <w:r>
              <w:t>根据保洁服务合同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≤127万元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港口面貌提升</w:t>
            </w:r>
          </w:p>
        </w:tc>
        <w:tc>
          <w:tcPr>
            <w:tcW w:w="5386" w:type="dxa"/>
            <w:vAlign w:val="center"/>
          </w:tcPr>
          <w:p>
            <w:pPr>
              <w:pStyle w:val="12"/>
            </w:pPr>
            <w:r>
              <w:t>渔港功能提升</w:t>
            </w:r>
          </w:p>
        </w:tc>
        <w:tc>
          <w:tcPr>
            <w:tcW w:w="2268" w:type="dxa"/>
            <w:vAlign w:val="center"/>
          </w:tcPr>
          <w:p>
            <w:pPr>
              <w:pStyle w:val="12"/>
            </w:pPr>
            <w:r>
              <w:t>≥90%</w:t>
            </w:r>
          </w:p>
        </w:tc>
        <w:tc>
          <w:tcPr>
            <w:tcW w:w="1276" w:type="dxa"/>
            <w:vAlign w:val="center"/>
          </w:tcPr>
          <w:p>
            <w:pPr>
              <w:pStyle w:val="12"/>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环境整治效果</w:t>
            </w:r>
          </w:p>
        </w:tc>
        <w:tc>
          <w:tcPr>
            <w:tcW w:w="5386" w:type="dxa"/>
            <w:vAlign w:val="center"/>
          </w:tcPr>
          <w:p>
            <w:pPr>
              <w:pStyle w:val="12"/>
            </w:pPr>
            <w:r>
              <w:t>渔港环境显著提升</w:t>
            </w:r>
          </w:p>
        </w:tc>
        <w:tc>
          <w:tcPr>
            <w:tcW w:w="2268" w:type="dxa"/>
            <w:vAlign w:val="center"/>
          </w:tcPr>
          <w:p>
            <w:pPr>
              <w:pStyle w:val="12"/>
            </w:pPr>
            <w:r>
              <w:t>≥90%</w:t>
            </w:r>
          </w:p>
        </w:tc>
        <w:tc>
          <w:tcPr>
            <w:tcW w:w="1276" w:type="dxa"/>
            <w:vAlign w:val="center"/>
          </w:tcPr>
          <w:p>
            <w:pPr>
              <w:pStyle w:val="12"/>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港口管理</w:t>
            </w:r>
          </w:p>
        </w:tc>
        <w:tc>
          <w:tcPr>
            <w:tcW w:w="5386" w:type="dxa"/>
            <w:vAlign w:val="center"/>
          </w:tcPr>
          <w:p>
            <w:pPr>
              <w:pStyle w:val="12"/>
            </w:pPr>
            <w:r>
              <w:t>调整港区规划以更好适应需求</w:t>
            </w:r>
          </w:p>
        </w:tc>
        <w:tc>
          <w:tcPr>
            <w:tcW w:w="2268" w:type="dxa"/>
            <w:vAlign w:val="center"/>
          </w:tcPr>
          <w:p>
            <w:pPr>
              <w:pStyle w:val="12"/>
            </w:pPr>
            <w:r>
              <w:t>≥90%</w:t>
            </w:r>
          </w:p>
        </w:tc>
        <w:tc>
          <w:tcPr>
            <w:tcW w:w="1276" w:type="dxa"/>
            <w:vAlign w:val="center"/>
          </w:tcPr>
          <w:p>
            <w:pPr>
              <w:pStyle w:val="12"/>
            </w:pPr>
            <w:r>
              <w:t>根据调查问卷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环境治理满意</w:t>
            </w:r>
          </w:p>
        </w:tc>
        <w:tc>
          <w:tcPr>
            <w:tcW w:w="5386" w:type="dxa"/>
            <w:vAlign w:val="center"/>
          </w:tcPr>
          <w:p>
            <w:pPr>
              <w:pStyle w:val="12"/>
            </w:pPr>
            <w:r>
              <w:t>环境显著提升</w:t>
            </w:r>
          </w:p>
        </w:tc>
        <w:tc>
          <w:tcPr>
            <w:tcW w:w="2268" w:type="dxa"/>
            <w:vAlign w:val="center"/>
          </w:tcPr>
          <w:p>
            <w:pPr>
              <w:pStyle w:val="12"/>
            </w:pPr>
            <w:r>
              <w:t>≥90%</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20、渔政执法船艇运行维护费绩效目标表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13031325P00880110984K</w:t>
            </w:r>
          </w:p>
        </w:tc>
        <w:tc>
          <w:tcPr>
            <w:tcW w:w="2835" w:type="dxa"/>
            <w:vAlign w:val="center"/>
          </w:tcPr>
          <w:p>
            <w:pPr>
              <w:pStyle w:val="10"/>
            </w:pPr>
            <w:r>
              <w:t>项目名称</w:t>
            </w:r>
          </w:p>
        </w:tc>
        <w:tc>
          <w:tcPr>
            <w:tcW w:w="6095" w:type="dxa"/>
            <w:gridSpan w:val="3"/>
            <w:vAlign w:val="center"/>
          </w:tcPr>
          <w:p>
            <w:pPr>
              <w:pStyle w:val="12"/>
            </w:pPr>
            <w:r>
              <w:t>渔政执法船艇运行维护费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用于支付船长和看守劳务费、船艇停靠费、船电费、船艇维修保养费等。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1.顺利开展渔政执法，落实渔业安全生产工作及海上渔业抢险救助。</w:t>
            </w:r>
          </w:p>
          <w:p>
            <w:pPr>
              <w:pStyle w:val="12"/>
            </w:pPr>
            <w:r>
              <w:t>2.保障辖区春秋两季海上安全生产秩序维护，伏季休渔管理、违法违规渔具整治。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保障执法船艇正常运维</w:t>
            </w:r>
          </w:p>
        </w:tc>
        <w:tc>
          <w:tcPr>
            <w:tcW w:w="5386" w:type="dxa"/>
            <w:vAlign w:val="center"/>
          </w:tcPr>
          <w:p>
            <w:pPr>
              <w:pStyle w:val="12"/>
            </w:pPr>
            <w:r>
              <w:t>保障执法船艇正常运维</w:t>
            </w:r>
          </w:p>
        </w:tc>
        <w:tc>
          <w:tcPr>
            <w:tcW w:w="2268" w:type="dxa"/>
            <w:vAlign w:val="center"/>
          </w:tcPr>
          <w:p>
            <w:pPr>
              <w:pStyle w:val="12"/>
            </w:pPr>
            <w:r>
              <w:t>≥10艘</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渔政船艇正常运转率</w:t>
            </w:r>
          </w:p>
        </w:tc>
        <w:tc>
          <w:tcPr>
            <w:tcW w:w="5386" w:type="dxa"/>
            <w:vAlign w:val="center"/>
          </w:tcPr>
          <w:p>
            <w:pPr>
              <w:pStyle w:val="12"/>
            </w:pPr>
            <w:r>
              <w:t>渔政船艇正常运转率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案件处置及时率</w:t>
            </w:r>
          </w:p>
        </w:tc>
        <w:tc>
          <w:tcPr>
            <w:tcW w:w="5386" w:type="dxa"/>
            <w:vAlign w:val="center"/>
          </w:tcPr>
          <w:p>
            <w:pPr>
              <w:pStyle w:val="12"/>
            </w:pPr>
            <w:r>
              <w:t>案件处置及时率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≤65万元</w:t>
            </w:r>
          </w:p>
        </w:tc>
        <w:tc>
          <w:tcPr>
            <w:tcW w:w="1276" w:type="dxa"/>
            <w:vAlign w:val="center"/>
          </w:tcPr>
          <w:p>
            <w:pPr>
              <w:pStyle w:val="12"/>
            </w:pPr>
            <w:r>
              <w:t>资金预算批复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海上渔业安全生产秩序良好</w:t>
            </w:r>
          </w:p>
        </w:tc>
        <w:tc>
          <w:tcPr>
            <w:tcW w:w="5386" w:type="dxa"/>
            <w:vAlign w:val="center"/>
          </w:tcPr>
          <w:p>
            <w:pPr>
              <w:pStyle w:val="12"/>
            </w:pPr>
            <w:r>
              <w:t>海上渔业安全生产秩序良好</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减少违法违规案件发生</w:t>
            </w:r>
          </w:p>
        </w:tc>
        <w:tc>
          <w:tcPr>
            <w:tcW w:w="5386" w:type="dxa"/>
            <w:vAlign w:val="center"/>
          </w:tcPr>
          <w:p>
            <w:pPr>
              <w:pStyle w:val="12"/>
            </w:pPr>
            <w:r>
              <w:t>减少违法违规案件发生</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保障执法行动圆满完成，监督检查杜绝渔船违法违规行为</w:t>
            </w:r>
          </w:p>
        </w:tc>
        <w:tc>
          <w:tcPr>
            <w:tcW w:w="5386" w:type="dxa"/>
            <w:vAlign w:val="center"/>
          </w:tcPr>
          <w:p>
            <w:pPr>
              <w:pStyle w:val="12"/>
            </w:pPr>
            <w:r>
              <w:t>保障执法行动圆满完成，监督检查杜绝渔船违法违规行为</w:t>
            </w:r>
          </w:p>
        </w:tc>
        <w:tc>
          <w:tcPr>
            <w:tcW w:w="2268" w:type="dxa"/>
            <w:vAlign w:val="center"/>
          </w:tcPr>
          <w:p>
            <w:pPr>
              <w:pStyle w:val="12"/>
            </w:pPr>
            <w:r>
              <w:t>≥90%</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渔民满意度</w:t>
            </w:r>
          </w:p>
        </w:tc>
        <w:tc>
          <w:tcPr>
            <w:tcW w:w="5386" w:type="dxa"/>
            <w:vAlign w:val="center"/>
          </w:tcPr>
          <w:p>
            <w:pPr>
              <w:pStyle w:val="12"/>
            </w:pPr>
            <w:r>
              <w:t>渔民满意度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248.71</w:t>
            </w:r>
          </w:p>
        </w:tc>
        <w:tc>
          <w:tcPr>
            <w:tcW w:w="964" w:type="dxa"/>
            <w:vAlign w:val="center"/>
          </w:tcPr>
          <w:p>
            <w:pPr>
              <w:pStyle w:val="15"/>
            </w:pPr>
            <w:r>
              <w:t>248.71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秦皇岛北戴河新区海洋和渔业局小计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248.71</w:t>
            </w:r>
          </w:p>
        </w:tc>
        <w:tc>
          <w:tcPr>
            <w:tcW w:w="964" w:type="dxa"/>
            <w:vAlign w:val="center"/>
          </w:tcPr>
          <w:p>
            <w:pPr>
              <w:pStyle w:val="15"/>
            </w:pPr>
            <w:r>
              <w:t>248.71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49.91</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0.31</w:t>
            </w:r>
          </w:p>
        </w:tc>
        <w:tc>
          <w:tcPr>
            <w:tcW w:w="964" w:type="dxa"/>
            <w:vAlign w:val="center"/>
          </w:tcPr>
          <w:p>
            <w:pPr>
              <w:pStyle w:val="11"/>
            </w:pPr>
            <w:r>
              <w:t>0.31</w:t>
            </w:r>
          </w:p>
        </w:tc>
        <w:tc>
          <w:tcPr>
            <w:tcW w:w="964" w:type="dxa"/>
            <w:vAlign w:val="center"/>
          </w:tcPr>
          <w:p>
            <w:pPr>
              <w:pStyle w:val="11"/>
            </w:pPr>
            <w:r>
              <w:t>0.31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49.91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0.49</w:t>
            </w:r>
          </w:p>
        </w:tc>
        <w:tc>
          <w:tcPr>
            <w:tcW w:w="964" w:type="dxa"/>
            <w:vAlign w:val="center"/>
          </w:tcPr>
          <w:p>
            <w:pPr>
              <w:pStyle w:val="11"/>
            </w:pPr>
            <w:r>
              <w:t>0.49</w:t>
            </w:r>
          </w:p>
        </w:tc>
        <w:tc>
          <w:tcPr>
            <w:tcW w:w="964" w:type="dxa"/>
            <w:vAlign w:val="center"/>
          </w:tcPr>
          <w:p>
            <w:pPr>
              <w:pStyle w:val="11"/>
            </w:pPr>
            <w:r>
              <w:t>0.49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49.91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2000</w:t>
            </w:r>
          </w:p>
        </w:tc>
        <w:tc>
          <w:tcPr>
            <w:tcW w:w="850" w:type="dxa"/>
            <w:vAlign w:val="center"/>
          </w:tcPr>
          <w:p>
            <w:pPr>
              <w:pStyle w:val="11"/>
            </w:pPr>
            <w:r>
              <w:t>0.00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0.52</w:t>
            </w:r>
          </w:p>
        </w:tc>
        <w:tc>
          <w:tcPr>
            <w:tcW w:w="964" w:type="dxa"/>
            <w:vAlign w:val="center"/>
          </w:tcPr>
          <w:p>
            <w:pPr>
              <w:pStyle w:val="11"/>
            </w:pPr>
            <w:r>
              <w:t>3.64</w:t>
            </w:r>
          </w:p>
        </w:tc>
        <w:tc>
          <w:tcPr>
            <w:tcW w:w="964" w:type="dxa"/>
            <w:vAlign w:val="center"/>
          </w:tcPr>
          <w:p>
            <w:pPr>
              <w:pStyle w:val="11"/>
            </w:pPr>
            <w:r>
              <w:t>3.64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0.08</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5988</w:t>
            </w:r>
          </w:p>
        </w:tc>
        <w:tc>
          <w:tcPr>
            <w:tcW w:w="850" w:type="dxa"/>
            <w:vAlign w:val="center"/>
          </w:tcPr>
          <w:p>
            <w:pPr>
              <w:pStyle w:val="11"/>
            </w:pPr>
            <w:r>
              <w:t>0.00</w:t>
            </w:r>
          </w:p>
        </w:tc>
        <w:tc>
          <w:tcPr>
            <w:tcW w:w="964" w:type="dxa"/>
            <w:vAlign w:val="center"/>
          </w:tcPr>
          <w:p>
            <w:pPr>
              <w:pStyle w:val="11"/>
            </w:pPr>
            <w:r>
              <w:t>14.97</w:t>
            </w:r>
          </w:p>
        </w:tc>
        <w:tc>
          <w:tcPr>
            <w:tcW w:w="964" w:type="dxa"/>
            <w:vAlign w:val="center"/>
          </w:tcPr>
          <w:p>
            <w:pPr>
              <w:pStyle w:val="11"/>
            </w:pPr>
            <w:r>
              <w:t>14.97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项</w:t>
            </w:r>
          </w:p>
        </w:tc>
        <w:tc>
          <w:tcPr>
            <w:tcW w:w="850" w:type="dxa"/>
            <w:vAlign w:val="center"/>
          </w:tcPr>
          <w:p>
            <w:pPr>
              <w:pStyle w:val="11"/>
            </w:pPr>
            <w:r>
              <w:t>700000</w:t>
            </w:r>
          </w:p>
        </w:tc>
        <w:tc>
          <w:tcPr>
            <w:tcW w:w="850" w:type="dxa"/>
            <w:vAlign w:val="center"/>
          </w:tcPr>
          <w:p>
            <w:pPr>
              <w:pStyle w:val="11"/>
            </w:pPr>
            <w:r>
              <w:t>0.00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其他法律服务</w:t>
            </w:r>
          </w:p>
        </w:tc>
        <w:tc>
          <w:tcPr>
            <w:tcW w:w="1134" w:type="dxa"/>
            <w:vAlign w:val="center"/>
          </w:tcPr>
          <w:p>
            <w:pPr>
              <w:pStyle w:val="12"/>
            </w:pPr>
            <w:r>
              <w:t>C23019900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其他会计服务</w:t>
            </w:r>
          </w:p>
        </w:tc>
        <w:tc>
          <w:tcPr>
            <w:tcW w:w="1134" w:type="dxa"/>
            <w:vAlign w:val="center"/>
          </w:tcPr>
          <w:p>
            <w:pPr>
              <w:pStyle w:val="12"/>
            </w:pPr>
            <w:r>
              <w:t>C23029900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91.79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3.72</w:t>
            </w:r>
          </w:p>
        </w:tc>
        <w:tc>
          <w:tcPr>
            <w:tcW w:w="964" w:type="dxa"/>
            <w:vAlign w:val="center"/>
          </w:tcPr>
          <w:p>
            <w:pPr>
              <w:pStyle w:val="11"/>
            </w:pPr>
            <w:r>
              <w:t>3.72</w:t>
            </w:r>
          </w:p>
        </w:tc>
        <w:tc>
          <w:tcPr>
            <w:tcW w:w="964" w:type="dxa"/>
            <w:vAlign w:val="center"/>
          </w:tcPr>
          <w:p>
            <w:pPr>
              <w:pStyle w:val="11"/>
            </w:pPr>
            <w:r>
              <w:t>3.72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秦皇岛北戴河新区开放式养殖用海（南区）海域使用论证经费</w:t>
            </w:r>
          </w:p>
        </w:tc>
        <w:tc>
          <w:tcPr>
            <w:tcW w:w="964" w:type="dxa"/>
            <w:vAlign w:val="center"/>
          </w:tcPr>
          <w:p>
            <w:pPr>
              <w:pStyle w:val="11"/>
            </w:pPr>
            <w:r>
              <w:t>50.00</w:t>
            </w:r>
          </w:p>
        </w:tc>
        <w:tc>
          <w:tcPr>
            <w:tcW w:w="1134" w:type="dxa"/>
            <w:vAlign w:val="center"/>
          </w:tcPr>
          <w:p>
            <w:pPr>
              <w:pStyle w:val="12"/>
            </w:pPr>
            <w:r>
              <w:t>海洋服务</w:t>
            </w:r>
          </w:p>
        </w:tc>
        <w:tc>
          <w:tcPr>
            <w:tcW w:w="1134" w:type="dxa"/>
            <w:vAlign w:val="center"/>
          </w:tcPr>
          <w:p>
            <w:pPr>
              <w:pStyle w:val="12"/>
            </w:pPr>
            <w:r>
              <w:t>C19050000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渔港环卫保洁资金</w:t>
            </w:r>
          </w:p>
        </w:tc>
        <w:tc>
          <w:tcPr>
            <w:tcW w:w="964" w:type="dxa"/>
            <w:vAlign w:val="center"/>
          </w:tcPr>
          <w:p>
            <w:pPr>
              <w:pStyle w:val="11"/>
            </w:pPr>
            <w:r>
              <w:t>127.00</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平方米</w:t>
            </w:r>
          </w:p>
        </w:tc>
        <w:tc>
          <w:tcPr>
            <w:tcW w:w="850" w:type="dxa"/>
            <w:vAlign w:val="center"/>
          </w:tcPr>
          <w:p>
            <w:pPr>
              <w:pStyle w:val="11"/>
            </w:pPr>
            <w:r>
              <w:t>1</w:t>
            </w:r>
          </w:p>
        </w:tc>
        <w:tc>
          <w:tcPr>
            <w:tcW w:w="850" w:type="dxa"/>
            <w:vAlign w:val="center"/>
          </w:tcPr>
          <w:p>
            <w:pPr>
              <w:pStyle w:val="11"/>
            </w:pPr>
            <w:r>
              <w:t>127.00</w:t>
            </w:r>
          </w:p>
        </w:tc>
        <w:tc>
          <w:tcPr>
            <w:tcW w:w="964" w:type="dxa"/>
            <w:vAlign w:val="center"/>
          </w:tcPr>
          <w:p>
            <w:pPr>
              <w:pStyle w:val="11"/>
            </w:pPr>
            <w:r>
              <w:t>127.00</w:t>
            </w:r>
          </w:p>
        </w:tc>
        <w:tc>
          <w:tcPr>
            <w:tcW w:w="964" w:type="dxa"/>
            <w:vAlign w:val="center"/>
          </w:tcPr>
          <w:p>
            <w:pPr>
              <w:pStyle w:val="11"/>
            </w:pPr>
            <w:r>
              <w:t>127.00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秦皇岛北戴河新区海洋和渔业局上年末固定资产金额为1311.34万元（详见下表）。本年度拟购置固定资产总额为0.00万元，已按要求列入政府采购预算，详见政府采购预算表。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326001秦皇岛北戴河新区海洋和渔业局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11</w:t>
            </w:r>
          </w:p>
        </w:tc>
        <w:tc>
          <w:tcPr>
            <w:tcW w:w="2835" w:type="dxa"/>
            <w:vAlign w:val="center"/>
          </w:tcPr>
          <w:p>
            <w:pPr>
              <w:pStyle w:val="11"/>
            </w:pPr>
            <w:r>
              <w:t>980.69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406</w:t>
            </w:r>
          </w:p>
        </w:tc>
        <w:tc>
          <w:tcPr>
            <w:tcW w:w="2835" w:type="dxa"/>
            <w:vAlign w:val="center"/>
          </w:tcPr>
          <w:p>
            <w:pPr>
              <w:pStyle w:val="11"/>
            </w:pPr>
            <w:r>
              <w:t>168.27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2EAA378E"/>
    <w:rsid w:val="30DD452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1</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2025-02-11T14:37:00Z</dcterms:created>
  <dc:creator>投融资科</dc:creator>
  <cp:lastModifiedBy>XQZW</cp:lastModifiedBy>
  <dcterms:modified xsi:type="dcterms:W3CDTF">2025-02-19T02:10:03Z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074B9408D15144199B671763E7E6431B</vt:lpwstr>
  </property>
</Properties>
</file>