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215" w:firstLineChars="275"/>
        <w:jc w:val="left"/>
        <w:outlineLvl w:val="9"/>
      </w:pPr>
      <w:r>
        <w:rPr>
          <w:rFonts w:hint="eastAsia" w:ascii="黑体" w:hAnsi="黑体" w:eastAsia="黑体" w:cs="黑体"/>
          <w:b/>
          <w:color w:val="000000"/>
          <w:sz w:val="44"/>
          <w:lang w:eastAsia="zh-CN"/>
        </w:rPr>
        <w:t>秦皇岛北戴河新区发展改革局所属单位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b w:val="0"/>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一、秦皇岛北戴河新区发展改革局本级收支预算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rPr>
          <w:rFonts w:hint="default" w:ascii="Times New Roman" w:hAnsi="Times New Roman" w:cs="Times New Roman"/>
        </w:rPr>
      </w:pPr>
      <w:bookmarkStart w:id="0" w:name="_Toc_4_4_0000000019"/>
      <w:r>
        <w:rPr>
          <w:rFonts w:hint="default" w:ascii="Times New Roman" w:hAnsi="Times New Roman" w:eastAsia="方正小标宋_GBK" w:cs="Times New Roman"/>
          <w:b w:val="0"/>
          <w:color w:val="000000"/>
          <w:sz w:val="44"/>
        </w:rPr>
        <w:t>一、秦皇岛北戴河新区发展改革局本级收支预算</w:t>
      </w:r>
      <w:bookmarkEnd w:id="0"/>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303001秦皇岛北戴河新区发展改革局本级</w:t>
            </w:r>
          </w:p>
        </w:tc>
        <w:tc>
          <w:tcPr>
            <w:tcW w:w="2959"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2959" w:type="dxa"/>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sz w:val="21"/>
                <w:szCs w:val="21"/>
              </w:rPr>
            </w:pPr>
            <w:r>
              <w:rPr>
                <w:rFonts w:hint="default" w:ascii="Times New Roman" w:hAnsi="Times New Roman" w:cs="Times New Roman"/>
                <w:sz w:val="21"/>
                <w:szCs w:val="21"/>
              </w:rPr>
              <w:t>单位：万元</w:t>
            </w:r>
          </w:p>
        </w:tc>
        <w:tc>
          <w:tcPr>
            <w:tcW w:w="2959" w:type="dxa"/>
            <w:tcBorders>
              <w:top w:val="single" w:color="FFFFFF" w:sz="6" w:space="0"/>
              <w:left w:val="single" w:color="FFFFFF" w:sz="6" w:space="0"/>
              <w:right w:val="single" w:color="FFFFFF" w:sz="6" w:space="0"/>
            </w:tcBorders>
          </w:tcPr>
          <w:p>
            <w:pPr>
              <w:rPr>
                <w:rFonts w:hint="default" w:ascii="Times New Roman" w:hAnsi="Times New Roman" w:cs="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7"/>
              <w:rPr>
                <w:rFonts w:hint="default" w:ascii="Times New Roman" w:hAnsi="Times New Roman" w:cs="Times New Roman"/>
              </w:rPr>
            </w:pPr>
            <w:r>
              <w:rPr>
                <w:rFonts w:hint="default" w:ascii="Times New Roman" w:hAnsi="Times New Roman" w:cs="Times New Roman"/>
              </w:rPr>
              <w:t>序号</w:t>
            </w: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收入</w:t>
            </w:r>
          </w:p>
        </w:tc>
        <w:tc>
          <w:tcPr>
            <w:tcW w:w="2959" w:type="dxa"/>
          </w:tcPr>
          <w:p>
            <w:pPr>
              <w:rPr>
                <w:rFonts w:hint="default" w:ascii="Times New Roman" w:hAnsi="Times New Roman" w:cs="Times New Roman"/>
              </w:rPr>
            </w:pP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支出</w:t>
            </w:r>
          </w:p>
        </w:tc>
        <w:tc>
          <w:tcPr>
            <w:tcW w:w="2959" w:type="dxa"/>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pPr>
              <w:rPr>
                <w:rFonts w:hint="default" w:ascii="Times New Roman" w:hAnsi="Times New Roman" w:cs="Times New Roman"/>
              </w:rPr>
            </w:pP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项  目</w:t>
            </w: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预算数</w:t>
            </w: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项  目</w:t>
            </w: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栏次</w:t>
            </w: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2959" w:type="dxa"/>
            <w:vAlign w:val="center"/>
          </w:tcPr>
          <w:p>
            <w:pPr>
              <w:pStyle w:val="7"/>
              <w:rPr>
                <w:rFonts w:hint="default" w:ascii="Times New Roman" w:hAnsi="Times New Roman" w:cs="Times New Roman"/>
              </w:rPr>
            </w:pPr>
            <w:r>
              <w:rPr>
                <w:rFonts w:hint="default" w:ascii="Times New Roman" w:hAnsi="Times New Roman"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一、一般公共预算拨款收入</w:t>
            </w:r>
          </w:p>
        </w:tc>
        <w:tc>
          <w:tcPr>
            <w:tcW w:w="2959" w:type="dxa"/>
            <w:vAlign w:val="center"/>
          </w:tcPr>
          <w:p>
            <w:pPr>
              <w:pStyle w:val="10"/>
              <w:jc w:val="center"/>
              <w:rPr>
                <w:rFonts w:hint="default" w:ascii="Times New Roman" w:hAnsi="Times New Roman" w:cs="Times New Roman"/>
              </w:rPr>
            </w:pPr>
            <w:r>
              <w:rPr>
                <w:rFonts w:hint="default" w:ascii="Times New Roman" w:hAnsi="Times New Roman" w:cs="Times New Roman"/>
              </w:rPr>
              <w:t>797.59</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一、一般公共服务支出</w:t>
            </w:r>
          </w:p>
        </w:tc>
        <w:tc>
          <w:tcPr>
            <w:tcW w:w="2959" w:type="dxa"/>
            <w:vAlign w:val="center"/>
          </w:tcPr>
          <w:p>
            <w:pPr>
              <w:pStyle w:val="10"/>
              <w:jc w:val="center"/>
              <w:rPr>
                <w:rFonts w:hint="default" w:ascii="Times New Roman" w:hAnsi="Times New Roman" w:cs="Times New Roman"/>
              </w:rPr>
            </w:pPr>
            <w:r>
              <w:rPr>
                <w:rFonts w:hint="default" w:ascii="Times New Roman" w:hAnsi="Times New Roman" w:cs="Times New Roman"/>
              </w:rPr>
              <w:t>635.53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二、政府性基金预算拨款收入</w:t>
            </w:r>
          </w:p>
        </w:tc>
        <w:tc>
          <w:tcPr>
            <w:tcW w:w="2959" w:type="dxa"/>
            <w:vAlign w:val="center"/>
          </w:tcPr>
          <w:p>
            <w:pPr>
              <w:pStyle w:val="10"/>
              <w:jc w:val="center"/>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二、外交支出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3</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三、国有资本经营预算拨款收入</w:t>
            </w:r>
          </w:p>
        </w:tc>
        <w:tc>
          <w:tcPr>
            <w:tcW w:w="2959" w:type="dxa"/>
            <w:vAlign w:val="center"/>
          </w:tcPr>
          <w:p>
            <w:pPr>
              <w:pStyle w:val="10"/>
              <w:jc w:val="center"/>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三、国防支出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4</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四、财政专户管理资金收入</w:t>
            </w:r>
          </w:p>
        </w:tc>
        <w:tc>
          <w:tcPr>
            <w:tcW w:w="2959" w:type="dxa"/>
            <w:vAlign w:val="center"/>
          </w:tcPr>
          <w:p>
            <w:pPr>
              <w:pStyle w:val="10"/>
              <w:jc w:val="center"/>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四、公共安全支出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5</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五、事业收入</w:t>
            </w:r>
          </w:p>
        </w:tc>
        <w:tc>
          <w:tcPr>
            <w:tcW w:w="2959" w:type="dxa"/>
            <w:vAlign w:val="center"/>
          </w:tcPr>
          <w:p>
            <w:pPr>
              <w:pStyle w:val="10"/>
              <w:jc w:val="center"/>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五、教育支出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6</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六、事业单位经营收入</w:t>
            </w:r>
          </w:p>
        </w:tc>
        <w:tc>
          <w:tcPr>
            <w:tcW w:w="2959" w:type="dxa"/>
            <w:vAlign w:val="center"/>
          </w:tcPr>
          <w:p>
            <w:pPr>
              <w:pStyle w:val="10"/>
              <w:jc w:val="center"/>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六、科学技术支出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7</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七、上级补助收入</w:t>
            </w:r>
          </w:p>
        </w:tc>
        <w:tc>
          <w:tcPr>
            <w:tcW w:w="2959" w:type="dxa"/>
            <w:vAlign w:val="center"/>
          </w:tcPr>
          <w:p>
            <w:pPr>
              <w:pStyle w:val="10"/>
              <w:jc w:val="center"/>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七、文化旅游体育与传媒支出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8</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八、附属单位上缴收入</w:t>
            </w: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八、社会保障和就业支出</w:t>
            </w:r>
          </w:p>
        </w:tc>
        <w:tc>
          <w:tcPr>
            <w:tcW w:w="2959"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9</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九、其他收入</w:t>
            </w: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九、社会保险基金支出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10</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十、卫生健康支出</w:t>
            </w:r>
          </w:p>
        </w:tc>
        <w:tc>
          <w:tcPr>
            <w:tcW w:w="2959"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11</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十一、节能环保支出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12</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十二、城乡社区支出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13</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十三、农林水支出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14</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十四、交通运输支出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15</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十五、资源勘探工业信息等支出</w:t>
            </w:r>
          </w:p>
        </w:tc>
        <w:tc>
          <w:tcPr>
            <w:tcW w:w="2959" w:type="dxa"/>
            <w:vAlign w:val="center"/>
          </w:tcPr>
          <w:p>
            <w:pPr>
              <w:pStyle w:val="10"/>
              <w:jc w:val="center"/>
              <w:rPr>
                <w:rFonts w:hint="default" w:ascii="Times New Roman" w:hAnsi="Times New Roman" w:cs="Times New Roman"/>
              </w:rPr>
            </w:pPr>
            <w:r>
              <w:rPr>
                <w:rFonts w:hint="default" w:ascii="Times New Roman" w:hAnsi="Times New Roman" w:cs="Times New Roman"/>
              </w:rPr>
              <w:t>1215.00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16</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十六、商业服务业等支出</w:t>
            </w:r>
          </w:p>
        </w:tc>
        <w:tc>
          <w:tcPr>
            <w:tcW w:w="2959"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17</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十七、金融支出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18</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十八、援助其他地区支出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19</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十九、自然资源海洋气象等支出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20</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二十、住房保障支出</w:t>
            </w:r>
          </w:p>
        </w:tc>
        <w:tc>
          <w:tcPr>
            <w:tcW w:w="2959"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21</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二十一、粮油物资储备支出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22</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二十二、国有资本经营预算支出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23</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二十三、灾害防治及应急管理支出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24</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二十四、预备费</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25</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二十五、其他支出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26</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二十六、转移性支出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27</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二十七、债务还本支出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28</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二十八、债务付息支出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29</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二十九、债务发行费用支出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30</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三十、抗疫特别国债安排的支出</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31</w:t>
            </w:r>
          </w:p>
        </w:tc>
        <w:tc>
          <w:tcPr>
            <w:tcW w:w="2959" w:type="dxa"/>
            <w:vAlign w:val="center"/>
          </w:tcPr>
          <w:p>
            <w:pPr>
              <w:pStyle w:val="9"/>
              <w:rPr>
                <w:rFonts w:hint="default" w:ascii="Times New Roman" w:hAnsi="Times New Roman" w:cs="Times New Roman"/>
              </w:rPr>
            </w:pPr>
          </w:p>
        </w:tc>
        <w:tc>
          <w:tcPr>
            <w:tcW w:w="2959" w:type="dxa"/>
            <w:vAlign w:val="center"/>
          </w:tcPr>
          <w:p>
            <w:pPr>
              <w:pStyle w:val="10"/>
              <w:rPr>
                <w:rFonts w:hint="default" w:ascii="Times New Roman" w:hAnsi="Times New Roman" w:cs="Times New Roman"/>
              </w:rPr>
            </w:pP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三十一、人行科目</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32</w:t>
            </w:r>
          </w:p>
        </w:tc>
        <w:tc>
          <w:tcPr>
            <w:tcW w:w="2959" w:type="dxa"/>
            <w:vAlign w:val="center"/>
          </w:tcPr>
          <w:p>
            <w:pPr>
              <w:pStyle w:val="11"/>
              <w:rPr>
                <w:rFonts w:hint="default" w:ascii="Times New Roman" w:hAnsi="Times New Roman" w:cs="Times New Roman"/>
              </w:rPr>
            </w:pPr>
            <w:r>
              <w:rPr>
                <w:rFonts w:hint="default" w:ascii="Times New Roman" w:hAnsi="Times New Roman" w:cs="Times New Roman"/>
              </w:rPr>
              <w:t>本年收入合计</w:t>
            </w:r>
          </w:p>
        </w:tc>
        <w:tc>
          <w:tcPr>
            <w:tcW w:w="2959" w:type="dxa"/>
            <w:vAlign w:val="center"/>
          </w:tcPr>
          <w:p>
            <w:pPr>
              <w:pStyle w:val="12"/>
              <w:jc w:val="center"/>
              <w:rPr>
                <w:rFonts w:hint="default" w:ascii="Times New Roman" w:hAnsi="Times New Roman" w:cs="Times New Roman"/>
              </w:rPr>
            </w:pPr>
            <w:r>
              <w:rPr>
                <w:rFonts w:hint="default" w:ascii="Times New Roman" w:hAnsi="Times New Roman" w:cs="Times New Roman"/>
              </w:rPr>
              <w:t>797.59</w:t>
            </w:r>
          </w:p>
        </w:tc>
        <w:tc>
          <w:tcPr>
            <w:tcW w:w="2959" w:type="dxa"/>
            <w:vAlign w:val="center"/>
          </w:tcPr>
          <w:p>
            <w:pPr>
              <w:pStyle w:val="11"/>
              <w:rPr>
                <w:rFonts w:hint="default" w:ascii="Times New Roman" w:hAnsi="Times New Roman" w:cs="Times New Roman"/>
              </w:rPr>
            </w:pPr>
            <w:r>
              <w:rPr>
                <w:rFonts w:hint="default" w:ascii="Times New Roman" w:hAnsi="Times New Roman" w:cs="Times New Roman"/>
              </w:rPr>
              <w:t>本年支出合计</w:t>
            </w:r>
          </w:p>
        </w:tc>
        <w:tc>
          <w:tcPr>
            <w:tcW w:w="2959"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33</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上年结转结余</w:t>
            </w:r>
          </w:p>
        </w:tc>
        <w:tc>
          <w:tcPr>
            <w:tcW w:w="2959" w:type="dxa"/>
            <w:vAlign w:val="center"/>
          </w:tcPr>
          <w:p>
            <w:pPr>
              <w:pStyle w:val="10"/>
              <w:jc w:val="center"/>
              <w:rPr>
                <w:rFonts w:hint="default" w:ascii="Times New Roman" w:hAnsi="Times New Roman" w:cs="Times New Roman"/>
              </w:rPr>
            </w:pPr>
            <w:r>
              <w:rPr>
                <w:rFonts w:hint="default" w:ascii="Times New Roman" w:hAnsi="Times New Roman" w:cs="Times New Roman"/>
              </w:rPr>
              <w:t>1241.49</w:t>
            </w:r>
          </w:p>
        </w:tc>
        <w:tc>
          <w:tcPr>
            <w:tcW w:w="2959" w:type="dxa"/>
            <w:vAlign w:val="center"/>
          </w:tcPr>
          <w:p>
            <w:pPr>
              <w:pStyle w:val="9"/>
              <w:rPr>
                <w:rFonts w:hint="default" w:ascii="Times New Roman" w:hAnsi="Times New Roman" w:cs="Times New Roman"/>
              </w:rPr>
            </w:pPr>
            <w:r>
              <w:rPr>
                <w:rFonts w:hint="default" w:ascii="Times New Roman" w:hAnsi="Times New Roman" w:cs="Times New Roman"/>
              </w:rPr>
              <w:t>年终结转结余</w:t>
            </w:r>
          </w:p>
        </w:tc>
        <w:tc>
          <w:tcPr>
            <w:tcW w:w="2959"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8"/>
              <w:rPr>
                <w:rFonts w:hint="default" w:ascii="Times New Roman" w:hAnsi="Times New Roman" w:cs="Times New Roman"/>
              </w:rPr>
            </w:pPr>
            <w:r>
              <w:rPr>
                <w:rFonts w:hint="default" w:ascii="Times New Roman" w:hAnsi="Times New Roman" w:cs="Times New Roman"/>
              </w:rPr>
              <w:t>34</w:t>
            </w:r>
          </w:p>
        </w:tc>
        <w:tc>
          <w:tcPr>
            <w:tcW w:w="2959" w:type="dxa"/>
            <w:vAlign w:val="center"/>
          </w:tcPr>
          <w:p>
            <w:pPr>
              <w:pStyle w:val="11"/>
              <w:rPr>
                <w:rFonts w:hint="default" w:ascii="Times New Roman" w:hAnsi="Times New Roman" w:cs="Times New Roman"/>
              </w:rPr>
            </w:pPr>
            <w:r>
              <w:rPr>
                <w:rFonts w:hint="default" w:ascii="Times New Roman" w:hAnsi="Times New Roman" w:cs="Times New Roman"/>
              </w:rPr>
              <w:t>收入总计</w:t>
            </w:r>
          </w:p>
        </w:tc>
        <w:tc>
          <w:tcPr>
            <w:tcW w:w="2959"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c>
          <w:tcPr>
            <w:tcW w:w="2959" w:type="dxa"/>
            <w:vAlign w:val="center"/>
          </w:tcPr>
          <w:p>
            <w:pPr>
              <w:pStyle w:val="11"/>
              <w:rPr>
                <w:rFonts w:hint="default" w:ascii="Times New Roman" w:hAnsi="Times New Roman" w:cs="Times New Roman"/>
              </w:rPr>
            </w:pPr>
            <w:r>
              <w:rPr>
                <w:rFonts w:hint="default" w:ascii="Times New Roman" w:hAnsi="Times New Roman" w:cs="Times New Roman"/>
              </w:rPr>
              <w:t>支出总计</w:t>
            </w:r>
          </w:p>
        </w:tc>
        <w:tc>
          <w:tcPr>
            <w:tcW w:w="2959"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012"/>
        <w:gridCol w:w="1170"/>
        <w:gridCol w:w="1050"/>
        <w:gridCol w:w="795"/>
        <w:gridCol w:w="885"/>
        <w:gridCol w:w="705"/>
        <w:gridCol w:w="585"/>
        <w:gridCol w:w="435"/>
        <w:gridCol w:w="585"/>
        <w:gridCol w:w="540"/>
        <w:gridCol w:w="450"/>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5" w:type="dxa"/>
            <w:gridSpan w:val="5"/>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303001秦皇岛北戴河新区发展改革局本级</w:t>
            </w:r>
          </w:p>
        </w:tc>
        <w:tc>
          <w:tcPr>
            <w:tcW w:w="2175"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2894" w:type="dxa"/>
            <w:gridSpan w:val="5"/>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7"/>
              <w:rPr>
                <w:rFonts w:hint="default" w:ascii="Times New Roman" w:hAnsi="Times New Roman" w:cs="Times New Roman"/>
              </w:rPr>
            </w:pPr>
            <w:r>
              <w:rPr>
                <w:rFonts w:hint="default" w:ascii="Times New Roman" w:hAnsi="Times New Roman" w:cs="Times New Roman"/>
              </w:rPr>
              <w:t>序号</w:t>
            </w:r>
          </w:p>
        </w:tc>
        <w:tc>
          <w:tcPr>
            <w:tcW w:w="1012" w:type="dxa"/>
            <w:vAlign w:val="center"/>
          </w:tcPr>
          <w:p>
            <w:pPr>
              <w:pStyle w:val="7"/>
              <w:rPr>
                <w:rFonts w:hint="default" w:ascii="Times New Roman" w:hAnsi="Times New Roman" w:cs="Times New Roman"/>
              </w:rPr>
            </w:pPr>
            <w:r>
              <w:rPr>
                <w:rFonts w:hint="default" w:ascii="Times New Roman" w:hAnsi="Times New Roman" w:cs="Times New Roman"/>
              </w:rPr>
              <w:t>功能分类科目</w:t>
            </w:r>
          </w:p>
        </w:tc>
        <w:tc>
          <w:tcPr>
            <w:tcW w:w="1170" w:type="dxa"/>
          </w:tcPr>
          <w:p>
            <w:pPr>
              <w:rPr>
                <w:rFonts w:hint="default" w:ascii="Times New Roman" w:hAnsi="Times New Roman" w:cs="Times New Roman"/>
              </w:rPr>
            </w:pPr>
          </w:p>
        </w:tc>
        <w:tc>
          <w:tcPr>
            <w:tcW w:w="1050" w:type="dxa"/>
            <w:vMerge w:val="restart"/>
            <w:vAlign w:val="center"/>
          </w:tcPr>
          <w:p>
            <w:pPr>
              <w:pStyle w:val="7"/>
              <w:rPr>
                <w:rFonts w:hint="default" w:ascii="Times New Roman" w:hAnsi="Times New Roman" w:cs="Times New Roman"/>
              </w:rPr>
            </w:pPr>
            <w:r>
              <w:rPr>
                <w:rFonts w:hint="default" w:ascii="Times New Roman" w:hAnsi="Times New Roman" w:cs="Times New Roman"/>
              </w:rPr>
              <w:t>合计</w:t>
            </w:r>
          </w:p>
        </w:tc>
        <w:tc>
          <w:tcPr>
            <w:tcW w:w="795" w:type="dxa"/>
            <w:vAlign w:val="center"/>
          </w:tcPr>
          <w:p>
            <w:pPr>
              <w:pStyle w:val="7"/>
              <w:rPr>
                <w:rFonts w:hint="default" w:ascii="Times New Roman" w:hAnsi="Times New Roman" w:cs="Times New Roman"/>
              </w:rPr>
            </w:pPr>
            <w:r>
              <w:rPr>
                <w:rFonts w:hint="default" w:ascii="Times New Roman" w:hAnsi="Times New Roman" w:cs="Times New Roman"/>
              </w:rPr>
              <w:t>本年收入</w:t>
            </w:r>
          </w:p>
        </w:tc>
        <w:tc>
          <w:tcPr>
            <w:tcW w:w="885" w:type="dxa"/>
          </w:tcPr>
          <w:p>
            <w:pPr>
              <w:rPr>
                <w:rFonts w:hint="default" w:ascii="Times New Roman" w:hAnsi="Times New Roman" w:cs="Times New Roman"/>
              </w:rPr>
            </w:pPr>
          </w:p>
        </w:tc>
        <w:tc>
          <w:tcPr>
            <w:tcW w:w="705" w:type="dxa"/>
          </w:tcPr>
          <w:p>
            <w:pPr>
              <w:rPr>
                <w:rFonts w:hint="default" w:ascii="Times New Roman" w:hAnsi="Times New Roman" w:cs="Times New Roman"/>
              </w:rPr>
            </w:pPr>
          </w:p>
        </w:tc>
        <w:tc>
          <w:tcPr>
            <w:tcW w:w="585" w:type="dxa"/>
          </w:tcPr>
          <w:p>
            <w:pPr>
              <w:rPr>
                <w:rFonts w:hint="default" w:ascii="Times New Roman" w:hAnsi="Times New Roman" w:cs="Times New Roman"/>
              </w:rPr>
            </w:pPr>
          </w:p>
        </w:tc>
        <w:tc>
          <w:tcPr>
            <w:tcW w:w="435" w:type="dxa"/>
          </w:tcPr>
          <w:p>
            <w:pPr>
              <w:rPr>
                <w:rFonts w:hint="default" w:ascii="Times New Roman" w:hAnsi="Times New Roman" w:cs="Times New Roman"/>
              </w:rPr>
            </w:pPr>
          </w:p>
        </w:tc>
        <w:tc>
          <w:tcPr>
            <w:tcW w:w="585" w:type="dxa"/>
          </w:tcPr>
          <w:p>
            <w:pPr>
              <w:rPr>
                <w:rFonts w:hint="default" w:ascii="Times New Roman" w:hAnsi="Times New Roman" w:cs="Times New Roman"/>
              </w:rPr>
            </w:pPr>
          </w:p>
        </w:tc>
        <w:tc>
          <w:tcPr>
            <w:tcW w:w="540" w:type="dxa"/>
          </w:tcPr>
          <w:p>
            <w:pPr>
              <w:rPr>
                <w:rFonts w:hint="default" w:ascii="Times New Roman" w:hAnsi="Times New Roman" w:cs="Times New Roman"/>
              </w:rPr>
            </w:pPr>
          </w:p>
        </w:tc>
        <w:tc>
          <w:tcPr>
            <w:tcW w:w="450" w:type="dxa"/>
          </w:tcPr>
          <w:p>
            <w:pPr>
              <w:rPr>
                <w:rFonts w:hint="default" w:ascii="Times New Roman" w:hAnsi="Times New Roman" w:cs="Times New Roman"/>
              </w:rPr>
            </w:pPr>
          </w:p>
        </w:tc>
        <w:tc>
          <w:tcPr>
            <w:tcW w:w="884" w:type="dxa"/>
            <w:vMerge w:val="restart"/>
            <w:vAlign w:val="center"/>
          </w:tcPr>
          <w:p>
            <w:pPr>
              <w:pStyle w:val="7"/>
              <w:rPr>
                <w:rFonts w:hint="default" w:ascii="Times New Roman" w:hAnsi="Times New Roman" w:cs="Times New Roman"/>
              </w:rPr>
            </w:pPr>
            <w:r>
              <w:rPr>
                <w:rFonts w:hint="default" w:ascii="Times New Roman" w:hAnsi="Times New Roman"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pPr>
              <w:rPr>
                <w:rFonts w:hint="default" w:ascii="Times New Roman" w:hAnsi="Times New Roman" w:cs="Times New Roman"/>
              </w:rPr>
            </w:pPr>
          </w:p>
        </w:tc>
        <w:tc>
          <w:tcPr>
            <w:tcW w:w="1012" w:type="dxa"/>
            <w:vAlign w:val="center"/>
          </w:tcPr>
          <w:p>
            <w:pPr>
              <w:pStyle w:val="7"/>
              <w:rPr>
                <w:rFonts w:hint="default" w:ascii="Times New Roman" w:hAnsi="Times New Roman" w:cs="Times New Roman"/>
              </w:rPr>
            </w:pPr>
            <w:r>
              <w:rPr>
                <w:rFonts w:hint="default" w:ascii="Times New Roman" w:hAnsi="Times New Roman" w:cs="Times New Roman"/>
              </w:rPr>
              <w:t>科目    编码</w:t>
            </w:r>
          </w:p>
        </w:tc>
        <w:tc>
          <w:tcPr>
            <w:tcW w:w="1170" w:type="dxa"/>
            <w:vAlign w:val="center"/>
          </w:tcPr>
          <w:p>
            <w:pPr>
              <w:pStyle w:val="7"/>
              <w:rPr>
                <w:rFonts w:hint="default" w:ascii="Times New Roman" w:hAnsi="Times New Roman" w:cs="Times New Roman"/>
              </w:rPr>
            </w:pPr>
            <w:r>
              <w:rPr>
                <w:rFonts w:hint="default" w:ascii="Times New Roman" w:hAnsi="Times New Roman" w:cs="Times New Roman"/>
              </w:rPr>
              <w:t>科目名称</w:t>
            </w:r>
          </w:p>
        </w:tc>
        <w:tc>
          <w:tcPr>
            <w:tcW w:w="1050" w:type="dxa"/>
            <w:vMerge w:val="continue"/>
          </w:tcPr>
          <w:p>
            <w:pPr>
              <w:rPr>
                <w:rFonts w:hint="default" w:ascii="Times New Roman" w:hAnsi="Times New Roman" w:cs="Times New Roman"/>
              </w:rPr>
            </w:pPr>
          </w:p>
        </w:tc>
        <w:tc>
          <w:tcPr>
            <w:tcW w:w="795" w:type="dxa"/>
            <w:vAlign w:val="center"/>
          </w:tcPr>
          <w:p>
            <w:pPr>
              <w:pStyle w:val="7"/>
              <w:rPr>
                <w:rFonts w:hint="default" w:ascii="Times New Roman" w:hAnsi="Times New Roman" w:cs="Times New Roman"/>
              </w:rPr>
            </w:pPr>
            <w:r>
              <w:rPr>
                <w:rFonts w:hint="default" w:ascii="Times New Roman" w:hAnsi="Times New Roman" w:cs="Times New Roman"/>
              </w:rPr>
              <w:t>小计</w:t>
            </w:r>
          </w:p>
        </w:tc>
        <w:tc>
          <w:tcPr>
            <w:tcW w:w="885" w:type="dxa"/>
            <w:vAlign w:val="center"/>
          </w:tcPr>
          <w:p>
            <w:pPr>
              <w:pStyle w:val="7"/>
              <w:rPr>
                <w:rFonts w:hint="default" w:ascii="Times New Roman" w:hAnsi="Times New Roman" w:cs="Times New Roman"/>
              </w:rPr>
            </w:pPr>
            <w:r>
              <w:rPr>
                <w:rFonts w:hint="default" w:ascii="Times New Roman" w:hAnsi="Times New Roman" w:cs="Times New Roman"/>
              </w:rPr>
              <w:t>财政拨款 收入</w:t>
            </w:r>
          </w:p>
        </w:tc>
        <w:tc>
          <w:tcPr>
            <w:tcW w:w="705" w:type="dxa"/>
            <w:vAlign w:val="center"/>
          </w:tcPr>
          <w:p>
            <w:pPr>
              <w:pStyle w:val="7"/>
              <w:rPr>
                <w:rFonts w:hint="default" w:ascii="Times New Roman" w:hAnsi="Times New Roman" w:cs="Times New Roman"/>
              </w:rPr>
            </w:pPr>
            <w:r>
              <w:rPr>
                <w:rFonts w:hint="default" w:ascii="Times New Roman" w:hAnsi="Times New Roman" w:cs="Times New Roman"/>
              </w:rPr>
              <w:t>财政专户 收入</w:t>
            </w:r>
          </w:p>
        </w:tc>
        <w:tc>
          <w:tcPr>
            <w:tcW w:w="585" w:type="dxa"/>
            <w:vAlign w:val="center"/>
          </w:tcPr>
          <w:p>
            <w:pPr>
              <w:pStyle w:val="7"/>
              <w:rPr>
                <w:rFonts w:hint="default" w:ascii="Times New Roman" w:hAnsi="Times New Roman" w:cs="Times New Roman"/>
              </w:rPr>
            </w:pPr>
            <w:r>
              <w:rPr>
                <w:rFonts w:hint="default" w:ascii="Times New Roman" w:hAnsi="Times New Roman" w:cs="Times New Roman"/>
              </w:rPr>
              <w:t>事业收入</w:t>
            </w:r>
          </w:p>
        </w:tc>
        <w:tc>
          <w:tcPr>
            <w:tcW w:w="435" w:type="dxa"/>
            <w:vAlign w:val="center"/>
          </w:tcPr>
          <w:p>
            <w:pPr>
              <w:pStyle w:val="7"/>
              <w:rPr>
                <w:rFonts w:hint="default" w:ascii="Times New Roman" w:hAnsi="Times New Roman" w:cs="Times New Roman"/>
              </w:rPr>
            </w:pPr>
            <w:r>
              <w:rPr>
                <w:rFonts w:hint="default" w:ascii="Times New Roman" w:hAnsi="Times New Roman" w:cs="Times New Roman"/>
              </w:rPr>
              <w:t>经营收入</w:t>
            </w:r>
          </w:p>
        </w:tc>
        <w:tc>
          <w:tcPr>
            <w:tcW w:w="585" w:type="dxa"/>
            <w:vAlign w:val="center"/>
          </w:tcPr>
          <w:p>
            <w:pPr>
              <w:pStyle w:val="7"/>
              <w:rPr>
                <w:rFonts w:hint="default" w:ascii="Times New Roman" w:hAnsi="Times New Roman" w:cs="Times New Roman"/>
              </w:rPr>
            </w:pPr>
            <w:r>
              <w:rPr>
                <w:rFonts w:hint="default" w:ascii="Times New Roman" w:hAnsi="Times New Roman" w:cs="Times New Roman"/>
              </w:rPr>
              <w:t>上级补助收入</w:t>
            </w:r>
          </w:p>
        </w:tc>
        <w:tc>
          <w:tcPr>
            <w:tcW w:w="540" w:type="dxa"/>
            <w:vAlign w:val="center"/>
          </w:tcPr>
          <w:p>
            <w:pPr>
              <w:pStyle w:val="7"/>
              <w:rPr>
                <w:rFonts w:hint="default" w:ascii="Times New Roman" w:hAnsi="Times New Roman" w:cs="Times New Roman"/>
              </w:rPr>
            </w:pPr>
            <w:r>
              <w:rPr>
                <w:rFonts w:hint="default" w:ascii="Times New Roman" w:hAnsi="Times New Roman" w:cs="Times New Roman"/>
              </w:rPr>
              <w:t>附属单位上缴收入</w:t>
            </w:r>
          </w:p>
        </w:tc>
        <w:tc>
          <w:tcPr>
            <w:tcW w:w="450" w:type="dxa"/>
            <w:vAlign w:val="center"/>
          </w:tcPr>
          <w:p>
            <w:pPr>
              <w:pStyle w:val="7"/>
              <w:rPr>
                <w:rFonts w:hint="default" w:ascii="Times New Roman" w:hAnsi="Times New Roman" w:cs="Times New Roman"/>
              </w:rPr>
            </w:pPr>
            <w:r>
              <w:rPr>
                <w:rFonts w:hint="default" w:ascii="Times New Roman" w:hAnsi="Times New Roman" w:cs="Times New Roman"/>
              </w:rPr>
              <w:t>其他收入</w:t>
            </w:r>
          </w:p>
        </w:tc>
        <w:tc>
          <w:tcPr>
            <w:tcW w:w="884"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rPr>
                <w:rFonts w:hint="default" w:ascii="Times New Roman" w:hAnsi="Times New Roman" w:cs="Times New Roman"/>
              </w:rPr>
            </w:pPr>
            <w:r>
              <w:rPr>
                <w:rFonts w:hint="default" w:ascii="Times New Roman" w:hAnsi="Times New Roman" w:cs="Times New Roman"/>
              </w:rPr>
              <w:t>栏次</w:t>
            </w:r>
          </w:p>
        </w:tc>
        <w:tc>
          <w:tcPr>
            <w:tcW w:w="1012"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1170"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1050"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795"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885" w:type="dxa"/>
            <w:vAlign w:val="center"/>
          </w:tcPr>
          <w:p>
            <w:pPr>
              <w:pStyle w:val="7"/>
              <w:rPr>
                <w:rFonts w:hint="default" w:ascii="Times New Roman" w:hAnsi="Times New Roman" w:cs="Times New Roman"/>
              </w:rPr>
            </w:pPr>
            <w:r>
              <w:rPr>
                <w:rFonts w:hint="default" w:ascii="Times New Roman" w:hAnsi="Times New Roman" w:cs="Times New Roman"/>
              </w:rPr>
              <w:t>5</w:t>
            </w:r>
          </w:p>
        </w:tc>
        <w:tc>
          <w:tcPr>
            <w:tcW w:w="705" w:type="dxa"/>
            <w:vAlign w:val="center"/>
          </w:tcPr>
          <w:p>
            <w:pPr>
              <w:pStyle w:val="7"/>
              <w:rPr>
                <w:rFonts w:hint="default" w:ascii="Times New Roman" w:hAnsi="Times New Roman" w:cs="Times New Roman"/>
              </w:rPr>
            </w:pPr>
            <w:r>
              <w:rPr>
                <w:rFonts w:hint="default" w:ascii="Times New Roman" w:hAnsi="Times New Roman" w:cs="Times New Roman"/>
              </w:rPr>
              <w:t>6</w:t>
            </w:r>
          </w:p>
        </w:tc>
        <w:tc>
          <w:tcPr>
            <w:tcW w:w="585" w:type="dxa"/>
            <w:vAlign w:val="center"/>
          </w:tcPr>
          <w:p>
            <w:pPr>
              <w:pStyle w:val="7"/>
              <w:rPr>
                <w:rFonts w:hint="default" w:ascii="Times New Roman" w:hAnsi="Times New Roman" w:cs="Times New Roman"/>
              </w:rPr>
            </w:pPr>
            <w:r>
              <w:rPr>
                <w:rFonts w:hint="default" w:ascii="Times New Roman" w:hAnsi="Times New Roman" w:cs="Times New Roman"/>
              </w:rPr>
              <w:t>7</w:t>
            </w:r>
          </w:p>
        </w:tc>
        <w:tc>
          <w:tcPr>
            <w:tcW w:w="435" w:type="dxa"/>
            <w:vAlign w:val="center"/>
          </w:tcPr>
          <w:p>
            <w:pPr>
              <w:pStyle w:val="7"/>
              <w:rPr>
                <w:rFonts w:hint="default" w:ascii="Times New Roman" w:hAnsi="Times New Roman" w:cs="Times New Roman"/>
              </w:rPr>
            </w:pPr>
            <w:r>
              <w:rPr>
                <w:rFonts w:hint="default" w:ascii="Times New Roman" w:hAnsi="Times New Roman" w:cs="Times New Roman"/>
              </w:rPr>
              <w:t>8</w:t>
            </w:r>
          </w:p>
        </w:tc>
        <w:tc>
          <w:tcPr>
            <w:tcW w:w="585" w:type="dxa"/>
            <w:vAlign w:val="center"/>
          </w:tcPr>
          <w:p>
            <w:pPr>
              <w:pStyle w:val="7"/>
              <w:rPr>
                <w:rFonts w:hint="default" w:ascii="Times New Roman" w:hAnsi="Times New Roman" w:cs="Times New Roman"/>
              </w:rPr>
            </w:pPr>
            <w:r>
              <w:rPr>
                <w:rFonts w:hint="default" w:ascii="Times New Roman" w:hAnsi="Times New Roman" w:cs="Times New Roman"/>
              </w:rPr>
              <w:t>9</w:t>
            </w:r>
          </w:p>
        </w:tc>
        <w:tc>
          <w:tcPr>
            <w:tcW w:w="540" w:type="dxa"/>
            <w:vAlign w:val="center"/>
          </w:tcPr>
          <w:p>
            <w:pPr>
              <w:pStyle w:val="7"/>
              <w:rPr>
                <w:rFonts w:hint="default" w:ascii="Times New Roman" w:hAnsi="Times New Roman" w:cs="Times New Roman"/>
              </w:rPr>
            </w:pPr>
            <w:r>
              <w:rPr>
                <w:rFonts w:hint="default" w:ascii="Times New Roman" w:hAnsi="Times New Roman" w:cs="Times New Roman"/>
              </w:rPr>
              <w:t>10</w:t>
            </w:r>
          </w:p>
        </w:tc>
        <w:tc>
          <w:tcPr>
            <w:tcW w:w="450" w:type="dxa"/>
            <w:vAlign w:val="center"/>
          </w:tcPr>
          <w:p>
            <w:pPr>
              <w:pStyle w:val="7"/>
              <w:rPr>
                <w:rFonts w:hint="default" w:ascii="Times New Roman" w:hAnsi="Times New Roman" w:cs="Times New Roman"/>
              </w:rPr>
            </w:pPr>
            <w:r>
              <w:rPr>
                <w:rFonts w:hint="default" w:ascii="Times New Roman" w:hAnsi="Times New Roman" w:cs="Times New Roman"/>
              </w:rPr>
              <w:t>11</w:t>
            </w:r>
          </w:p>
        </w:tc>
        <w:tc>
          <w:tcPr>
            <w:tcW w:w="884" w:type="dxa"/>
            <w:vAlign w:val="center"/>
          </w:tcPr>
          <w:p>
            <w:pPr>
              <w:pStyle w:val="7"/>
              <w:rPr>
                <w:rFonts w:hint="default" w:ascii="Times New Roman" w:hAnsi="Times New Roman" w:cs="Times New Roman"/>
              </w:rPr>
            </w:pPr>
            <w:r>
              <w:rPr>
                <w:rFonts w:hint="default" w:ascii="Times New Roman" w:hAnsi="Times New Roman"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w:t>
            </w:r>
          </w:p>
        </w:tc>
        <w:tc>
          <w:tcPr>
            <w:tcW w:w="1012" w:type="dxa"/>
            <w:vAlign w:val="center"/>
          </w:tcPr>
          <w:p>
            <w:pPr>
              <w:pStyle w:val="13"/>
              <w:rPr>
                <w:rFonts w:hint="default" w:ascii="Times New Roman" w:hAnsi="Times New Roman" w:cs="Times New Roman"/>
              </w:rPr>
            </w:pPr>
          </w:p>
        </w:tc>
        <w:tc>
          <w:tcPr>
            <w:tcW w:w="1170" w:type="dxa"/>
            <w:vAlign w:val="center"/>
          </w:tcPr>
          <w:p>
            <w:pPr>
              <w:pStyle w:val="11"/>
              <w:rPr>
                <w:rFonts w:hint="default" w:ascii="Times New Roman" w:hAnsi="Times New Roman" w:cs="Times New Roman"/>
              </w:rPr>
            </w:pPr>
            <w:r>
              <w:rPr>
                <w:rFonts w:hint="default" w:ascii="Times New Roman" w:hAnsi="Times New Roman" w:cs="Times New Roman"/>
              </w:rPr>
              <w:t>合计</w:t>
            </w:r>
          </w:p>
        </w:tc>
        <w:tc>
          <w:tcPr>
            <w:tcW w:w="1050"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c>
          <w:tcPr>
            <w:tcW w:w="795" w:type="dxa"/>
            <w:vAlign w:val="center"/>
          </w:tcPr>
          <w:p>
            <w:pPr>
              <w:pStyle w:val="12"/>
              <w:jc w:val="center"/>
              <w:rPr>
                <w:rFonts w:hint="default" w:ascii="Times New Roman" w:hAnsi="Times New Roman" w:cs="Times New Roman"/>
              </w:rPr>
            </w:pPr>
            <w:r>
              <w:rPr>
                <w:rFonts w:hint="default" w:ascii="Times New Roman" w:hAnsi="Times New Roman" w:cs="Times New Roman"/>
              </w:rPr>
              <w:t>797.59</w:t>
            </w:r>
          </w:p>
        </w:tc>
        <w:tc>
          <w:tcPr>
            <w:tcW w:w="885" w:type="dxa"/>
            <w:vAlign w:val="center"/>
          </w:tcPr>
          <w:p>
            <w:pPr>
              <w:pStyle w:val="12"/>
              <w:jc w:val="center"/>
              <w:rPr>
                <w:rFonts w:hint="default" w:ascii="Times New Roman" w:hAnsi="Times New Roman" w:cs="Times New Roman"/>
              </w:rPr>
            </w:pPr>
            <w:r>
              <w:rPr>
                <w:rFonts w:hint="default" w:ascii="Times New Roman" w:hAnsi="Times New Roman" w:cs="Times New Roman"/>
              </w:rPr>
              <w:t>797.59</w:t>
            </w:r>
          </w:p>
        </w:tc>
        <w:tc>
          <w:tcPr>
            <w:tcW w:w="705" w:type="dxa"/>
            <w:vAlign w:val="center"/>
          </w:tcPr>
          <w:p>
            <w:pPr>
              <w:pStyle w:val="12"/>
              <w:jc w:val="center"/>
              <w:rPr>
                <w:rFonts w:hint="default" w:ascii="Times New Roman" w:hAnsi="Times New Roman" w:cs="Times New Roman"/>
              </w:rPr>
            </w:pPr>
          </w:p>
        </w:tc>
        <w:tc>
          <w:tcPr>
            <w:tcW w:w="585" w:type="dxa"/>
            <w:vAlign w:val="center"/>
          </w:tcPr>
          <w:p>
            <w:pPr>
              <w:pStyle w:val="12"/>
              <w:jc w:val="center"/>
              <w:rPr>
                <w:rFonts w:hint="default" w:ascii="Times New Roman" w:hAnsi="Times New Roman" w:cs="Times New Roman"/>
              </w:rPr>
            </w:pPr>
          </w:p>
        </w:tc>
        <w:tc>
          <w:tcPr>
            <w:tcW w:w="435" w:type="dxa"/>
            <w:vAlign w:val="center"/>
          </w:tcPr>
          <w:p>
            <w:pPr>
              <w:pStyle w:val="12"/>
              <w:jc w:val="center"/>
              <w:rPr>
                <w:rFonts w:hint="default" w:ascii="Times New Roman" w:hAnsi="Times New Roman" w:cs="Times New Roman"/>
              </w:rPr>
            </w:pPr>
          </w:p>
        </w:tc>
        <w:tc>
          <w:tcPr>
            <w:tcW w:w="585" w:type="dxa"/>
            <w:vAlign w:val="center"/>
          </w:tcPr>
          <w:p>
            <w:pPr>
              <w:pStyle w:val="12"/>
              <w:jc w:val="center"/>
              <w:rPr>
                <w:rFonts w:hint="default" w:ascii="Times New Roman" w:hAnsi="Times New Roman" w:cs="Times New Roman"/>
              </w:rPr>
            </w:pPr>
          </w:p>
        </w:tc>
        <w:tc>
          <w:tcPr>
            <w:tcW w:w="540" w:type="dxa"/>
            <w:vAlign w:val="center"/>
          </w:tcPr>
          <w:p>
            <w:pPr>
              <w:pStyle w:val="12"/>
              <w:jc w:val="center"/>
              <w:rPr>
                <w:rFonts w:hint="default" w:ascii="Times New Roman" w:hAnsi="Times New Roman" w:cs="Times New Roman"/>
              </w:rPr>
            </w:pPr>
          </w:p>
        </w:tc>
        <w:tc>
          <w:tcPr>
            <w:tcW w:w="450" w:type="dxa"/>
            <w:vAlign w:val="center"/>
          </w:tcPr>
          <w:p>
            <w:pPr>
              <w:pStyle w:val="12"/>
              <w:jc w:val="center"/>
              <w:rPr>
                <w:rFonts w:hint="default" w:ascii="Times New Roman" w:hAnsi="Times New Roman" w:cs="Times New Roman"/>
              </w:rPr>
            </w:pPr>
          </w:p>
        </w:tc>
        <w:tc>
          <w:tcPr>
            <w:tcW w:w="884" w:type="dxa"/>
            <w:vAlign w:val="center"/>
          </w:tcPr>
          <w:p>
            <w:pPr>
              <w:pStyle w:val="12"/>
              <w:jc w:val="center"/>
              <w:rPr>
                <w:rFonts w:hint="default" w:ascii="Times New Roman" w:hAnsi="Times New Roman" w:cs="Times New Roman"/>
              </w:rPr>
            </w:pPr>
            <w:r>
              <w:rPr>
                <w:rFonts w:hint="default" w:ascii="Times New Roman" w:hAnsi="Times New Roman" w:cs="Times New Roman"/>
              </w:rPr>
              <w:t>1241.49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2</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201</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一般公共服务支出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635.53</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635.53</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635.53</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3</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20104</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发展与改革事务</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4</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2010401</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行政运行</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5</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20105</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统计信息事务</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6</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2010507</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专项普查活动</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7</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20113</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商贸事务</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8</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2011308</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招商引资</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9</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208</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社会保障和就业支出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10</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20805</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行政事业单位养老支出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11</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2080501</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行政单位离退休</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3.50</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3.50</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3.50</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12</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2080505</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机关事业单位基本养老保险缴费支出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58.30</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58.30</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58.30</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13</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2080506</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机关事业单位职业年金缴费支出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3.93</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3.93</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3.93</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14</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210</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卫生健康支出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15</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21011</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行政事业单位医疗</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16</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2101101</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行政单位医疗</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17</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215</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资源勘探工业信息等支出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1215.00</w:t>
            </w:r>
          </w:p>
        </w:tc>
        <w:tc>
          <w:tcPr>
            <w:tcW w:w="795" w:type="dxa"/>
            <w:vAlign w:val="center"/>
          </w:tcPr>
          <w:p>
            <w:pPr>
              <w:pStyle w:val="10"/>
              <w:jc w:val="center"/>
              <w:rPr>
                <w:rFonts w:hint="default" w:ascii="Times New Roman" w:hAnsi="Times New Roman" w:cs="Times New Roman"/>
              </w:rPr>
            </w:pPr>
          </w:p>
        </w:tc>
        <w:tc>
          <w:tcPr>
            <w:tcW w:w="88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r>
              <w:rPr>
                <w:rFonts w:hint="default" w:ascii="Times New Roman" w:hAnsi="Times New Roman" w:cs="Times New Roman"/>
              </w:rPr>
              <w:t>1215.00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18</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21502</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制造业</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c>
          <w:tcPr>
            <w:tcW w:w="795" w:type="dxa"/>
            <w:vAlign w:val="center"/>
          </w:tcPr>
          <w:p>
            <w:pPr>
              <w:pStyle w:val="10"/>
              <w:jc w:val="center"/>
              <w:rPr>
                <w:rFonts w:hint="default" w:ascii="Times New Roman" w:hAnsi="Times New Roman" w:cs="Times New Roman"/>
              </w:rPr>
            </w:pPr>
          </w:p>
        </w:tc>
        <w:tc>
          <w:tcPr>
            <w:tcW w:w="88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19</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2150205</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医药制造业</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c>
          <w:tcPr>
            <w:tcW w:w="795" w:type="dxa"/>
            <w:vAlign w:val="center"/>
          </w:tcPr>
          <w:p>
            <w:pPr>
              <w:pStyle w:val="10"/>
              <w:jc w:val="center"/>
              <w:rPr>
                <w:rFonts w:hint="default" w:ascii="Times New Roman" w:hAnsi="Times New Roman" w:cs="Times New Roman"/>
              </w:rPr>
            </w:pPr>
          </w:p>
        </w:tc>
        <w:tc>
          <w:tcPr>
            <w:tcW w:w="88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20</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21505</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工业和信息产业监管</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c>
          <w:tcPr>
            <w:tcW w:w="795" w:type="dxa"/>
            <w:vAlign w:val="center"/>
          </w:tcPr>
          <w:p>
            <w:pPr>
              <w:pStyle w:val="10"/>
              <w:jc w:val="center"/>
              <w:rPr>
                <w:rFonts w:hint="default" w:ascii="Times New Roman" w:hAnsi="Times New Roman" w:cs="Times New Roman"/>
              </w:rPr>
            </w:pPr>
          </w:p>
        </w:tc>
        <w:tc>
          <w:tcPr>
            <w:tcW w:w="88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21</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2150517</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产业发展</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c>
          <w:tcPr>
            <w:tcW w:w="795" w:type="dxa"/>
            <w:vAlign w:val="center"/>
          </w:tcPr>
          <w:p>
            <w:pPr>
              <w:pStyle w:val="10"/>
              <w:jc w:val="center"/>
              <w:rPr>
                <w:rFonts w:hint="default" w:ascii="Times New Roman" w:hAnsi="Times New Roman" w:cs="Times New Roman"/>
              </w:rPr>
            </w:pPr>
          </w:p>
        </w:tc>
        <w:tc>
          <w:tcPr>
            <w:tcW w:w="88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22</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216</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商业服务业等支出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795" w:type="dxa"/>
            <w:vAlign w:val="center"/>
          </w:tcPr>
          <w:p>
            <w:pPr>
              <w:pStyle w:val="10"/>
              <w:jc w:val="center"/>
              <w:rPr>
                <w:rFonts w:hint="default" w:ascii="Times New Roman" w:hAnsi="Times New Roman" w:cs="Times New Roman"/>
              </w:rPr>
            </w:pPr>
          </w:p>
        </w:tc>
        <w:tc>
          <w:tcPr>
            <w:tcW w:w="88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23</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21606</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涉外发展服务支出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795" w:type="dxa"/>
            <w:vAlign w:val="center"/>
          </w:tcPr>
          <w:p>
            <w:pPr>
              <w:pStyle w:val="10"/>
              <w:jc w:val="center"/>
              <w:rPr>
                <w:rFonts w:hint="default" w:ascii="Times New Roman" w:hAnsi="Times New Roman" w:cs="Times New Roman"/>
              </w:rPr>
            </w:pPr>
          </w:p>
        </w:tc>
        <w:tc>
          <w:tcPr>
            <w:tcW w:w="88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24</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2160699</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其他涉外发展服务支出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795" w:type="dxa"/>
            <w:vAlign w:val="center"/>
          </w:tcPr>
          <w:p>
            <w:pPr>
              <w:pStyle w:val="10"/>
              <w:jc w:val="center"/>
              <w:rPr>
                <w:rFonts w:hint="default" w:ascii="Times New Roman" w:hAnsi="Times New Roman" w:cs="Times New Roman"/>
              </w:rPr>
            </w:pPr>
          </w:p>
        </w:tc>
        <w:tc>
          <w:tcPr>
            <w:tcW w:w="88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25</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221</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住房保障支出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26</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22102</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住房改革支出</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rPr>
                <w:rFonts w:hint="default" w:ascii="Times New Roman" w:hAnsi="Times New Roman" w:cs="Times New Roman"/>
              </w:rPr>
            </w:pPr>
            <w:r>
              <w:rPr>
                <w:rFonts w:hint="default" w:ascii="Times New Roman" w:hAnsi="Times New Roman" w:cs="Times New Roman"/>
              </w:rPr>
              <w:t>27</w:t>
            </w:r>
          </w:p>
        </w:tc>
        <w:tc>
          <w:tcPr>
            <w:tcW w:w="1012" w:type="dxa"/>
            <w:vAlign w:val="center"/>
          </w:tcPr>
          <w:p>
            <w:pPr>
              <w:pStyle w:val="9"/>
              <w:jc w:val="center"/>
              <w:rPr>
                <w:rFonts w:hint="default" w:ascii="Times New Roman" w:hAnsi="Times New Roman" w:cs="Times New Roman"/>
              </w:rPr>
            </w:pPr>
            <w:r>
              <w:rPr>
                <w:rFonts w:hint="default" w:ascii="Times New Roman" w:hAnsi="Times New Roman" w:cs="Times New Roman"/>
              </w:rPr>
              <w:t>2210201</w:t>
            </w:r>
          </w:p>
        </w:tc>
        <w:tc>
          <w:tcPr>
            <w:tcW w:w="1170" w:type="dxa"/>
            <w:vAlign w:val="center"/>
          </w:tcPr>
          <w:p>
            <w:pPr>
              <w:pStyle w:val="9"/>
              <w:rPr>
                <w:rFonts w:hint="default" w:ascii="Times New Roman" w:hAnsi="Times New Roman" w:cs="Times New Roman"/>
              </w:rPr>
            </w:pPr>
            <w:r>
              <w:rPr>
                <w:rFonts w:hint="default" w:ascii="Times New Roman" w:hAnsi="Times New Roman" w:cs="Times New Roman"/>
              </w:rPr>
              <w:t>住房公积金</w:t>
            </w:r>
          </w:p>
        </w:tc>
        <w:tc>
          <w:tcPr>
            <w:tcW w:w="105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79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88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70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435" w:type="dxa"/>
            <w:vAlign w:val="center"/>
          </w:tcPr>
          <w:p>
            <w:pPr>
              <w:pStyle w:val="10"/>
              <w:jc w:val="center"/>
              <w:rPr>
                <w:rFonts w:hint="default" w:ascii="Times New Roman" w:hAnsi="Times New Roman" w:cs="Times New Roman"/>
              </w:rPr>
            </w:pPr>
          </w:p>
        </w:tc>
        <w:tc>
          <w:tcPr>
            <w:tcW w:w="585" w:type="dxa"/>
            <w:vAlign w:val="center"/>
          </w:tcPr>
          <w:p>
            <w:pPr>
              <w:pStyle w:val="10"/>
              <w:jc w:val="center"/>
              <w:rPr>
                <w:rFonts w:hint="default" w:ascii="Times New Roman" w:hAnsi="Times New Roman" w:cs="Times New Roman"/>
              </w:rPr>
            </w:pPr>
          </w:p>
        </w:tc>
        <w:tc>
          <w:tcPr>
            <w:tcW w:w="540" w:type="dxa"/>
            <w:vAlign w:val="center"/>
          </w:tcPr>
          <w:p>
            <w:pPr>
              <w:pStyle w:val="10"/>
              <w:jc w:val="center"/>
              <w:rPr>
                <w:rFonts w:hint="default" w:ascii="Times New Roman" w:hAnsi="Times New Roman" w:cs="Times New Roman"/>
              </w:rPr>
            </w:pPr>
          </w:p>
        </w:tc>
        <w:tc>
          <w:tcPr>
            <w:tcW w:w="450" w:type="dxa"/>
            <w:vAlign w:val="center"/>
          </w:tcPr>
          <w:p>
            <w:pPr>
              <w:pStyle w:val="10"/>
              <w:jc w:val="center"/>
              <w:rPr>
                <w:rFonts w:hint="default" w:ascii="Times New Roman" w:hAnsi="Times New Roman" w:cs="Times New Roman"/>
              </w:rPr>
            </w:pPr>
          </w:p>
        </w:tc>
        <w:tc>
          <w:tcPr>
            <w:tcW w:w="884" w:type="dxa"/>
            <w:vAlign w:val="center"/>
          </w:tcPr>
          <w:p>
            <w:pPr>
              <w:pStyle w:val="10"/>
              <w:jc w:val="center"/>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366"/>
        <w:gridCol w:w="1695"/>
        <w:gridCol w:w="990"/>
        <w:gridCol w:w="960"/>
        <w:gridCol w:w="1155"/>
        <w:gridCol w:w="404"/>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56"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303001秦皇岛北戴河新区发展改革局本级</w:t>
            </w:r>
          </w:p>
        </w:tc>
        <w:tc>
          <w:tcPr>
            <w:tcW w:w="1950" w:type="dxa"/>
            <w:gridSpan w:val="2"/>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3749" w:type="dxa"/>
            <w:gridSpan w:val="4"/>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7"/>
              <w:rPr>
                <w:rFonts w:hint="default" w:ascii="Times New Roman" w:hAnsi="Times New Roman" w:cs="Times New Roman"/>
              </w:rPr>
            </w:pPr>
            <w:r>
              <w:rPr>
                <w:rFonts w:hint="default" w:ascii="Times New Roman" w:hAnsi="Times New Roman" w:cs="Times New Roman"/>
              </w:rPr>
              <w:t>序号</w:t>
            </w:r>
          </w:p>
        </w:tc>
        <w:tc>
          <w:tcPr>
            <w:tcW w:w="1366" w:type="dxa"/>
            <w:vAlign w:val="center"/>
          </w:tcPr>
          <w:p>
            <w:pPr>
              <w:pStyle w:val="7"/>
              <w:rPr>
                <w:rFonts w:hint="default" w:ascii="Times New Roman" w:hAnsi="Times New Roman" w:cs="Times New Roman"/>
              </w:rPr>
            </w:pPr>
            <w:r>
              <w:rPr>
                <w:rFonts w:hint="default" w:ascii="Times New Roman" w:hAnsi="Times New Roman" w:cs="Times New Roman"/>
              </w:rPr>
              <w:t>功能分类科目</w:t>
            </w:r>
          </w:p>
        </w:tc>
        <w:tc>
          <w:tcPr>
            <w:tcW w:w="1695" w:type="dxa"/>
          </w:tcPr>
          <w:p>
            <w:pPr>
              <w:rPr>
                <w:rFonts w:hint="default" w:ascii="Times New Roman" w:hAnsi="Times New Roman" w:cs="Times New Roman"/>
              </w:rPr>
            </w:pPr>
          </w:p>
        </w:tc>
        <w:tc>
          <w:tcPr>
            <w:tcW w:w="990" w:type="dxa"/>
            <w:vMerge w:val="restart"/>
            <w:vAlign w:val="center"/>
          </w:tcPr>
          <w:p>
            <w:pPr>
              <w:pStyle w:val="7"/>
              <w:rPr>
                <w:rFonts w:hint="default" w:ascii="Times New Roman" w:hAnsi="Times New Roman" w:cs="Times New Roman"/>
              </w:rPr>
            </w:pPr>
            <w:r>
              <w:rPr>
                <w:rFonts w:hint="default" w:ascii="Times New Roman" w:hAnsi="Times New Roman" w:cs="Times New Roman"/>
              </w:rPr>
              <w:t>合计</w:t>
            </w:r>
          </w:p>
        </w:tc>
        <w:tc>
          <w:tcPr>
            <w:tcW w:w="960" w:type="dxa"/>
            <w:vMerge w:val="restart"/>
            <w:vAlign w:val="center"/>
          </w:tcPr>
          <w:p>
            <w:pPr>
              <w:pStyle w:val="7"/>
              <w:rPr>
                <w:rFonts w:hint="default" w:ascii="Times New Roman" w:hAnsi="Times New Roman" w:cs="Times New Roman"/>
              </w:rPr>
            </w:pPr>
            <w:r>
              <w:rPr>
                <w:rFonts w:hint="default" w:ascii="Times New Roman" w:hAnsi="Times New Roman" w:cs="Times New Roman"/>
              </w:rPr>
              <w:t>基本支出</w:t>
            </w:r>
          </w:p>
        </w:tc>
        <w:tc>
          <w:tcPr>
            <w:tcW w:w="1155" w:type="dxa"/>
            <w:vMerge w:val="restart"/>
            <w:vAlign w:val="center"/>
          </w:tcPr>
          <w:p>
            <w:pPr>
              <w:pStyle w:val="7"/>
              <w:rPr>
                <w:rFonts w:hint="default" w:ascii="Times New Roman" w:hAnsi="Times New Roman" w:cs="Times New Roman"/>
              </w:rPr>
            </w:pPr>
            <w:r>
              <w:rPr>
                <w:rFonts w:hint="default" w:ascii="Times New Roman" w:hAnsi="Times New Roman" w:cs="Times New Roman"/>
              </w:rPr>
              <w:t>项目支出</w:t>
            </w:r>
          </w:p>
        </w:tc>
        <w:tc>
          <w:tcPr>
            <w:tcW w:w="404" w:type="dxa"/>
            <w:vMerge w:val="restart"/>
            <w:vAlign w:val="center"/>
          </w:tcPr>
          <w:p>
            <w:pPr>
              <w:pStyle w:val="7"/>
              <w:rPr>
                <w:rFonts w:hint="default" w:ascii="Times New Roman" w:hAnsi="Times New Roman" w:cs="Times New Roman"/>
              </w:rPr>
            </w:pPr>
            <w:r>
              <w:rPr>
                <w:rFonts w:hint="default" w:ascii="Times New Roman" w:hAnsi="Times New Roman" w:cs="Times New Roman"/>
              </w:rPr>
              <w:t>经营支出</w:t>
            </w:r>
          </w:p>
        </w:tc>
        <w:tc>
          <w:tcPr>
            <w:tcW w:w="1095" w:type="dxa"/>
            <w:vMerge w:val="restart"/>
            <w:vAlign w:val="center"/>
          </w:tcPr>
          <w:p>
            <w:pPr>
              <w:pStyle w:val="7"/>
              <w:rPr>
                <w:rFonts w:hint="default" w:ascii="Times New Roman" w:hAnsi="Times New Roman" w:cs="Times New Roman"/>
              </w:rPr>
            </w:pPr>
            <w:r>
              <w:rPr>
                <w:rFonts w:hint="default" w:ascii="Times New Roman" w:hAnsi="Times New Roman" w:cs="Times New Roman"/>
              </w:rPr>
              <w:t>上解上级     支出</w:t>
            </w:r>
          </w:p>
        </w:tc>
        <w:tc>
          <w:tcPr>
            <w:tcW w:w="1095" w:type="dxa"/>
            <w:vMerge w:val="restart"/>
            <w:vAlign w:val="center"/>
          </w:tcPr>
          <w:p>
            <w:pPr>
              <w:pStyle w:val="7"/>
              <w:rPr>
                <w:rFonts w:hint="default" w:ascii="Times New Roman" w:hAnsi="Times New Roman" w:cs="Times New Roman"/>
              </w:rPr>
            </w:pPr>
            <w:r>
              <w:rPr>
                <w:rFonts w:hint="default" w:ascii="Times New Roman" w:hAnsi="Times New Roman"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pPr>
              <w:rPr>
                <w:rFonts w:hint="default" w:ascii="Times New Roman" w:hAnsi="Times New Roman" w:cs="Times New Roman"/>
              </w:rPr>
            </w:pPr>
          </w:p>
        </w:tc>
        <w:tc>
          <w:tcPr>
            <w:tcW w:w="1366" w:type="dxa"/>
            <w:vAlign w:val="center"/>
          </w:tcPr>
          <w:p>
            <w:pPr>
              <w:pStyle w:val="7"/>
              <w:rPr>
                <w:rFonts w:hint="default" w:ascii="Times New Roman" w:hAnsi="Times New Roman" w:cs="Times New Roman"/>
              </w:rPr>
            </w:pPr>
            <w:r>
              <w:rPr>
                <w:rFonts w:hint="default" w:ascii="Times New Roman" w:hAnsi="Times New Roman" w:cs="Times New Roman"/>
              </w:rPr>
              <w:t>科目    编码</w:t>
            </w:r>
          </w:p>
        </w:tc>
        <w:tc>
          <w:tcPr>
            <w:tcW w:w="1695" w:type="dxa"/>
            <w:vAlign w:val="center"/>
          </w:tcPr>
          <w:p>
            <w:pPr>
              <w:pStyle w:val="7"/>
              <w:rPr>
                <w:rFonts w:hint="default" w:ascii="Times New Roman" w:hAnsi="Times New Roman" w:cs="Times New Roman"/>
              </w:rPr>
            </w:pPr>
            <w:r>
              <w:rPr>
                <w:rFonts w:hint="default" w:ascii="Times New Roman" w:hAnsi="Times New Roman" w:cs="Times New Roman"/>
              </w:rPr>
              <w:t>科目名称</w:t>
            </w:r>
          </w:p>
        </w:tc>
        <w:tc>
          <w:tcPr>
            <w:tcW w:w="990" w:type="dxa"/>
            <w:vMerge w:val="continue"/>
          </w:tcPr>
          <w:p>
            <w:pPr>
              <w:rPr>
                <w:rFonts w:hint="default" w:ascii="Times New Roman" w:hAnsi="Times New Roman" w:cs="Times New Roman"/>
              </w:rPr>
            </w:pPr>
          </w:p>
        </w:tc>
        <w:tc>
          <w:tcPr>
            <w:tcW w:w="960" w:type="dxa"/>
            <w:vMerge w:val="continue"/>
          </w:tcPr>
          <w:p>
            <w:pPr>
              <w:rPr>
                <w:rFonts w:hint="default" w:ascii="Times New Roman" w:hAnsi="Times New Roman" w:cs="Times New Roman"/>
              </w:rPr>
            </w:pPr>
          </w:p>
        </w:tc>
        <w:tc>
          <w:tcPr>
            <w:tcW w:w="1155" w:type="dxa"/>
            <w:vMerge w:val="continue"/>
          </w:tcPr>
          <w:p>
            <w:pPr>
              <w:rPr>
                <w:rFonts w:hint="default" w:ascii="Times New Roman" w:hAnsi="Times New Roman" w:cs="Times New Roman"/>
              </w:rPr>
            </w:pPr>
          </w:p>
        </w:tc>
        <w:tc>
          <w:tcPr>
            <w:tcW w:w="404" w:type="dxa"/>
            <w:vMerge w:val="continue"/>
          </w:tcPr>
          <w:p>
            <w:pPr>
              <w:rPr>
                <w:rFonts w:hint="default" w:ascii="Times New Roman" w:hAnsi="Times New Roman" w:cs="Times New Roman"/>
              </w:rPr>
            </w:pPr>
          </w:p>
        </w:tc>
        <w:tc>
          <w:tcPr>
            <w:tcW w:w="1095" w:type="dxa"/>
            <w:vMerge w:val="continue"/>
          </w:tcPr>
          <w:p>
            <w:pPr>
              <w:rPr>
                <w:rFonts w:hint="default" w:ascii="Times New Roman" w:hAnsi="Times New Roman" w:cs="Times New Roman"/>
              </w:rPr>
            </w:pPr>
          </w:p>
        </w:tc>
        <w:tc>
          <w:tcPr>
            <w:tcW w:w="1095"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rPr>
                <w:rFonts w:hint="default" w:ascii="Times New Roman" w:hAnsi="Times New Roman" w:cs="Times New Roman"/>
              </w:rPr>
            </w:pPr>
            <w:r>
              <w:rPr>
                <w:rFonts w:hint="default" w:ascii="Times New Roman" w:hAnsi="Times New Roman" w:cs="Times New Roman"/>
              </w:rPr>
              <w:t>栏次</w:t>
            </w:r>
          </w:p>
        </w:tc>
        <w:tc>
          <w:tcPr>
            <w:tcW w:w="1366"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1695"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990"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960"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1155" w:type="dxa"/>
            <w:vAlign w:val="center"/>
          </w:tcPr>
          <w:p>
            <w:pPr>
              <w:pStyle w:val="7"/>
              <w:rPr>
                <w:rFonts w:hint="default" w:ascii="Times New Roman" w:hAnsi="Times New Roman" w:cs="Times New Roman"/>
              </w:rPr>
            </w:pPr>
            <w:r>
              <w:rPr>
                <w:rFonts w:hint="default" w:ascii="Times New Roman" w:hAnsi="Times New Roman" w:cs="Times New Roman"/>
              </w:rPr>
              <w:t>5</w:t>
            </w:r>
          </w:p>
        </w:tc>
        <w:tc>
          <w:tcPr>
            <w:tcW w:w="404" w:type="dxa"/>
            <w:vAlign w:val="center"/>
          </w:tcPr>
          <w:p>
            <w:pPr>
              <w:pStyle w:val="7"/>
              <w:rPr>
                <w:rFonts w:hint="default" w:ascii="Times New Roman" w:hAnsi="Times New Roman" w:cs="Times New Roman"/>
              </w:rPr>
            </w:pPr>
            <w:r>
              <w:rPr>
                <w:rFonts w:hint="default" w:ascii="Times New Roman" w:hAnsi="Times New Roman" w:cs="Times New Roman"/>
              </w:rPr>
              <w:t>6</w:t>
            </w:r>
          </w:p>
        </w:tc>
        <w:tc>
          <w:tcPr>
            <w:tcW w:w="1095" w:type="dxa"/>
            <w:vAlign w:val="center"/>
          </w:tcPr>
          <w:p>
            <w:pPr>
              <w:pStyle w:val="7"/>
              <w:rPr>
                <w:rFonts w:hint="default" w:ascii="Times New Roman" w:hAnsi="Times New Roman" w:cs="Times New Roman"/>
              </w:rPr>
            </w:pPr>
            <w:r>
              <w:rPr>
                <w:rFonts w:hint="default" w:ascii="Times New Roman" w:hAnsi="Times New Roman" w:cs="Times New Roman"/>
              </w:rPr>
              <w:t>7</w:t>
            </w:r>
          </w:p>
        </w:tc>
        <w:tc>
          <w:tcPr>
            <w:tcW w:w="1095" w:type="dxa"/>
            <w:vAlign w:val="center"/>
          </w:tcPr>
          <w:p>
            <w:pPr>
              <w:pStyle w:val="7"/>
              <w:rPr>
                <w:rFonts w:hint="default" w:ascii="Times New Roman" w:hAnsi="Times New Roman" w:cs="Times New Roman"/>
              </w:rPr>
            </w:pPr>
            <w:r>
              <w:rPr>
                <w:rFonts w:hint="default" w:ascii="Times New Roman" w:hAnsi="Times New Roman"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w:t>
            </w:r>
          </w:p>
        </w:tc>
        <w:tc>
          <w:tcPr>
            <w:tcW w:w="1366" w:type="dxa"/>
            <w:vAlign w:val="center"/>
          </w:tcPr>
          <w:p>
            <w:pPr>
              <w:pStyle w:val="13"/>
              <w:jc w:val="center"/>
              <w:rPr>
                <w:rFonts w:hint="default" w:ascii="Times New Roman" w:hAnsi="Times New Roman" w:cs="Times New Roman"/>
              </w:rPr>
            </w:pPr>
          </w:p>
        </w:tc>
        <w:tc>
          <w:tcPr>
            <w:tcW w:w="1695" w:type="dxa"/>
            <w:vAlign w:val="center"/>
          </w:tcPr>
          <w:p>
            <w:pPr>
              <w:pStyle w:val="11"/>
              <w:rPr>
                <w:rFonts w:hint="default" w:ascii="Times New Roman" w:hAnsi="Times New Roman" w:cs="Times New Roman"/>
              </w:rPr>
            </w:pPr>
            <w:r>
              <w:rPr>
                <w:rFonts w:hint="default" w:ascii="Times New Roman" w:hAnsi="Times New Roman" w:cs="Times New Roman"/>
              </w:rPr>
              <w:t>合计</w:t>
            </w:r>
          </w:p>
        </w:tc>
        <w:tc>
          <w:tcPr>
            <w:tcW w:w="990"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c>
          <w:tcPr>
            <w:tcW w:w="960" w:type="dxa"/>
            <w:vAlign w:val="center"/>
          </w:tcPr>
          <w:p>
            <w:pPr>
              <w:pStyle w:val="12"/>
              <w:jc w:val="center"/>
              <w:rPr>
                <w:rFonts w:hint="default" w:ascii="Times New Roman" w:hAnsi="Times New Roman" w:cs="Times New Roman"/>
              </w:rPr>
            </w:pPr>
            <w:r>
              <w:rPr>
                <w:rFonts w:hint="default" w:ascii="Times New Roman" w:hAnsi="Times New Roman" w:cs="Times New Roman"/>
              </w:rPr>
              <w:t>508.59</w:t>
            </w:r>
          </w:p>
        </w:tc>
        <w:tc>
          <w:tcPr>
            <w:tcW w:w="1155" w:type="dxa"/>
            <w:vAlign w:val="center"/>
          </w:tcPr>
          <w:p>
            <w:pPr>
              <w:pStyle w:val="12"/>
              <w:jc w:val="center"/>
              <w:rPr>
                <w:rFonts w:hint="default" w:ascii="Times New Roman" w:hAnsi="Times New Roman" w:cs="Times New Roman"/>
              </w:rPr>
            </w:pPr>
            <w:r>
              <w:rPr>
                <w:rFonts w:hint="default" w:ascii="Times New Roman" w:hAnsi="Times New Roman" w:cs="Times New Roman"/>
              </w:rPr>
              <w:t>1530.49</w:t>
            </w:r>
          </w:p>
        </w:tc>
        <w:tc>
          <w:tcPr>
            <w:tcW w:w="404" w:type="dxa"/>
            <w:vAlign w:val="center"/>
          </w:tcPr>
          <w:p>
            <w:pPr>
              <w:pStyle w:val="12"/>
              <w:rPr>
                <w:rFonts w:hint="default" w:ascii="Times New Roman" w:hAnsi="Times New Roman" w:cs="Times New Roman"/>
              </w:rPr>
            </w:pPr>
          </w:p>
        </w:tc>
        <w:tc>
          <w:tcPr>
            <w:tcW w:w="1095" w:type="dxa"/>
            <w:vAlign w:val="center"/>
          </w:tcPr>
          <w:p>
            <w:pPr>
              <w:pStyle w:val="12"/>
              <w:rPr>
                <w:rFonts w:hint="default" w:ascii="Times New Roman" w:hAnsi="Times New Roman" w:cs="Times New Roman"/>
              </w:rPr>
            </w:pPr>
          </w:p>
        </w:tc>
        <w:tc>
          <w:tcPr>
            <w:tcW w:w="1095" w:type="dxa"/>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2</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201</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一般公共服务支出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635.53</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346.53</w:t>
            </w: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289.00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3</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20104</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发展与改革事务</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346.53</w:t>
            </w: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4</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2010401</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行政运行</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346.53</w:t>
            </w: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5</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20105</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统计信息事务</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6</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2010507</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专项普查活动</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7</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20113</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商贸事务</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8</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2011308</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招商引资</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9</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208</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社会保障和就业支出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10</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20805</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行政事业单位养老支出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11</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2080501</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行政单位离退休</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3.50</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3.50</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12</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2080505</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机关事业单位基本养老保险缴费支出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58.30</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58.30</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13</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2080506</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机关事业单位职业年金缴费支出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3.93</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3.93</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14</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210</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卫生健康支出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15</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21011</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行政事业单位医疗</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16</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2101101</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行政单位医疗</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17</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215</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资源勘探工业信息等支出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1215.00</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1215.00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18</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21502</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制造业</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19</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2150205</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医药制造业</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20</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21505</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工业和信息产业监管</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21</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2150517</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产业发展</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22</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216</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商业服务业等支出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23</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21606</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涉外发展服务支出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24</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2160699</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其他涉外发展服务支出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960" w:type="dxa"/>
            <w:vAlign w:val="center"/>
          </w:tcPr>
          <w:p>
            <w:pPr>
              <w:pStyle w:val="10"/>
              <w:jc w:val="center"/>
              <w:rPr>
                <w:rFonts w:hint="default" w:ascii="Times New Roman" w:hAnsi="Times New Roman" w:cs="Times New Roman"/>
              </w:rPr>
            </w:pPr>
          </w:p>
        </w:tc>
        <w:tc>
          <w:tcPr>
            <w:tcW w:w="1155"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25</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221</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住房保障支出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26</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22102</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住房改革支出</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jc w:val="center"/>
              <w:rPr>
                <w:rFonts w:hint="default" w:ascii="Times New Roman" w:hAnsi="Times New Roman" w:cs="Times New Roman"/>
              </w:rPr>
            </w:pPr>
            <w:r>
              <w:rPr>
                <w:rFonts w:hint="default" w:ascii="Times New Roman" w:hAnsi="Times New Roman" w:cs="Times New Roman"/>
              </w:rPr>
              <w:t>27</w:t>
            </w:r>
          </w:p>
        </w:tc>
        <w:tc>
          <w:tcPr>
            <w:tcW w:w="1366" w:type="dxa"/>
            <w:vAlign w:val="center"/>
          </w:tcPr>
          <w:p>
            <w:pPr>
              <w:pStyle w:val="9"/>
              <w:jc w:val="center"/>
              <w:rPr>
                <w:rFonts w:hint="default" w:ascii="Times New Roman" w:hAnsi="Times New Roman" w:cs="Times New Roman"/>
              </w:rPr>
            </w:pPr>
            <w:r>
              <w:rPr>
                <w:rFonts w:hint="default" w:ascii="Times New Roman" w:hAnsi="Times New Roman" w:cs="Times New Roman"/>
              </w:rPr>
              <w:t>2210201</w:t>
            </w:r>
          </w:p>
        </w:tc>
        <w:tc>
          <w:tcPr>
            <w:tcW w:w="1695" w:type="dxa"/>
            <w:vAlign w:val="center"/>
          </w:tcPr>
          <w:p>
            <w:pPr>
              <w:pStyle w:val="9"/>
              <w:rPr>
                <w:rFonts w:hint="default" w:ascii="Times New Roman" w:hAnsi="Times New Roman" w:cs="Times New Roman"/>
              </w:rPr>
            </w:pPr>
            <w:r>
              <w:rPr>
                <w:rFonts w:hint="default" w:ascii="Times New Roman" w:hAnsi="Times New Roman" w:cs="Times New Roman"/>
              </w:rPr>
              <w:t>住房公积金</w:t>
            </w:r>
          </w:p>
        </w:tc>
        <w:tc>
          <w:tcPr>
            <w:tcW w:w="99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96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155" w:type="dxa"/>
            <w:vAlign w:val="center"/>
          </w:tcPr>
          <w:p>
            <w:pPr>
              <w:pStyle w:val="10"/>
              <w:jc w:val="center"/>
              <w:rPr>
                <w:rFonts w:hint="default" w:ascii="Times New Roman" w:hAnsi="Times New Roman" w:cs="Times New Roman"/>
              </w:rPr>
            </w:pPr>
          </w:p>
        </w:tc>
        <w:tc>
          <w:tcPr>
            <w:tcW w:w="404"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c>
          <w:tcPr>
            <w:tcW w:w="1095" w:type="dxa"/>
            <w:vAlign w:val="center"/>
          </w:tcPr>
          <w:p>
            <w:pPr>
              <w:pStyle w:val="10"/>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889"/>
        <w:gridCol w:w="1215"/>
        <w:gridCol w:w="1950"/>
        <w:gridCol w:w="1005"/>
        <w:gridCol w:w="945"/>
        <w:gridCol w:w="750"/>
        <w:gridCol w:w="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6"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303001秦皇岛北戴河新区发展改革局本级</w:t>
            </w:r>
          </w:p>
        </w:tc>
        <w:tc>
          <w:tcPr>
            <w:tcW w:w="1950"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3570" w:type="dxa"/>
            <w:gridSpan w:val="4"/>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7"/>
              <w:rPr>
                <w:rFonts w:hint="default" w:ascii="Times New Roman" w:hAnsi="Times New Roman" w:cs="Times New Roman"/>
              </w:rPr>
            </w:pPr>
            <w:r>
              <w:rPr>
                <w:rFonts w:hint="default" w:ascii="Times New Roman" w:hAnsi="Times New Roman" w:cs="Times New Roman"/>
              </w:rPr>
              <w:t>序号</w:t>
            </w:r>
          </w:p>
        </w:tc>
        <w:tc>
          <w:tcPr>
            <w:tcW w:w="1889" w:type="dxa"/>
            <w:vAlign w:val="center"/>
          </w:tcPr>
          <w:p>
            <w:pPr>
              <w:pStyle w:val="7"/>
              <w:rPr>
                <w:rFonts w:hint="default" w:ascii="Times New Roman" w:hAnsi="Times New Roman" w:cs="Times New Roman"/>
              </w:rPr>
            </w:pPr>
            <w:r>
              <w:rPr>
                <w:rFonts w:hint="default" w:ascii="Times New Roman" w:hAnsi="Times New Roman" w:cs="Times New Roman"/>
              </w:rPr>
              <w:t>收入</w:t>
            </w:r>
          </w:p>
        </w:tc>
        <w:tc>
          <w:tcPr>
            <w:tcW w:w="1215" w:type="dxa"/>
          </w:tcPr>
          <w:p>
            <w:pPr>
              <w:rPr>
                <w:rFonts w:hint="default" w:ascii="Times New Roman" w:hAnsi="Times New Roman" w:cs="Times New Roman"/>
              </w:rPr>
            </w:pPr>
          </w:p>
        </w:tc>
        <w:tc>
          <w:tcPr>
            <w:tcW w:w="1950" w:type="dxa"/>
            <w:vAlign w:val="center"/>
          </w:tcPr>
          <w:p>
            <w:pPr>
              <w:pStyle w:val="7"/>
              <w:rPr>
                <w:rFonts w:hint="default" w:ascii="Times New Roman" w:hAnsi="Times New Roman" w:cs="Times New Roman"/>
              </w:rPr>
            </w:pPr>
            <w:r>
              <w:rPr>
                <w:rFonts w:hint="default" w:ascii="Times New Roman" w:hAnsi="Times New Roman" w:cs="Times New Roman"/>
              </w:rPr>
              <w:t>支出</w:t>
            </w:r>
          </w:p>
        </w:tc>
        <w:tc>
          <w:tcPr>
            <w:tcW w:w="1005" w:type="dxa"/>
          </w:tcPr>
          <w:p>
            <w:pPr>
              <w:rPr>
                <w:rFonts w:hint="default" w:ascii="Times New Roman" w:hAnsi="Times New Roman" w:cs="Times New Roman"/>
              </w:rPr>
            </w:pPr>
          </w:p>
        </w:tc>
        <w:tc>
          <w:tcPr>
            <w:tcW w:w="945" w:type="dxa"/>
          </w:tcPr>
          <w:p>
            <w:pPr>
              <w:rPr>
                <w:rFonts w:hint="default" w:ascii="Times New Roman" w:hAnsi="Times New Roman" w:cs="Times New Roman"/>
              </w:rPr>
            </w:pPr>
          </w:p>
        </w:tc>
        <w:tc>
          <w:tcPr>
            <w:tcW w:w="750" w:type="dxa"/>
          </w:tcPr>
          <w:p>
            <w:pPr>
              <w:rPr>
                <w:rFonts w:hint="default" w:ascii="Times New Roman" w:hAnsi="Times New Roman" w:cs="Times New Roman"/>
              </w:rPr>
            </w:pPr>
          </w:p>
        </w:tc>
        <w:tc>
          <w:tcPr>
            <w:tcW w:w="870" w:type="dxa"/>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pPr>
              <w:rPr>
                <w:rFonts w:hint="default" w:ascii="Times New Roman" w:hAnsi="Times New Roman" w:cs="Times New Roman"/>
              </w:rPr>
            </w:pPr>
          </w:p>
        </w:tc>
        <w:tc>
          <w:tcPr>
            <w:tcW w:w="1889" w:type="dxa"/>
            <w:vAlign w:val="center"/>
          </w:tcPr>
          <w:p>
            <w:pPr>
              <w:pStyle w:val="7"/>
              <w:rPr>
                <w:rFonts w:hint="default" w:ascii="Times New Roman" w:hAnsi="Times New Roman" w:cs="Times New Roman"/>
              </w:rPr>
            </w:pPr>
            <w:r>
              <w:rPr>
                <w:rFonts w:hint="default" w:ascii="Times New Roman" w:hAnsi="Times New Roman" w:cs="Times New Roman"/>
              </w:rPr>
              <w:t>项  目</w:t>
            </w:r>
          </w:p>
        </w:tc>
        <w:tc>
          <w:tcPr>
            <w:tcW w:w="1215" w:type="dxa"/>
            <w:vAlign w:val="center"/>
          </w:tcPr>
          <w:p>
            <w:pPr>
              <w:pStyle w:val="7"/>
              <w:rPr>
                <w:rFonts w:hint="default" w:ascii="Times New Roman" w:hAnsi="Times New Roman" w:cs="Times New Roman"/>
              </w:rPr>
            </w:pPr>
            <w:r>
              <w:rPr>
                <w:rFonts w:hint="default" w:ascii="Times New Roman" w:hAnsi="Times New Roman" w:cs="Times New Roman"/>
              </w:rPr>
              <w:t>金额</w:t>
            </w:r>
          </w:p>
        </w:tc>
        <w:tc>
          <w:tcPr>
            <w:tcW w:w="1950" w:type="dxa"/>
            <w:vAlign w:val="center"/>
          </w:tcPr>
          <w:p>
            <w:pPr>
              <w:pStyle w:val="7"/>
              <w:rPr>
                <w:rFonts w:hint="default" w:ascii="Times New Roman" w:hAnsi="Times New Roman" w:cs="Times New Roman"/>
              </w:rPr>
            </w:pPr>
            <w:r>
              <w:rPr>
                <w:rFonts w:hint="default" w:ascii="Times New Roman" w:hAnsi="Times New Roman" w:cs="Times New Roman"/>
              </w:rPr>
              <w:t>项  目</w:t>
            </w:r>
          </w:p>
        </w:tc>
        <w:tc>
          <w:tcPr>
            <w:tcW w:w="1005" w:type="dxa"/>
            <w:vAlign w:val="center"/>
          </w:tcPr>
          <w:p>
            <w:pPr>
              <w:pStyle w:val="7"/>
              <w:rPr>
                <w:rFonts w:hint="default" w:ascii="Times New Roman" w:hAnsi="Times New Roman" w:cs="Times New Roman"/>
              </w:rPr>
            </w:pPr>
            <w:r>
              <w:rPr>
                <w:rFonts w:hint="default" w:ascii="Times New Roman" w:hAnsi="Times New Roman" w:cs="Times New Roman"/>
              </w:rPr>
              <w:t>合计</w:t>
            </w:r>
          </w:p>
        </w:tc>
        <w:tc>
          <w:tcPr>
            <w:tcW w:w="945" w:type="dxa"/>
            <w:vAlign w:val="center"/>
          </w:tcPr>
          <w:p>
            <w:pPr>
              <w:pStyle w:val="7"/>
              <w:rPr>
                <w:rFonts w:hint="default" w:ascii="Times New Roman" w:hAnsi="Times New Roman" w:cs="Times New Roman"/>
              </w:rPr>
            </w:pPr>
            <w:r>
              <w:rPr>
                <w:rFonts w:hint="default" w:ascii="Times New Roman" w:hAnsi="Times New Roman" w:cs="Times New Roman"/>
              </w:rPr>
              <w:t>一般公共预算财政拨款</w:t>
            </w:r>
          </w:p>
        </w:tc>
        <w:tc>
          <w:tcPr>
            <w:tcW w:w="750" w:type="dxa"/>
            <w:vAlign w:val="center"/>
          </w:tcPr>
          <w:p>
            <w:pPr>
              <w:pStyle w:val="7"/>
              <w:rPr>
                <w:rFonts w:hint="default" w:ascii="Times New Roman" w:hAnsi="Times New Roman" w:cs="Times New Roman"/>
              </w:rPr>
            </w:pPr>
            <w:r>
              <w:rPr>
                <w:rFonts w:hint="default" w:ascii="Times New Roman" w:hAnsi="Times New Roman" w:cs="Times New Roman"/>
              </w:rPr>
              <w:t>政府性基金预算财政    拨款</w:t>
            </w:r>
          </w:p>
        </w:tc>
        <w:tc>
          <w:tcPr>
            <w:tcW w:w="870" w:type="dxa"/>
            <w:vAlign w:val="center"/>
          </w:tcPr>
          <w:p>
            <w:pPr>
              <w:pStyle w:val="7"/>
              <w:rPr>
                <w:rFonts w:hint="default" w:ascii="Times New Roman" w:hAnsi="Times New Roman" w:cs="Times New Roman"/>
              </w:rPr>
            </w:pPr>
            <w:r>
              <w:rPr>
                <w:rFonts w:hint="default" w:ascii="Times New Roman" w:hAnsi="Times New Roman"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rPr>
                <w:rFonts w:hint="default" w:ascii="Times New Roman" w:hAnsi="Times New Roman" w:cs="Times New Roman"/>
              </w:rPr>
            </w:pPr>
            <w:r>
              <w:rPr>
                <w:rFonts w:hint="default" w:ascii="Times New Roman" w:hAnsi="Times New Roman" w:cs="Times New Roman"/>
              </w:rPr>
              <w:t>栏次</w:t>
            </w:r>
          </w:p>
        </w:tc>
        <w:tc>
          <w:tcPr>
            <w:tcW w:w="1889"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1215"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1950"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1005"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945" w:type="dxa"/>
            <w:vAlign w:val="center"/>
          </w:tcPr>
          <w:p>
            <w:pPr>
              <w:pStyle w:val="7"/>
              <w:rPr>
                <w:rFonts w:hint="default" w:ascii="Times New Roman" w:hAnsi="Times New Roman" w:cs="Times New Roman"/>
              </w:rPr>
            </w:pPr>
            <w:r>
              <w:rPr>
                <w:rFonts w:hint="default" w:ascii="Times New Roman" w:hAnsi="Times New Roman" w:cs="Times New Roman"/>
              </w:rPr>
              <w:t>5</w:t>
            </w:r>
          </w:p>
        </w:tc>
        <w:tc>
          <w:tcPr>
            <w:tcW w:w="750" w:type="dxa"/>
            <w:vAlign w:val="center"/>
          </w:tcPr>
          <w:p>
            <w:pPr>
              <w:pStyle w:val="7"/>
              <w:rPr>
                <w:rFonts w:hint="default" w:ascii="Times New Roman" w:hAnsi="Times New Roman" w:cs="Times New Roman"/>
              </w:rPr>
            </w:pPr>
            <w:r>
              <w:rPr>
                <w:rFonts w:hint="default" w:ascii="Times New Roman" w:hAnsi="Times New Roman" w:cs="Times New Roman"/>
              </w:rPr>
              <w:t>6</w:t>
            </w:r>
          </w:p>
        </w:tc>
        <w:tc>
          <w:tcPr>
            <w:tcW w:w="870" w:type="dxa"/>
            <w:vAlign w:val="center"/>
          </w:tcPr>
          <w:p>
            <w:pPr>
              <w:pStyle w:val="7"/>
              <w:rPr>
                <w:rFonts w:hint="default" w:ascii="Times New Roman" w:hAnsi="Times New Roman" w:cs="Times New Roman"/>
              </w:rPr>
            </w:pPr>
            <w:r>
              <w:rPr>
                <w:rFonts w:hint="default" w:ascii="Times New Roman" w:hAnsi="Times New Roman"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w:t>
            </w:r>
          </w:p>
        </w:tc>
        <w:tc>
          <w:tcPr>
            <w:tcW w:w="1889" w:type="dxa"/>
            <w:vAlign w:val="center"/>
          </w:tcPr>
          <w:p>
            <w:pPr>
              <w:pStyle w:val="9"/>
              <w:rPr>
                <w:rFonts w:hint="default" w:ascii="Times New Roman" w:hAnsi="Times New Roman" w:cs="Times New Roman"/>
              </w:rPr>
            </w:pPr>
            <w:r>
              <w:rPr>
                <w:rFonts w:hint="default" w:ascii="Times New Roman" w:hAnsi="Times New Roman" w:cs="Times New Roman"/>
              </w:rPr>
              <w:t>一、一般公共预算拨款</w:t>
            </w:r>
          </w:p>
        </w:tc>
        <w:tc>
          <w:tcPr>
            <w:tcW w:w="1215" w:type="dxa"/>
            <w:vAlign w:val="center"/>
          </w:tcPr>
          <w:p>
            <w:pPr>
              <w:pStyle w:val="10"/>
              <w:jc w:val="center"/>
              <w:rPr>
                <w:rFonts w:hint="default" w:ascii="Times New Roman" w:hAnsi="Times New Roman" w:cs="Times New Roman"/>
              </w:rPr>
            </w:pPr>
            <w:r>
              <w:rPr>
                <w:rFonts w:hint="default" w:ascii="Times New Roman" w:hAnsi="Times New Roman" w:cs="Times New Roman"/>
              </w:rPr>
              <w:t>797.59</w:t>
            </w: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一、一般公共服务支出</w:t>
            </w:r>
          </w:p>
        </w:tc>
        <w:tc>
          <w:tcPr>
            <w:tcW w:w="1005" w:type="dxa"/>
            <w:vAlign w:val="center"/>
          </w:tcPr>
          <w:p>
            <w:pPr>
              <w:pStyle w:val="10"/>
              <w:jc w:val="center"/>
              <w:rPr>
                <w:rFonts w:hint="default" w:ascii="Times New Roman" w:hAnsi="Times New Roman" w:cs="Times New Roman"/>
              </w:rPr>
            </w:pPr>
            <w:r>
              <w:rPr>
                <w:rFonts w:hint="default" w:ascii="Times New Roman" w:hAnsi="Times New Roman" w:cs="Times New Roman"/>
              </w:rPr>
              <w:t>635.53</w:t>
            </w:r>
          </w:p>
        </w:tc>
        <w:tc>
          <w:tcPr>
            <w:tcW w:w="945" w:type="dxa"/>
            <w:vAlign w:val="center"/>
          </w:tcPr>
          <w:p>
            <w:pPr>
              <w:pStyle w:val="10"/>
              <w:jc w:val="center"/>
              <w:rPr>
                <w:rFonts w:hint="default" w:ascii="Times New Roman" w:hAnsi="Times New Roman" w:cs="Times New Roman"/>
              </w:rPr>
            </w:pPr>
            <w:r>
              <w:rPr>
                <w:rFonts w:hint="default" w:ascii="Times New Roman" w:hAnsi="Times New Roman" w:cs="Times New Roman"/>
              </w:rPr>
              <w:t>635.53</w:t>
            </w: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w:t>
            </w:r>
          </w:p>
        </w:tc>
        <w:tc>
          <w:tcPr>
            <w:tcW w:w="1889" w:type="dxa"/>
            <w:vAlign w:val="center"/>
          </w:tcPr>
          <w:p>
            <w:pPr>
              <w:pStyle w:val="9"/>
              <w:rPr>
                <w:rFonts w:hint="default" w:ascii="Times New Roman" w:hAnsi="Times New Roman" w:cs="Times New Roman"/>
              </w:rPr>
            </w:pPr>
            <w:r>
              <w:rPr>
                <w:rFonts w:hint="default" w:ascii="Times New Roman" w:hAnsi="Times New Roman" w:cs="Times New Roman"/>
              </w:rPr>
              <w:t>二、政府性基金预算拨款</w:t>
            </w: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二、外交支出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3</w:t>
            </w:r>
          </w:p>
        </w:tc>
        <w:tc>
          <w:tcPr>
            <w:tcW w:w="1889" w:type="dxa"/>
            <w:vAlign w:val="center"/>
          </w:tcPr>
          <w:p>
            <w:pPr>
              <w:pStyle w:val="9"/>
              <w:rPr>
                <w:rFonts w:hint="default" w:ascii="Times New Roman" w:hAnsi="Times New Roman" w:cs="Times New Roman"/>
              </w:rPr>
            </w:pPr>
            <w:r>
              <w:rPr>
                <w:rFonts w:hint="default" w:ascii="Times New Roman" w:hAnsi="Times New Roman" w:cs="Times New Roman"/>
              </w:rPr>
              <w:t>三、国有资本经营预算拨款</w:t>
            </w: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三、国防支出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4</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四、公共安全支出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5</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五、教育支出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6</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六、科学技术支出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7</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七、文化旅游体育与传媒支出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8</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八、社会保障和就业支出</w:t>
            </w:r>
          </w:p>
        </w:tc>
        <w:tc>
          <w:tcPr>
            <w:tcW w:w="1005"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945"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9</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九、社会保险基金支出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10</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十、卫生健康支出</w:t>
            </w:r>
          </w:p>
        </w:tc>
        <w:tc>
          <w:tcPr>
            <w:tcW w:w="100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94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11</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十一、节能环保支出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12</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十二、城乡社区支出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13</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十三、农林水支出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14</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十四、交通运输支出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15</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十五、资源勘探工业信息等支出</w:t>
            </w:r>
          </w:p>
        </w:tc>
        <w:tc>
          <w:tcPr>
            <w:tcW w:w="1005" w:type="dxa"/>
            <w:vAlign w:val="center"/>
          </w:tcPr>
          <w:p>
            <w:pPr>
              <w:pStyle w:val="10"/>
              <w:jc w:val="center"/>
              <w:rPr>
                <w:rFonts w:hint="default" w:ascii="Times New Roman" w:hAnsi="Times New Roman" w:cs="Times New Roman"/>
              </w:rPr>
            </w:pPr>
            <w:r>
              <w:rPr>
                <w:rFonts w:hint="default" w:ascii="Times New Roman" w:hAnsi="Times New Roman" w:cs="Times New Roman"/>
              </w:rPr>
              <w:t>1215.00</w:t>
            </w:r>
          </w:p>
        </w:tc>
        <w:tc>
          <w:tcPr>
            <w:tcW w:w="945" w:type="dxa"/>
            <w:vAlign w:val="center"/>
          </w:tcPr>
          <w:p>
            <w:pPr>
              <w:pStyle w:val="10"/>
              <w:jc w:val="center"/>
              <w:rPr>
                <w:rFonts w:hint="default" w:ascii="Times New Roman" w:hAnsi="Times New Roman" w:cs="Times New Roman"/>
              </w:rPr>
            </w:pPr>
            <w:r>
              <w:rPr>
                <w:rFonts w:hint="default" w:ascii="Times New Roman" w:hAnsi="Times New Roman" w:cs="Times New Roman"/>
              </w:rPr>
              <w:t>1215.00</w:t>
            </w: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16</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十六、商业服务业等支出</w:t>
            </w:r>
          </w:p>
        </w:tc>
        <w:tc>
          <w:tcPr>
            <w:tcW w:w="1005"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945"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17</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十七、金融支出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18</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十八、援助其他地区支出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19</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十九、自然资源海洋气象等支出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20</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二十、住房保障支出</w:t>
            </w:r>
          </w:p>
        </w:tc>
        <w:tc>
          <w:tcPr>
            <w:tcW w:w="100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94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21</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二十一、粮油物资储备支出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22</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二十二、国有资本经营预算支出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23</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二十三、灾害防治及应急管理支出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24</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二十四、预备费</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25</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二十五、其他支出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26</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二十六、转移性支出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27</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二十七、债务还本支出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28</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二十八、债务付息支出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29</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二十九、债务发行费用支出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30</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三十、抗疫特别国债安排的支出</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31</w:t>
            </w:r>
          </w:p>
        </w:tc>
        <w:tc>
          <w:tcPr>
            <w:tcW w:w="1889" w:type="dxa"/>
            <w:vAlign w:val="center"/>
          </w:tcPr>
          <w:p>
            <w:pPr>
              <w:pStyle w:val="9"/>
              <w:rPr>
                <w:rFonts w:hint="default" w:ascii="Times New Roman" w:hAnsi="Times New Roman" w:cs="Times New Roman"/>
              </w:rPr>
            </w:pP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三十一、人行科目</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32</w:t>
            </w:r>
          </w:p>
        </w:tc>
        <w:tc>
          <w:tcPr>
            <w:tcW w:w="1889" w:type="dxa"/>
            <w:vAlign w:val="center"/>
          </w:tcPr>
          <w:p>
            <w:pPr>
              <w:pStyle w:val="11"/>
              <w:rPr>
                <w:rFonts w:hint="default" w:ascii="Times New Roman" w:hAnsi="Times New Roman" w:cs="Times New Roman"/>
              </w:rPr>
            </w:pPr>
            <w:r>
              <w:rPr>
                <w:rFonts w:hint="default" w:ascii="Times New Roman" w:hAnsi="Times New Roman" w:cs="Times New Roman"/>
              </w:rPr>
              <w:t>本年收入合计</w:t>
            </w:r>
          </w:p>
        </w:tc>
        <w:tc>
          <w:tcPr>
            <w:tcW w:w="1215" w:type="dxa"/>
            <w:vAlign w:val="center"/>
          </w:tcPr>
          <w:p>
            <w:pPr>
              <w:pStyle w:val="12"/>
              <w:jc w:val="center"/>
              <w:rPr>
                <w:rFonts w:hint="default" w:ascii="Times New Roman" w:hAnsi="Times New Roman" w:cs="Times New Roman"/>
              </w:rPr>
            </w:pPr>
            <w:r>
              <w:rPr>
                <w:rFonts w:hint="default" w:ascii="Times New Roman" w:hAnsi="Times New Roman" w:cs="Times New Roman"/>
              </w:rPr>
              <w:t>797.59</w:t>
            </w:r>
          </w:p>
        </w:tc>
        <w:tc>
          <w:tcPr>
            <w:tcW w:w="1950" w:type="dxa"/>
            <w:vAlign w:val="center"/>
          </w:tcPr>
          <w:p>
            <w:pPr>
              <w:pStyle w:val="11"/>
              <w:rPr>
                <w:rFonts w:hint="default" w:ascii="Times New Roman" w:hAnsi="Times New Roman" w:cs="Times New Roman"/>
              </w:rPr>
            </w:pPr>
            <w:r>
              <w:rPr>
                <w:rFonts w:hint="default" w:ascii="Times New Roman" w:hAnsi="Times New Roman" w:cs="Times New Roman"/>
              </w:rPr>
              <w:t>本年支出合计</w:t>
            </w:r>
          </w:p>
        </w:tc>
        <w:tc>
          <w:tcPr>
            <w:tcW w:w="1005"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c>
          <w:tcPr>
            <w:tcW w:w="945"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c>
          <w:tcPr>
            <w:tcW w:w="750" w:type="dxa"/>
            <w:vAlign w:val="center"/>
          </w:tcPr>
          <w:p>
            <w:pPr>
              <w:pStyle w:val="12"/>
              <w:rPr>
                <w:rFonts w:hint="default" w:ascii="Times New Roman" w:hAnsi="Times New Roman" w:cs="Times New Roman"/>
              </w:rPr>
            </w:pPr>
          </w:p>
        </w:tc>
        <w:tc>
          <w:tcPr>
            <w:tcW w:w="870" w:type="dxa"/>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33</w:t>
            </w:r>
          </w:p>
        </w:tc>
        <w:tc>
          <w:tcPr>
            <w:tcW w:w="1889" w:type="dxa"/>
            <w:vAlign w:val="center"/>
          </w:tcPr>
          <w:p>
            <w:pPr>
              <w:pStyle w:val="9"/>
              <w:rPr>
                <w:rFonts w:hint="default" w:ascii="Times New Roman" w:hAnsi="Times New Roman" w:cs="Times New Roman"/>
              </w:rPr>
            </w:pPr>
            <w:r>
              <w:rPr>
                <w:rFonts w:hint="default" w:ascii="Times New Roman" w:hAnsi="Times New Roman" w:cs="Times New Roman"/>
              </w:rPr>
              <w:t>年初财政拨款结转和结余</w:t>
            </w:r>
          </w:p>
        </w:tc>
        <w:tc>
          <w:tcPr>
            <w:tcW w:w="1215" w:type="dxa"/>
            <w:vAlign w:val="center"/>
          </w:tcPr>
          <w:p>
            <w:pPr>
              <w:pStyle w:val="10"/>
              <w:jc w:val="center"/>
              <w:rPr>
                <w:rFonts w:hint="default" w:ascii="Times New Roman" w:hAnsi="Times New Roman" w:cs="Times New Roman"/>
              </w:rPr>
            </w:pPr>
            <w:r>
              <w:rPr>
                <w:rFonts w:hint="default" w:ascii="Times New Roman" w:hAnsi="Times New Roman" w:cs="Times New Roman"/>
              </w:rPr>
              <w:t>1241.49</w:t>
            </w:r>
          </w:p>
        </w:tc>
        <w:tc>
          <w:tcPr>
            <w:tcW w:w="1950" w:type="dxa"/>
            <w:vAlign w:val="center"/>
          </w:tcPr>
          <w:p>
            <w:pPr>
              <w:pStyle w:val="9"/>
              <w:rPr>
                <w:rFonts w:hint="default" w:ascii="Times New Roman" w:hAnsi="Times New Roman" w:cs="Times New Roman"/>
              </w:rPr>
            </w:pPr>
            <w:r>
              <w:rPr>
                <w:rFonts w:hint="default" w:ascii="Times New Roman" w:hAnsi="Times New Roman" w:cs="Times New Roman"/>
              </w:rPr>
              <w:t>年末财政拨款结转和结余</w:t>
            </w: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34</w:t>
            </w:r>
          </w:p>
        </w:tc>
        <w:tc>
          <w:tcPr>
            <w:tcW w:w="1889" w:type="dxa"/>
            <w:vAlign w:val="center"/>
          </w:tcPr>
          <w:p>
            <w:pPr>
              <w:pStyle w:val="9"/>
              <w:rPr>
                <w:rFonts w:hint="default" w:ascii="Times New Roman" w:hAnsi="Times New Roman" w:cs="Times New Roman"/>
              </w:rPr>
            </w:pPr>
            <w:r>
              <w:rPr>
                <w:rFonts w:hint="default" w:ascii="Times New Roman" w:hAnsi="Times New Roman" w:cs="Times New Roman"/>
              </w:rPr>
              <w:t>一、一般公共预算拨款</w:t>
            </w:r>
          </w:p>
        </w:tc>
        <w:tc>
          <w:tcPr>
            <w:tcW w:w="1215" w:type="dxa"/>
            <w:vAlign w:val="center"/>
          </w:tcPr>
          <w:p>
            <w:pPr>
              <w:pStyle w:val="10"/>
              <w:jc w:val="center"/>
              <w:rPr>
                <w:rFonts w:hint="default" w:ascii="Times New Roman" w:hAnsi="Times New Roman" w:cs="Times New Roman"/>
              </w:rPr>
            </w:pPr>
            <w:r>
              <w:rPr>
                <w:rFonts w:hint="default" w:ascii="Times New Roman" w:hAnsi="Times New Roman" w:cs="Times New Roman"/>
              </w:rPr>
              <w:t>1241.49</w:t>
            </w:r>
          </w:p>
        </w:tc>
        <w:tc>
          <w:tcPr>
            <w:tcW w:w="1950" w:type="dxa"/>
            <w:vAlign w:val="center"/>
          </w:tcPr>
          <w:p>
            <w:pPr>
              <w:pStyle w:val="9"/>
              <w:rPr>
                <w:rFonts w:hint="default" w:ascii="Times New Roman" w:hAnsi="Times New Roman" w:cs="Times New Roman"/>
              </w:rPr>
            </w:pP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35</w:t>
            </w:r>
          </w:p>
        </w:tc>
        <w:tc>
          <w:tcPr>
            <w:tcW w:w="1889" w:type="dxa"/>
            <w:vAlign w:val="center"/>
          </w:tcPr>
          <w:p>
            <w:pPr>
              <w:pStyle w:val="9"/>
              <w:rPr>
                <w:rFonts w:hint="default" w:ascii="Times New Roman" w:hAnsi="Times New Roman" w:cs="Times New Roman"/>
              </w:rPr>
            </w:pPr>
            <w:r>
              <w:rPr>
                <w:rFonts w:hint="default" w:ascii="Times New Roman" w:hAnsi="Times New Roman" w:cs="Times New Roman"/>
              </w:rPr>
              <w:t>二、政府性基金预算拨款</w:t>
            </w: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36</w:t>
            </w:r>
          </w:p>
        </w:tc>
        <w:tc>
          <w:tcPr>
            <w:tcW w:w="1889" w:type="dxa"/>
            <w:vAlign w:val="center"/>
          </w:tcPr>
          <w:p>
            <w:pPr>
              <w:pStyle w:val="9"/>
              <w:rPr>
                <w:rFonts w:hint="default" w:ascii="Times New Roman" w:hAnsi="Times New Roman" w:cs="Times New Roman"/>
              </w:rPr>
            </w:pPr>
            <w:r>
              <w:rPr>
                <w:rFonts w:hint="default" w:ascii="Times New Roman" w:hAnsi="Times New Roman" w:cs="Times New Roman"/>
              </w:rPr>
              <w:t>三、国有资本经营预算拨款</w:t>
            </w:r>
          </w:p>
        </w:tc>
        <w:tc>
          <w:tcPr>
            <w:tcW w:w="1215" w:type="dxa"/>
            <w:vAlign w:val="center"/>
          </w:tcPr>
          <w:p>
            <w:pPr>
              <w:pStyle w:val="10"/>
              <w:jc w:val="center"/>
              <w:rPr>
                <w:rFonts w:hint="default" w:ascii="Times New Roman" w:hAnsi="Times New Roman" w:cs="Times New Roman"/>
              </w:rPr>
            </w:pPr>
          </w:p>
        </w:tc>
        <w:tc>
          <w:tcPr>
            <w:tcW w:w="1950" w:type="dxa"/>
            <w:vAlign w:val="center"/>
          </w:tcPr>
          <w:p>
            <w:pPr>
              <w:pStyle w:val="9"/>
              <w:rPr>
                <w:rFonts w:hint="default" w:ascii="Times New Roman" w:hAnsi="Times New Roman" w:cs="Times New Roman"/>
              </w:rPr>
            </w:pPr>
          </w:p>
        </w:tc>
        <w:tc>
          <w:tcPr>
            <w:tcW w:w="1005" w:type="dxa"/>
            <w:vAlign w:val="center"/>
          </w:tcPr>
          <w:p>
            <w:pPr>
              <w:pStyle w:val="10"/>
              <w:jc w:val="center"/>
              <w:rPr>
                <w:rFonts w:hint="default" w:ascii="Times New Roman" w:hAnsi="Times New Roman" w:cs="Times New Roman"/>
              </w:rPr>
            </w:pPr>
          </w:p>
        </w:tc>
        <w:tc>
          <w:tcPr>
            <w:tcW w:w="945" w:type="dxa"/>
            <w:vAlign w:val="center"/>
          </w:tcPr>
          <w:p>
            <w:pPr>
              <w:pStyle w:val="10"/>
              <w:jc w:val="center"/>
              <w:rPr>
                <w:rFonts w:hint="default" w:ascii="Times New Roman" w:hAnsi="Times New Roman" w:cs="Times New Roman"/>
              </w:rPr>
            </w:pPr>
          </w:p>
        </w:tc>
        <w:tc>
          <w:tcPr>
            <w:tcW w:w="750" w:type="dxa"/>
            <w:vAlign w:val="center"/>
          </w:tcPr>
          <w:p>
            <w:pPr>
              <w:pStyle w:val="10"/>
              <w:rPr>
                <w:rFonts w:hint="default" w:ascii="Times New Roman" w:hAnsi="Times New Roman" w:cs="Times New Roman"/>
              </w:rPr>
            </w:pPr>
          </w:p>
        </w:tc>
        <w:tc>
          <w:tcPr>
            <w:tcW w:w="870"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rPr>
                <w:rFonts w:hint="default" w:ascii="Times New Roman" w:hAnsi="Times New Roman" w:cs="Times New Roman"/>
              </w:rPr>
            </w:pPr>
            <w:r>
              <w:rPr>
                <w:rFonts w:hint="default" w:ascii="Times New Roman" w:hAnsi="Times New Roman" w:cs="Times New Roman"/>
              </w:rPr>
              <w:t>37</w:t>
            </w:r>
          </w:p>
        </w:tc>
        <w:tc>
          <w:tcPr>
            <w:tcW w:w="1889" w:type="dxa"/>
            <w:vAlign w:val="center"/>
          </w:tcPr>
          <w:p>
            <w:pPr>
              <w:pStyle w:val="11"/>
              <w:rPr>
                <w:rFonts w:hint="default" w:ascii="Times New Roman" w:hAnsi="Times New Roman" w:cs="Times New Roman"/>
              </w:rPr>
            </w:pPr>
            <w:r>
              <w:rPr>
                <w:rFonts w:hint="default" w:ascii="Times New Roman" w:hAnsi="Times New Roman" w:cs="Times New Roman"/>
              </w:rPr>
              <w:t>收入总计</w:t>
            </w:r>
          </w:p>
        </w:tc>
        <w:tc>
          <w:tcPr>
            <w:tcW w:w="1215"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c>
          <w:tcPr>
            <w:tcW w:w="1950" w:type="dxa"/>
            <w:vAlign w:val="center"/>
          </w:tcPr>
          <w:p>
            <w:pPr>
              <w:pStyle w:val="11"/>
              <w:rPr>
                <w:rFonts w:hint="default" w:ascii="Times New Roman" w:hAnsi="Times New Roman" w:cs="Times New Roman"/>
              </w:rPr>
            </w:pPr>
            <w:r>
              <w:rPr>
                <w:rFonts w:hint="default" w:ascii="Times New Roman" w:hAnsi="Times New Roman" w:cs="Times New Roman"/>
              </w:rPr>
              <w:t>支出总计</w:t>
            </w:r>
          </w:p>
        </w:tc>
        <w:tc>
          <w:tcPr>
            <w:tcW w:w="1005"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c>
          <w:tcPr>
            <w:tcW w:w="945"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c>
          <w:tcPr>
            <w:tcW w:w="750" w:type="dxa"/>
            <w:vAlign w:val="center"/>
          </w:tcPr>
          <w:p>
            <w:pPr>
              <w:pStyle w:val="12"/>
              <w:rPr>
                <w:rFonts w:hint="default" w:ascii="Times New Roman" w:hAnsi="Times New Roman" w:cs="Times New Roman"/>
              </w:rPr>
            </w:pPr>
          </w:p>
        </w:tc>
        <w:tc>
          <w:tcPr>
            <w:tcW w:w="870" w:type="dxa"/>
            <w:vAlign w:val="center"/>
          </w:tcPr>
          <w:p>
            <w:pPr>
              <w:pStyle w:val="12"/>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251"/>
        <w:gridCol w:w="1770"/>
        <w:gridCol w:w="1125"/>
        <w:gridCol w:w="1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7"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303001秦皇岛北戴河新区发展改革局本级</w:t>
            </w:r>
          </w:p>
        </w:tc>
        <w:tc>
          <w:tcPr>
            <w:tcW w:w="1770"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2551"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rPr>
                <w:rFonts w:hint="default" w:ascii="Times New Roman" w:hAnsi="Times New Roman" w:cs="Times New Roman"/>
              </w:rPr>
            </w:pPr>
            <w:r>
              <w:rPr>
                <w:rFonts w:hint="default" w:ascii="Times New Roman" w:hAnsi="Times New Roman" w:cs="Times New Roman"/>
              </w:rPr>
              <w:t>序号</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功能分类科目</w:t>
            </w:r>
          </w:p>
        </w:tc>
        <w:tc>
          <w:tcPr>
            <w:tcW w:w="2251" w:type="dxa"/>
          </w:tcPr>
          <w:p>
            <w:pPr>
              <w:rPr>
                <w:rFonts w:hint="default" w:ascii="Times New Roman" w:hAnsi="Times New Roman" w:cs="Times New Roman"/>
              </w:rPr>
            </w:pPr>
          </w:p>
        </w:tc>
        <w:tc>
          <w:tcPr>
            <w:tcW w:w="1770" w:type="dxa"/>
            <w:vMerge w:val="restart"/>
            <w:vAlign w:val="center"/>
          </w:tcPr>
          <w:p>
            <w:pPr>
              <w:pStyle w:val="7"/>
              <w:rPr>
                <w:rFonts w:hint="default" w:ascii="Times New Roman" w:hAnsi="Times New Roman" w:cs="Times New Roman"/>
              </w:rPr>
            </w:pPr>
            <w:r>
              <w:rPr>
                <w:rFonts w:hint="default" w:ascii="Times New Roman" w:hAnsi="Times New Roman" w:cs="Times New Roman"/>
              </w:rPr>
              <w:t>合计</w:t>
            </w:r>
          </w:p>
        </w:tc>
        <w:tc>
          <w:tcPr>
            <w:tcW w:w="1125" w:type="dxa"/>
            <w:vMerge w:val="restart"/>
            <w:vAlign w:val="center"/>
          </w:tcPr>
          <w:p>
            <w:pPr>
              <w:pStyle w:val="7"/>
              <w:rPr>
                <w:rFonts w:hint="default" w:ascii="Times New Roman" w:hAnsi="Times New Roman" w:cs="Times New Roman"/>
              </w:rPr>
            </w:pPr>
            <w:r>
              <w:rPr>
                <w:rFonts w:hint="default" w:ascii="Times New Roman" w:hAnsi="Times New Roman" w:cs="Times New Roman"/>
              </w:rPr>
              <w:t>基本支出</w:t>
            </w:r>
          </w:p>
        </w:tc>
        <w:tc>
          <w:tcPr>
            <w:tcW w:w="1426" w:type="dxa"/>
            <w:vMerge w:val="restart"/>
            <w:vAlign w:val="center"/>
          </w:tcPr>
          <w:p>
            <w:pPr>
              <w:pStyle w:val="7"/>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rFonts w:hint="default" w:ascii="Times New Roman" w:hAnsi="Times New Roman" w:cs="Times New Roman"/>
              </w:rPr>
            </w:pP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科目编码</w:t>
            </w:r>
          </w:p>
        </w:tc>
        <w:tc>
          <w:tcPr>
            <w:tcW w:w="2251" w:type="dxa"/>
            <w:vAlign w:val="center"/>
          </w:tcPr>
          <w:p>
            <w:pPr>
              <w:pStyle w:val="7"/>
              <w:rPr>
                <w:rFonts w:hint="default" w:ascii="Times New Roman" w:hAnsi="Times New Roman" w:cs="Times New Roman"/>
              </w:rPr>
            </w:pPr>
            <w:r>
              <w:rPr>
                <w:rFonts w:hint="default" w:ascii="Times New Roman" w:hAnsi="Times New Roman" w:cs="Times New Roman"/>
              </w:rPr>
              <w:t>科目名称</w:t>
            </w:r>
          </w:p>
        </w:tc>
        <w:tc>
          <w:tcPr>
            <w:tcW w:w="1770" w:type="dxa"/>
            <w:vMerge w:val="continue"/>
          </w:tcPr>
          <w:p>
            <w:pPr>
              <w:rPr>
                <w:rFonts w:hint="default" w:ascii="Times New Roman" w:hAnsi="Times New Roman" w:cs="Times New Roman"/>
              </w:rPr>
            </w:pPr>
          </w:p>
        </w:tc>
        <w:tc>
          <w:tcPr>
            <w:tcW w:w="1125" w:type="dxa"/>
            <w:vMerge w:val="continue"/>
          </w:tcPr>
          <w:p>
            <w:pPr>
              <w:rPr>
                <w:rFonts w:hint="default" w:ascii="Times New Roman" w:hAnsi="Times New Roman" w:cs="Times New Roman"/>
              </w:rPr>
            </w:pPr>
          </w:p>
        </w:tc>
        <w:tc>
          <w:tcPr>
            <w:tcW w:w="1426"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rPr>
                <w:rFonts w:hint="default" w:ascii="Times New Roman" w:hAnsi="Times New Roman" w:cs="Times New Roman"/>
              </w:rPr>
            </w:pPr>
            <w:r>
              <w:rPr>
                <w:rFonts w:hint="default" w:ascii="Times New Roman" w:hAnsi="Times New Roman" w:cs="Times New Roman"/>
              </w:rPr>
              <w:t>栏次</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2251"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1770"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1125"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1426" w:type="dxa"/>
            <w:vAlign w:val="center"/>
          </w:tcPr>
          <w:p>
            <w:pPr>
              <w:pStyle w:val="7"/>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13"/>
              <w:jc w:val="center"/>
              <w:rPr>
                <w:rFonts w:hint="default" w:ascii="Times New Roman" w:hAnsi="Times New Roman" w:cs="Times New Roman"/>
              </w:rPr>
            </w:pPr>
          </w:p>
        </w:tc>
        <w:tc>
          <w:tcPr>
            <w:tcW w:w="2251" w:type="dxa"/>
            <w:vAlign w:val="center"/>
          </w:tcPr>
          <w:p>
            <w:pPr>
              <w:pStyle w:val="11"/>
              <w:jc w:val="center"/>
              <w:rPr>
                <w:rFonts w:hint="default" w:ascii="Times New Roman" w:hAnsi="Times New Roman" w:cs="Times New Roman"/>
              </w:rPr>
            </w:pPr>
            <w:r>
              <w:rPr>
                <w:rFonts w:hint="default" w:ascii="Times New Roman" w:hAnsi="Times New Roman" w:cs="Times New Roman"/>
              </w:rPr>
              <w:t>合计</w:t>
            </w:r>
          </w:p>
        </w:tc>
        <w:tc>
          <w:tcPr>
            <w:tcW w:w="1770" w:type="dxa"/>
            <w:vAlign w:val="center"/>
          </w:tcPr>
          <w:p>
            <w:pPr>
              <w:pStyle w:val="12"/>
              <w:jc w:val="center"/>
              <w:rPr>
                <w:rFonts w:hint="default" w:ascii="Times New Roman" w:hAnsi="Times New Roman" w:cs="Times New Roman"/>
              </w:rPr>
            </w:pPr>
            <w:r>
              <w:rPr>
                <w:rFonts w:hint="default" w:ascii="Times New Roman" w:hAnsi="Times New Roman" w:cs="Times New Roman"/>
              </w:rPr>
              <w:t>2039.08</w:t>
            </w:r>
          </w:p>
        </w:tc>
        <w:tc>
          <w:tcPr>
            <w:tcW w:w="1125" w:type="dxa"/>
            <w:vAlign w:val="center"/>
          </w:tcPr>
          <w:p>
            <w:pPr>
              <w:pStyle w:val="12"/>
              <w:jc w:val="center"/>
              <w:rPr>
                <w:rFonts w:hint="default" w:ascii="Times New Roman" w:hAnsi="Times New Roman" w:cs="Times New Roman"/>
              </w:rPr>
            </w:pPr>
            <w:r>
              <w:rPr>
                <w:rFonts w:hint="default" w:ascii="Times New Roman" w:hAnsi="Times New Roman" w:cs="Times New Roman"/>
              </w:rPr>
              <w:t>508.59</w:t>
            </w:r>
          </w:p>
        </w:tc>
        <w:tc>
          <w:tcPr>
            <w:tcW w:w="1426" w:type="dxa"/>
            <w:vAlign w:val="center"/>
          </w:tcPr>
          <w:p>
            <w:pPr>
              <w:pStyle w:val="12"/>
              <w:jc w:val="center"/>
              <w:rPr>
                <w:rFonts w:hint="default" w:ascii="Times New Roman" w:hAnsi="Times New Roman" w:cs="Times New Roman"/>
              </w:rPr>
            </w:pPr>
            <w:r>
              <w:rPr>
                <w:rFonts w:hint="default" w:ascii="Times New Roman" w:hAnsi="Times New Roman" w:cs="Times New Roman"/>
              </w:rPr>
              <w:t>1530.49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201</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一般公共服务支出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635.53</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346.53</w:t>
            </w: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289.00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20104</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发展与改革事务</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346.53</w:t>
            </w: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2010401</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行政运行</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476.53</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346.53</w:t>
            </w: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5</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20105</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统计信息事务</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6</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2010507</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专项普查活动</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7</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20113</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商贸事务</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8</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2011308</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招商引资</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208</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社会保障和就业支出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10</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20805</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行政事业单位养老支出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65.73</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11</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2080501</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行政单位离退休</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3.50</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3.50</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12</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2080505</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机关事业单位基本养老保险缴费支出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58.30</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58.30</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2080506</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机关事业单位职业年金缴费支出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3.93</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3.93</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210</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卫生健康支出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15</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21011</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行政事业单位医疗</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16</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2101101</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行政单位医疗</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17</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215</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资源勘探工业信息等支出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1215.00</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1215.00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18</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21502</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制造业</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19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2150205</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医药制造业</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21505</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工业和信息产业监管</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21</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2150517</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产业发展</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22</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216</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商业服务业等支出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21606</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涉外发展服务支出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2160699</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其他涉外发展服务支出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c>
          <w:tcPr>
            <w:tcW w:w="1125" w:type="dxa"/>
            <w:vAlign w:val="center"/>
          </w:tcPr>
          <w:p>
            <w:pPr>
              <w:pStyle w:val="10"/>
              <w:jc w:val="center"/>
              <w:rPr>
                <w:rFonts w:hint="default" w:ascii="Times New Roman" w:hAnsi="Times New Roman" w:cs="Times New Roman"/>
              </w:rPr>
            </w:pPr>
          </w:p>
        </w:tc>
        <w:tc>
          <w:tcPr>
            <w:tcW w:w="1426" w:type="dxa"/>
            <w:vAlign w:val="center"/>
          </w:tcPr>
          <w:p>
            <w:pPr>
              <w:pStyle w:val="10"/>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25</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221</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住房保障支出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26</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22102</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住房改革支出</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426"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27</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2210201</w:t>
            </w:r>
          </w:p>
        </w:tc>
        <w:tc>
          <w:tcPr>
            <w:tcW w:w="2251" w:type="dxa"/>
            <w:vAlign w:val="center"/>
          </w:tcPr>
          <w:p>
            <w:pPr>
              <w:pStyle w:val="9"/>
              <w:jc w:val="center"/>
              <w:rPr>
                <w:rFonts w:hint="default" w:ascii="Times New Roman" w:hAnsi="Times New Roman" w:cs="Times New Roman"/>
              </w:rPr>
            </w:pPr>
            <w:r>
              <w:rPr>
                <w:rFonts w:hint="default" w:ascii="Times New Roman" w:hAnsi="Times New Roman" w:cs="Times New Roman"/>
              </w:rPr>
              <w:t>住房公积金</w:t>
            </w:r>
          </w:p>
        </w:tc>
        <w:tc>
          <w:tcPr>
            <w:tcW w:w="1770"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125"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426" w:type="dxa"/>
            <w:vAlign w:val="center"/>
          </w:tcPr>
          <w:p>
            <w:pPr>
              <w:pStyle w:val="10"/>
              <w:jc w:val="center"/>
              <w:rPr>
                <w:rFonts w:hint="default" w:ascii="Times New Roman" w:hAnsi="Times New Roman" w:cs="Times New Roman"/>
              </w:rPr>
            </w:pPr>
          </w:p>
        </w:tc>
      </w:tr>
    </w:tbl>
    <w:p>
      <w:pPr>
        <w:jc w:val="cente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868"/>
        <w:gridCol w:w="14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303001秦皇岛北戴河新区发展改革局本级</w:t>
            </w:r>
          </w:p>
        </w:tc>
        <w:tc>
          <w:tcPr>
            <w:tcW w:w="1868"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3061"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rPr>
                <w:rFonts w:hint="default" w:ascii="Times New Roman" w:hAnsi="Times New Roman" w:cs="Times New Roman"/>
              </w:rPr>
            </w:pPr>
            <w:r>
              <w:rPr>
                <w:rFonts w:hint="default" w:ascii="Times New Roman" w:hAnsi="Times New Roman" w:cs="Times New Roman"/>
              </w:rPr>
              <w:t>序号</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支出部门经济分类科目</w:t>
            </w:r>
          </w:p>
        </w:tc>
        <w:tc>
          <w:tcPr>
            <w:tcW w:w="1643" w:type="dxa"/>
          </w:tcPr>
          <w:p>
            <w:pPr>
              <w:rPr>
                <w:rFonts w:hint="default" w:ascii="Times New Roman" w:hAnsi="Times New Roman" w:cs="Times New Roman"/>
              </w:rPr>
            </w:pPr>
          </w:p>
        </w:tc>
        <w:tc>
          <w:tcPr>
            <w:tcW w:w="1868" w:type="dxa"/>
            <w:vAlign w:val="center"/>
          </w:tcPr>
          <w:p>
            <w:pPr>
              <w:pStyle w:val="7"/>
              <w:rPr>
                <w:rFonts w:hint="default" w:ascii="Times New Roman" w:hAnsi="Times New Roman" w:cs="Times New Roman"/>
              </w:rPr>
            </w:pPr>
            <w:r>
              <w:rPr>
                <w:rFonts w:hint="default" w:ascii="Times New Roman" w:hAnsi="Times New Roman" w:cs="Times New Roman"/>
              </w:rPr>
              <w:t>一般公共预算基本支出</w:t>
            </w:r>
          </w:p>
        </w:tc>
        <w:tc>
          <w:tcPr>
            <w:tcW w:w="1418" w:type="dxa"/>
          </w:tcPr>
          <w:p>
            <w:pPr>
              <w:rPr>
                <w:rFonts w:hint="default" w:ascii="Times New Roman" w:hAnsi="Times New Roman" w:cs="Times New Roman"/>
              </w:rPr>
            </w:pPr>
          </w:p>
        </w:tc>
        <w:tc>
          <w:tcPr>
            <w:tcW w:w="1643" w:type="dxa"/>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rFonts w:hint="default" w:ascii="Times New Roman" w:hAnsi="Times New Roman" w:cs="Times New Roman"/>
              </w:rPr>
            </w:pP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科目编码</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科目名称</w:t>
            </w:r>
          </w:p>
        </w:tc>
        <w:tc>
          <w:tcPr>
            <w:tcW w:w="1868" w:type="dxa"/>
            <w:vAlign w:val="center"/>
          </w:tcPr>
          <w:p>
            <w:pPr>
              <w:pStyle w:val="7"/>
              <w:rPr>
                <w:rFonts w:hint="default" w:ascii="Times New Roman" w:hAnsi="Times New Roman" w:cs="Times New Roman"/>
              </w:rPr>
            </w:pPr>
            <w:r>
              <w:rPr>
                <w:rFonts w:hint="default" w:ascii="Times New Roman" w:hAnsi="Times New Roman" w:cs="Times New Roman"/>
              </w:rPr>
              <w:t>合计</w:t>
            </w:r>
          </w:p>
        </w:tc>
        <w:tc>
          <w:tcPr>
            <w:tcW w:w="1418" w:type="dxa"/>
            <w:vAlign w:val="center"/>
          </w:tcPr>
          <w:p>
            <w:pPr>
              <w:pStyle w:val="7"/>
              <w:rPr>
                <w:rFonts w:hint="default" w:ascii="Times New Roman" w:hAnsi="Times New Roman" w:cs="Times New Roman"/>
              </w:rPr>
            </w:pPr>
            <w:r>
              <w:rPr>
                <w:rFonts w:hint="default" w:ascii="Times New Roman" w:hAnsi="Times New Roman" w:cs="Times New Roman"/>
              </w:rPr>
              <w:t>人员经费</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rPr>
                <w:rFonts w:hint="default" w:ascii="Times New Roman" w:hAnsi="Times New Roman" w:cs="Times New Roman"/>
              </w:rPr>
            </w:pPr>
            <w:r>
              <w:rPr>
                <w:rFonts w:hint="default" w:ascii="Times New Roman" w:hAnsi="Times New Roman" w:cs="Times New Roman"/>
              </w:rPr>
              <w:t>栏次</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1868"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1418"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13"/>
              <w:jc w:val="center"/>
              <w:rPr>
                <w:rFonts w:hint="default" w:ascii="Times New Roman" w:hAnsi="Times New Roman" w:cs="Times New Roman"/>
              </w:rPr>
            </w:pPr>
          </w:p>
        </w:tc>
        <w:tc>
          <w:tcPr>
            <w:tcW w:w="1643" w:type="dxa"/>
            <w:vAlign w:val="center"/>
          </w:tcPr>
          <w:p>
            <w:pPr>
              <w:pStyle w:val="11"/>
              <w:rPr>
                <w:rFonts w:hint="default" w:ascii="Times New Roman" w:hAnsi="Times New Roman" w:cs="Times New Roman"/>
              </w:rPr>
            </w:pPr>
            <w:r>
              <w:rPr>
                <w:rFonts w:hint="default" w:ascii="Times New Roman" w:hAnsi="Times New Roman" w:cs="Times New Roman"/>
              </w:rPr>
              <w:t>合计</w:t>
            </w:r>
          </w:p>
        </w:tc>
        <w:tc>
          <w:tcPr>
            <w:tcW w:w="1868" w:type="dxa"/>
            <w:vAlign w:val="center"/>
          </w:tcPr>
          <w:p>
            <w:pPr>
              <w:pStyle w:val="12"/>
              <w:jc w:val="center"/>
              <w:rPr>
                <w:rFonts w:hint="default" w:ascii="Times New Roman" w:hAnsi="Times New Roman" w:cs="Times New Roman"/>
              </w:rPr>
            </w:pPr>
            <w:r>
              <w:rPr>
                <w:rFonts w:hint="default" w:ascii="Times New Roman" w:hAnsi="Times New Roman" w:cs="Times New Roman"/>
              </w:rPr>
              <w:t>508.59</w:t>
            </w:r>
          </w:p>
        </w:tc>
        <w:tc>
          <w:tcPr>
            <w:tcW w:w="1418" w:type="dxa"/>
            <w:vAlign w:val="center"/>
          </w:tcPr>
          <w:p>
            <w:pPr>
              <w:pStyle w:val="12"/>
              <w:jc w:val="center"/>
              <w:rPr>
                <w:rFonts w:hint="default" w:ascii="Times New Roman" w:hAnsi="Times New Roman" w:cs="Times New Roman"/>
              </w:rPr>
            </w:pPr>
            <w:r>
              <w:rPr>
                <w:rFonts w:hint="default" w:ascii="Times New Roman" w:hAnsi="Times New Roman" w:cs="Times New Roman"/>
              </w:rPr>
              <w:t>471.40</w:t>
            </w:r>
          </w:p>
        </w:tc>
        <w:tc>
          <w:tcPr>
            <w:tcW w:w="1643" w:type="dxa"/>
            <w:vAlign w:val="center"/>
          </w:tcPr>
          <w:p>
            <w:pPr>
              <w:pStyle w:val="12"/>
              <w:jc w:val="center"/>
              <w:rPr>
                <w:rFonts w:hint="default" w:ascii="Times New Roman" w:hAnsi="Times New Roman" w:cs="Times New Roman"/>
              </w:rPr>
            </w:pPr>
            <w:r>
              <w:rPr>
                <w:rFonts w:hint="default" w:ascii="Times New Roman" w:hAnsi="Times New Roman" w:cs="Times New Roman"/>
              </w:rPr>
              <w:t>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工资福利支出</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467.97</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467.97</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30101</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基本工资</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108.28</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108.28</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30102</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津贴补贴</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53.11</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53.11</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5</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30103</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奖金</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80.24</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80.24</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6</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30107</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绩效工资</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64.31</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64.31</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7</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30108</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机关事业单位基本养老保险缴费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58.30</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58.30</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8</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30109</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职业年金缴费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3.93</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3.93</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30110</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职工基本医疗保险缴费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47.07</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10</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30112</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其他社会保障缴费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3.47</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3.47</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11</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30113</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住房公积金</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49.26</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12</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商品和服务支出</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35.99</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30201</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办公费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9.00</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30202</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印刷费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15</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30211</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差旅费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4.80</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16</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30215</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会议费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2.40</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17</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30216</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培训费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3.19</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18</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30217</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公务接待费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0.37</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30228</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工会经费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4.26</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20</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30229</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福利费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3.25</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21</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30231</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公务用车运行维护费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2.30</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22</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30239</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其他交通费用</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5.10</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30299</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其他商品和服务支出</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0.12</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303</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对个人和家庭的补助</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3.43</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3.43</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25</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30302</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退休费</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3.38</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3.38</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26</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30309</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奖励金</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0.05</w:t>
            </w:r>
          </w:p>
        </w:tc>
        <w:tc>
          <w:tcPr>
            <w:tcW w:w="1418" w:type="dxa"/>
            <w:vAlign w:val="center"/>
          </w:tcPr>
          <w:p>
            <w:pPr>
              <w:pStyle w:val="10"/>
              <w:jc w:val="center"/>
              <w:rPr>
                <w:rFonts w:hint="default" w:ascii="Times New Roman" w:hAnsi="Times New Roman" w:cs="Times New Roman"/>
              </w:rPr>
            </w:pPr>
            <w:r>
              <w:rPr>
                <w:rFonts w:hint="default" w:ascii="Times New Roman" w:hAnsi="Times New Roman" w:cs="Times New Roman"/>
              </w:rPr>
              <w:t>0.05</w:t>
            </w:r>
          </w:p>
        </w:tc>
        <w:tc>
          <w:tcPr>
            <w:tcW w:w="1643" w:type="dxa"/>
            <w:vAlign w:val="center"/>
          </w:tcPr>
          <w:p>
            <w:pPr>
              <w:pStyle w:val="10"/>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27</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310</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资本性支出</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28</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31002</w:t>
            </w:r>
          </w:p>
        </w:tc>
        <w:tc>
          <w:tcPr>
            <w:tcW w:w="1643" w:type="dxa"/>
            <w:vAlign w:val="center"/>
          </w:tcPr>
          <w:p>
            <w:pPr>
              <w:pStyle w:val="9"/>
              <w:rPr>
                <w:rFonts w:hint="default" w:ascii="Times New Roman" w:hAnsi="Times New Roman" w:cs="Times New Roman"/>
              </w:rPr>
            </w:pPr>
            <w:r>
              <w:rPr>
                <w:rFonts w:hint="default" w:ascii="Times New Roman" w:hAnsi="Times New Roman" w:cs="Times New Roman"/>
              </w:rPr>
              <w:t>办公设备购置</w:t>
            </w:r>
          </w:p>
        </w:tc>
        <w:tc>
          <w:tcPr>
            <w:tcW w:w="1868"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1418" w:type="dxa"/>
            <w:vAlign w:val="center"/>
          </w:tcPr>
          <w:p>
            <w:pPr>
              <w:pStyle w:val="10"/>
              <w:jc w:val="center"/>
              <w:rPr>
                <w:rFonts w:hint="default" w:ascii="Times New Roman" w:hAnsi="Times New Roman" w:cs="Times New Roman"/>
              </w:rPr>
            </w:pPr>
          </w:p>
        </w:tc>
        <w:tc>
          <w:tcPr>
            <w:tcW w:w="1643"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3"/>
        <w:gridCol w:w="122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303001秦皇岛北戴河新区发展改革局本级</w:t>
            </w:r>
          </w:p>
        </w:tc>
        <w:tc>
          <w:tcPr>
            <w:tcW w:w="2063"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2866"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rPr>
                <w:rFonts w:hint="default" w:ascii="Times New Roman" w:hAnsi="Times New Roman" w:cs="Times New Roman"/>
              </w:rPr>
            </w:pPr>
            <w:r>
              <w:rPr>
                <w:rFonts w:hint="default" w:ascii="Times New Roman" w:hAnsi="Times New Roman" w:cs="Times New Roman"/>
              </w:rPr>
              <w:t>序号</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功能分类科目</w:t>
            </w:r>
          </w:p>
        </w:tc>
        <w:tc>
          <w:tcPr>
            <w:tcW w:w="1643" w:type="dxa"/>
          </w:tcPr>
          <w:p>
            <w:pPr>
              <w:rPr>
                <w:rFonts w:hint="default" w:ascii="Times New Roman" w:hAnsi="Times New Roman" w:cs="Times New Roman"/>
              </w:rPr>
            </w:pPr>
          </w:p>
        </w:tc>
        <w:tc>
          <w:tcPr>
            <w:tcW w:w="2063" w:type="dxa"/>
            <w:vMerge w:val="restart"/>
            <w:vAlign w:val="center"/>
          </w:tcPr>
          <w:p>
            <w:pPr>
              <w:pStyle w:val="7"/>
              <w:rPr>
                <w:rFonts w:hint="default" w:ascii="Times New Roman" w:hAnsi="Times New Roman" w:cs="Times New Roman"/>
              </w:rPr>
            </w:pPr>
            <w:r>
              <w:rPr>
                <w:rFonts w:hint="default" w:ascii="Times New Roman" w:hAnsi="Times New Roman" w:cs="Times New Roman"/>
              </w:rPr>
              <w:t>合计</w:t>
            </w:r>
          </w:p>
        </w:tc>
        <w:tc>
          <w:tcPr>
            <w:tcW w:w="1223" w:type="dxa"/>
            <w:vMerge w:val="restart"/>
            <w:vAlign w:val="center"/>
          </w:tcPr>
          <w:p>
            <w:pPr>
              <w:pStyle w:val="7"/>
              <w:rPr>
                <w:rFonts w:hint="default" w:ascii="Times New Roman" w:hAnsi="Times New Roman" w:cs="Times New Roman"/>
              </w:rPr>
            </w:pPr>
            <w:r>
              <w:rPr>
                <w:rFonts w:hint="default" w:ascii="Times New Roman" w:hAnsi="Times New Roman" w:cs="Times New Roman"/>
              </w:rPr>
              <w:t>基本支出</w:t>
            </w:r>
          </w:p>
        </w:tc>
        <w:tc>
          <w:tcPr>
            <w:tcW w:w="1643" w:type="dxa"/>
            <w:vMerge w:val="restart"/>
            <w:vAlign w:val="center"/>
          </w:tcPr>
          <w:p>
            <w:pPr>
              <w:pStyle w:val="7"/>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rFonts w:hint="default" w:ascii="Times New Roman" w:hAnsi="Times New Roman" w:cs="Times New Roman"/>
              </w:rPr>
            </w:pP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科目编码</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科目名称</w:t>
            </w:r>
          </w:p>
        </w:tc>
        <w:tc>
          <w:tcPr>
            <w:tcW w:w="2063" w:type="dxa"/>
            <w:vMerge w:val="continue"/>
          </w:tcPr>
          <w:p>
            <w:pPr>
              <w:rPr>
                <w:rFonts w:hint="default" w:ascii="Times New Roman" w:hAnsi="Times New Roman" w:cs="Times New Roman"/>
              </w:rPr>
            </w:pPr>
          </w:p>
        </w:tc>
        <w:tc>
          <w:tcPr>
            <w:tcW w:w="1223" w:type="dxa"/>
            <w:vMerge w:val="continue"/>
          </w:tcPr>
          <w:p>
            <w:pPr>
              <w:rPr>
                <w:rFonts w:hint="default" w:ascii="Times New Roman" w:hAnsi="Times New Roman" w:cs="Times New Roman"/>
              </w:rPr>
            </w:pPr>
          </w:p>
        </w:tc>
        <w:tc>
          <w:tcPr>
            <w:tcW w:w="1643"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rPr>
                <w:rFonts w:hint="default" w:ascii="Times New Roman" w:hAnsi="Times New Roman" w:cs="Times New Roman"/>
              </w:rPr>
            </w:pPr>
            <w:r>
              <w:rPr>
                <w:rFonts w:hint="default" w:ascii="Times New Roman" w:hAnsi="Times New Roman" w:cs="Times New Roman"/>
              </w:rPr>
              <w:t>栏次</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2063"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1223"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p>
        </w:tc>
        <w:tc>
          <w:tcPr>
            <w:tcW w:w="1643" w:type="dxa"/>
            <w:vAlign w:val="center"/>
          </w:tcPr>
          <w:p>
            <w:pPr>
              <w:pStyle w:val="9"/>
              <w:rPr>
                <w:rFonts w:hint="default" w:ascii="Times New Roman" w:hAnsi="Times New Roman" w:cs="Times New Roman"/>
              </w:rPr>
            </w:pPr>
          </w:p>
        </w:tc>
        <w:tc>
          <w:tcPr>
            <w:tcW w:w="1643" w:type="dxa"/>
            <w:vAlign w:val="center"/>
          </w:tcPr>
          <w:p>
            <w:pPr>
              <w:pStyle w:val="9"/>
              <w:rPr>
                <w:rFonts w:hint="default" w:ascii="Times New Roman" w:hAnsi="Times New Roman" w:cs="Times New Roman"/>
              </w:rPr>
            </w:pPr>
          </w:p>
        </w:tc>
        <w:tc>
          <w:tcPr>
            <w:tcW w:w="2063" w:type="dxa"/>
            <w:vAlign w:val="center"/>
          </w:tcPr>
          <w:p>
            <w:pPr>
              <w:pStyle w:val="10"/>
              <w:rPr>
                <w:rFonts w:hint="default" w:ascii="Times New Roman" w:hAnsi="Times New Roman" w:cs="Times New Roman"/>
              </w:rPr>
            </w:pPr>
          </w:p>
        </w:tc>
        <w:tc>
          <w:tcPr>
            <w:tcW w:w="1223" w:type="dxa"/>
            <w:vAlign w:val="center"/>
          </w:tcPr>
          <w:p>
            <w:pPr>
              <w:pStyle w:val="10"/>
              <w:rPr>
                <w:rFonts w:hint="default" w:ascii="Times New Roman" w:hAnsi="Times New Roman" w:cs="Times New Roman"/>
              </w:rPr>
            </w:pPr>
          </w:p>
        </w:tc>
        <w:tc>
          <w:tcPr>
            <w:tcW w:w="1643" w:type="dxa"/>
            <w:vAlign w:val="center"/>
          </w:tcPr>
          <w:p>
            <w:pPr>
              <w:pStyle w:val="10"/>
              <w:rPr>
                <w:rFonts w:hint="default" w:ascii="Times New Roman" w:hAnsi="Times New Roman" w:cs="Times New Roman"/>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书宋_GBK" w:cs="Times New Roman"/>
          <w:color w:val="000000"/>
          <w:sz w:val="21"/>
        </w:rPr>
        <w:t>注：无政府基金预算财政拨款预算，空表列示。</w:t>
      </w: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28"/>
        <w:gridCol w:w="135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303001秦皇岛北戴河新区发展改革局本级</w:t>
            </w:r>
          </w:p>
        </w:tc>
        <w:tc>
          <w:tcPr>
            <w:tcW w:w="1928"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3001"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rPr>
                <w:rFonts w:hint="default" w:ascii="Times New Roman" w:hAnsi="Times New Roman" w:cs="Times New Roman"/>
              </w:rPr>
            </w:pPr>
            <w:r>
              <w:rPr>
                <w:rFonts w:hint="default" w:ascii="Times New Roman" w:hAnsi="Times New Roman" w:cs="Times New Roman"/>
              </w:rPr>
              <w:t>序号</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功能分类科目</w:t>
            </w:r>
          </w:p>
        </w:tc>
        <w:tc>
          <w:tcPr>
            <w:tcW w:w="1643" w:type="dxa"/>
          </w:tcPr>
          <w:p>
            <w:pPr>
              <w:rPr>
                <w:rFonts w:hint="default" w:ascii="Times New Roman" w:hAnsi="Times New Roman" w:cs="Times New Roman"/>
              </w:rPr>
            </w:pPr>
          </w:p>
        </w:tc>
        <w:tc>
          <w:tcPr>
            <w:tcW w:w="1928" w:type="dxa"/>
            <w:vMerge w:val="restart"/>
            <w:vAlign w:val="center"/>
          </w:tcPr>
          <w:p>
            <w:pPr>
              <w:pStyle w:val="7"/>
              <w:rPr>
                <w:rFonts w:hint="default" w:ascii="Times New Roman" w:hAnsi="Times New Roman" w:cs="Times New Roman"/>
              </w:rPr>
            </w:pPr>
            <w:r>
              <w:rPr>
                <w:rFonts w:hint="default" w:ascii="Times New Roman" w:hAnsi="Times New Roman" w:cs="Times New Roman"/>
              </w:rPr>
              <w:t>合计</w:t>
            </w:r>
          </w:p>
        </w:tc>
        <w:tc>
          <w:tcPr>
            <w:tcW w:w="1358" w:type="dxa"/>
            <w:vMerge w:val="restart"/>
            <w:vAlign w:val="center"/>
          </w:tcPr>
          <w:p>
            <w:pPr>
              <w:pStyle w:val="7"/>
              <w:rPr>
                <w:rFonts w:hint="default" w:ascii="Times New Roman" w:hAnsi="Times New Roman" w:cs="Times New Roman"/>
              </w:rPr>
            </w:pPr>
            <w:r>
              <w:rPr>
                <w:rFonts w:hint="default" w:ascii="Times New Roman" w:hAnsi="Times New Roman" w:cs="Times New Roman"/>
              </w:rPr>
              <w:t>基本支出</w:t>
            </w:r>
          </w:p>
        </w:tc>
        <w:tc>
          <w:tcPr>
            <w:tcW w:w="1643" w:type="dxa"/>
            <w:vMerge w:val="restart"/>
            <w:vAlign w:val="center"/>
          </w:tcPr>
          <w:p>
            <w:pPr>
              <w:pStyle w:val="7"/>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rFonts w:hint="default" w:ascii="Times New Roman" w:hAnsi="Times New Roman" w:cs="Times New Roman"/>
              </w:rPr>
            </w:pP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科目编码</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科目名称</w:t>
            </w:r>
          </w:p>
        </w:tc>
        <w:tc>
          <w:tcPr>
            <w:tcW w:w="1928" w:type="dxa"/>
            <w:vMerge w:val="continue"/>
          </w:tcPr>
          <w:p>
            <w:pPr>
              <w:rPr>
                <w:rFonts w:hint="default" w:ascii="Times New Roman" w:hAnsi="Times New Roman" w:cs="Times New Roman"/>
              </w:rPr>
            </w:pPr>
          </w:p>
        </w:tc>
        <w:tc>
          <w:tcPr>
            <w:tcW w:w="1358" w:type="dxa"/>
            <w:vMerge w:val="continue"/>
          </w:tcPr>
          <w:p>
            <w:pPr>
              <w:rPr>
                <w:rFonts w:hint="default" w:ascii="Times New Roman" w:hAnsi="Times New Roman" w:cs="Times New Roman"/>
              </w:rPr>
            </w:pPr>
          </w:p>
        </w:tc>
        <w:tc>
          <w:tcPr>
            <w:tcW w:w="1643"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rPr>
                <w:rFonts w:hint="default" w:ascii="Times New Roman" w:hAnsi="Times New Roman" w:cs="Times New Roman"/>
              </w:rPr>
            </w:pPr>
            <w:r>
              <w:rPr>
                <w:rFonts w:hint="default" w:ascii="Times New Roman" w:hAnsi="Times New Roman" w:cs="Times New Roman"/>
              </w:rPr>
              <w:t>栏次</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1928"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1358"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rPr>
                <w:rFonts w:hint="default" w:ascii="Times New Roman" w:hAnsi="Times New Roman" w:cs="Times New Roman"/>
              </w:rPr>
            </w:pPr>
          </w:p>
        </w:tc>
        <w:tc>
          <w:tcPr>
            <w:tcW w:w="1643" w:type="dxa"/>
            <w:vAlign w:val="center"/>
          </w:tcPr>
          <w:p>
            <w:pPr>
              <w:pStyle w:val="9"/>
              <w:rPr>
                <w:rFonts w:hint="default" w:ascii="Times New Roman" w:hAnsi="Times New Roman" w:cs="Times New Roman"/>
              </w:rPr>
            </w:pPr>
          </w:p>
        </w:tc>
        <w:tc>
          <w:tcPr>
            <w:tcW w:w="1643" w:type="dxa"/>
            <w:vAlign w:val="center"/>
          </w:tcPr>
          <w:p>
            <w:pPr>
              <w:pStyle w:val="9"/>
              <w:rPr>
                <w:rFonts w:hint="default" w:ascii="Times New Roman" w:hAnsi="Times New Roman" w:cs="Times New Roman"/>
              </w:rPr>
            </w:pPr>
          </w:p>
        </w:tc>
        <w:tc>
          <w:tcPr>
            <w:tcW w:w="1928" w:type="dxa"/>
            <w:vAlign w:val="center"/>
          </w:tcPr>
          <w:p>
            <w:pPr>
              <w:pStyle w:val="10"/>
              <w:rPr>
                <w:rFonts w:hint="default" w:ascii="Times New Roman" w:hAnsi="Times New Roman" w:cs="Times New Roman"/>
              </w:rPr>
            </w:pPr>
          </w:p>
        </w:tc>
        <w:tc>
          <w:tcPr>
            <w:tcW w:w="1358" w:type="dxa"/>
            <w:vAlign w:val="center"/>
          </w:tcPr>
          <w:p>
            <w:pPr>
              <w:pStyle w:val="10"/>
              <w:rPr>
                <w:rFonts w:hint="default" w:ascii="Times New Roman" w:hAnsi="Times New Roman" w:cs="Times New Roman"/>
              </w:rPr>
            </w:pPr>
          </w:p>
        </w:tc>
        <w:tc>
          <w:tcPr>
            <w:tcW w:w="1643" w:type="dxa"/>
            <w:vAlign w:val="center"/>
          </w:tcPr>
          <w:p>
            <w:pPr>
              <w:pStyle w:val="10"/>
              <w:rPr>
                <w:rFonts w:hint="default" w:ascii="Times New Roman" w:hAnsi="Times New Roman" w:cs="Times New Roman"/>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书宋_GBK" w:cs="Times New Roman"/>
          <w:color w:val="000000"/>
          <w:sz w:val="21"/>
        </w:rPr>
        <w:t>注：无国有资本经营预算财政拨款预算，空表列示。</w:t>
      </w: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80"/>
        <w:gridCol w:w="1306"/>
        <w:gridCol w:w="1808"/>
        <w:gridCol w:w="14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303001秦皇岛北戴河新区发展改革局本级</w:t>
            </w:r>
          </w:p>
        </w:tc>
        <w:tc>
          <w:tcPr>
            <w:tcW w:w="1808" w:type="dxa"/>
            <w:tcBorders>
              <w:top w:val="single" w:color="FFFFFF" w:sz="6" w:space="0"/>
              <w:left w:val="single" w:color="FFFFFF" w:sz="6" w:space="0"/>
              <w:right w:val="single" w:color="FFFFFF" w:sz="6" w:space="0"/>
            </w:tcBorders>
            <w:vAlign w:val="center"/>
          </w:tcPr>
          <w:p>
            <w:pPr>
              <w:pStyle w:val="5"/>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3121"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rPr>
                <w:rFonts w:hint="default" w:ascii="Times New Roman" w:hAnsi="Times New Roman" w:cs="Times New Roman"/>
              </w:rPr>
            </w:pPr>
            <w:r>
              <w:rPr>
                <w:rFonts w:hint="default" w:ascii="Times New Roman" w:hAnsi="Times New Roman" w:cs="Times New Roman"/>
              </w:rPr>
              <w:t>序号</w:t>
            </w:r>
          </w:p>
        </w:tc>
        <w:tc>
          <w:tcPr>
            <w:tcW w:w="1980" w:type="dxa"/>
            <w:vMerge w:val="restart"/>
            <w:vAlign w:val="center"/>
          </w:tcPr>
          <w:p>
            <w:pPr>
              <w:pStyle w:val="7"/>
              <w:rPr>
                <w:rFonts w:hint="default" w:ascii="Times New Roman" w:hAnsi="Times New Roman" w:cs="Times New Roman"/>
              </w:rPr>
            </w:pPr>
            <w:r>
              <w:rPr>
                <w:rFonts w:hint="default" w:ascii="Times New Roman" w:hAnsi="Times New Roman" w:cs="Times New Roman"/>
              </w:rPr>
              <w:t>项  目</w:t>
            </w:r>
          </w:p>
        </w:tc>
        <w:tc>
          <w:tcPr>
            <w:tcW w:w="1306" w:type="dxa"/>
            <w:vAlign w:val="center"/>
          </w:tcPr>
          <w:p>
            <w:pPr>
              <w:pStyle w:val="7"/>
              <w:rPr>
                <w:rFonts w:hint="default" w:ascii="Times New Roman" w:hAnsi="Times New Roman" w:cs="Times New Roman"/>
              </w:rPr>
            </w:pPr>
            <w:r>
              <w:rPr>
                <w:rFonts w:hint="default" w:ascii="Times New Roman" w:hAnsi="Times New Roman" w:cs="Times New Roman"/>
              </w:rPr>
              <w:t>资 金 性 质</w:t>
            </w:r>
          </w:p>
        </w:tc>
        <w:tc>
          <w:tcPr>
            <w:tcW w:w="1808" w:type="dxa"/>
          </w:tcPr>
          <w:p>
            <w:pPr>
              <w:rPr>
                <w:rFonts w:hint="default" w:ascii="Times New Roman" w:hAnsi="Times New Roman" w:cs="Times New Roman"/>
              </w:rPr>
            </w:pPr>
          </w:p>
        </w:tc>
        <w:tc>
          <w:tcPr>
            <w:tcW w:w="1478" w:type="dxa"/>
          </w:tcPr>
          <w:p>
            <w:pPr>
              <w:rPr>
                <w:rFonts w:hint="default" w:ascii="Times New Roman" w:hAnsi="Times New Roman" w:cs="Times New Roman"/>
              </w:rPr>
            </w:pPr>
          </w:p>
        </w:tc>
        <w:tc>
          <w:tcPr>
            <w:tcW w:w="1643" w:type="dxa"/>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rPr>
                <w:rFonts w:hint="default" w:ascii="Times New Roman" w:hAnsi="Times New Roman" w:cs="Times New Roman"/>
              </w:rPr>
            </w:pPr>
          </w:p>
        </w:tc>
        <w:tc>
          <w:tcPr>
            <w:tcW w:w="1980" w:type="dxa"/>
            <w:vMerge w:val="continue"/>
          </w:tcPr>
          <w:p>
            <w:pPr>
              <w:rPr>
                <w:rFonts w:hint="default" w:ascii="Times New Roman" w:hAnsi="Times New Roman" w:cs="Times New Roman"/>
              </w:rPr>
            </w:pPr>
          </w:p>
        </w:tc>
        <w:tc>
          <w:tcPr>
            <w:tcW w:w="1306" w:type="dxa"/>
            <w:vAlign w:val="center"/>
          </w:tcPr>
          <w:p>
            <w:pPr>
              <w:pStyle w:val="7"/>
              <w:rPr>
                <w:rFonts w:hint="default" w:ascii="Times New Roman" w:hAnsi="Times New Roman" w:cs="Times New Roman"/>
              </w:rPr>
            </w:pPr>
            <w:r>
              <w:rPr>
                <w:rFonts w:hint="default" w:ascii="Times New Roman" w:hAnsi="Times New Roman" w:cs="Times New Roman"/>
              </w:rPr>
              <w:t>合计</w:t>
            </w:r>
          </w:p>
        </w:tc>
        <w:tc>
          <w:tcPr>
            <w:tcW w:w="1808" w:type="dxa"/>
            <w:vAlign w:val="center"/>
          </w:tcPr>
          <w:p>
            <w:pPr>
              <w:pStyle w:val="7"/>
              <w:rPr>
                <w:rFonts w:hint="default" w:ascii="Times New Roman" w:hAnsi="Times New Roman" w:cs="Times New Roman"/>
              </w:rPr>
            </w:pPr>
            <w:r>
              <w:rPr>
                <w:rFonts w:hint="default" w:ascii="Times New Roman" w:hAnsi="Times New Roman" w:cs="Times New Roman"/>
              </w:rPr>
              <w:t>一般公共预算              财政拨款</w:t>
            </w:r>
          </w:p>
        </w:tc>
        <w:tc>
          <w:tcPr>
            <w:tcW w:w="1478" w:type="dxa"/>
            <w:vAlign w:val="center"/>
          </w:tcPr>
          <w:p>
            <w:pPr>
              <w:pStyle w:val="7"/>
              <w:rPr>
                <w:rFonts w:hint="default" w:ascii="Times New Roman" w:hAnsi="Times New Roman" w:cs="Times New Roman"/>
              </w:rPr>
            </w:pPr>
            <w:r>
              <w:rPr>
                <w:rFonts w:hint="default" w:ascii="Times New Roman" w:hAnsi="Times New Roman" w:cs="Times New Roman"/>
              </w:rPr>
              <w:t>政府性基金                  预算拨款</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7"/>
              <w:rPr>
                <w:rFonts w:hint="default" w:ascii="Times New Roman" w:hAnsi="Times New Roman" w:cs="Times New Roman"/>
              </w:rPr>
            </w:pPr>
            <w:r>
              <w:rPr>
                <w:rFonts w:hint="default" w:ascii="Times New Roman" w:hAnsi="Times New Roman" w:cs="Times New Roman"/>
              </w:rPr>
              <w:t>栏次</w:t>
            </w:r>
          </w:p>
        </w:tc>
        <w:tc>
          <w:tcPr>
            <w:tcW w:w="1980"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1306"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1808"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1478"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7"/>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1</w:t>
            </w:r>
          </w:p>
        </w:tc>
        <w:tc>
          <w:tcPr>
            <w:tcW w:w="1980" w:type="dxa"/>
            <w:vAlign w:val="center"/>
          </w:tcPr>
          <w:p>
            <w:pPr>
              <w:pStyle w:val="11"/>
              <w:rPr>
                <w:rFonts w:hint="default" w:ascii="Times New Roman" w:hAnsi="Times New Roman" w:cs="Times New Roman"/>
              </w:rPr>
            </w:pPr>
            <w:r>
              <w:rPr>
                <w:rFonts w:hint="default" w:ascii="Times New Roman" w:hAnsi="Times New Roman" w:cs="Times New Roman"/>
              </w:rPr>
              <w:t>合计</w:t>
            </w:r>
          </w:p>
        </w:tc>
        <w:tc>
          <w:tcPr>
            <w:tcW w:w="1306" w:type="dxa"/>
            <w:vAlign w:val="center"/>
          </w:tcPr>
          <w:p>
            <w:pPr>
              <w:pStyle w:val="12"/>
              <w:jc w:val="center"/>
              <w:rPr>
                <w:rFonts w:hint="default" w:ascii="Times New Roman" w:hAnsi="Times New Roman" w:cs="Times New Roman"/>
              </w:rPr>
            </w:pPr>
            <w:r>
              <w:rPr>
                <w:rFonts w:hint="default" w:ascii="Times New Roman" w:hAnsi="Times New Roman" w:cs="Times New Roman"/>
              </w:rPr>
              <w:t>2.67</w:t>
            </w:r>
          </w:p>
        </w:tc>
        <w:tc>
          <w:tcPr>
            <w:tcW w:w="1808" w:type="dxa"/>
            <w:vAlign w:val="center"/>
          </w:tcPr>
          <w:p>
            <w:pPr>
              <w:pStyle w:val="12"/>
              <w:jc w:val="center"/>
              <w:rPr>
                <w:rFonts w:hint="default" w:ascii="Times New Roman" w:hAnsi="Times New Roman" w:cs="Times New Roman"/>
              </w:rPr>
            </w:pPr>
            <w:r>
              <w:rPr>
                <w:rFonts w:hint="default" w:ascii="Times New Roman" w:hAnsi="Times New Roman" w:cs="Times New Roman"/>
              </w:rPr>
              <w:t>2.67</w:t>
            </w:r>
          </w:p>
        </w:tc>
        <w:tc>
          <w:tcPr>
            <w:tcW w:w="1478" w:type="dxa"/>
            <w:vAlign w:val="center"/>
          </w:tcPr>
          <w:p>
            <w:pPr>
              <w:pStyle w:val="12"/>
              <w:rPr>
                <w:rFonts w:hint="default" w:ascii="Times New Roman" w:hAnsi="Times New Roman" w:cs="Times New Roman"/>
              </w:rPr>
            </w:pPr>
          </w:p>
        </w:tc>
        <w:tc>
          <w:tcPr>
            <w:tcW w:w="1643" w:type="dxa"/>
            <w:vAlign w:val="center"/>
          </w:tcPr>
          <w:p>
            <w:pPr>
              <w:pStyle w:val="12"/>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2</w:t>
            </w:r>
          </w:p>
        </w:tc>
        <w:tc>
          <w:tcPr>
            <w:tcW w:w="1980" w:type="dxa"/>
            <w:vAlign w:val="center"/>
          </w:tcPr>
          <w:p>
            <w:pPr>
              <w:pStyle w:val="9"/>
              <w:rPr>
                <w:rFonts w:hint="default" w:ascii="Times New Roman" w:hAnsi="Times New Roman" w:cs="Times New Roman"/>
              </w:rPr>
            </w:pPr>
            <w:r>
              <w:rPr>
                <w:rFonts w:hint="default" w:ascii="Times New Roman" w:hAnsi="Times New Roman" w:cs="Times New Roman"/>
              </w:rPr>
              <w:t>一、因公出国（境）费</w:t>
            </w:r>
          </w:p>
        </w:tc>
        <w:tc>
          <w:tcPr>
            <w:tcW w:w="1306" w:type="dxa"/>
            <w:vAlign w:val="center"/>
          </w:tcPr>
          <w:p>
            <w:pPr>
              <w:pStyle w:val="10"/>
              <w:jc w:val="center"/>
              <w:rPr>
                <w:rFonts w:hint="default" w:ascii="Times New Roman" w:hAnsi="Times New Roman" w:cs="Times New Roman"/>
              </w:rPr>
            </w:pPr>
          </w:p>
        </w:tc>
        <w:tc>
          <w:tcPr>
            <w:tcW w:w="1808" w:type="dxa"/>
            <w:vAlign w:val="center"/>
          </w:tcPr>
          <w:p>
            <w:pPr>
              <w:pStyle w:val="10"/>
              <w:jc w:val="center"/>
              <w:rPr>
                <w:rFonts w:hint="default" w:ascii="Times New Roman" w:hAnsi="Times New Roman" w:cs="Times New Roman"/>
              </w:rPr>
            </w:pPr>
          </w:p>
        </w:tc>
        <w:tc>
          <w:tcPr>
            <w:tcW w:w="1478" w:type="dxa"/>
            <w:vAlign w:val="center"/>
          </w:tcPr>
          <w:p>
            <w:pPr>
              <w:pStyle w:val="10"/>
              <w:rPr>
                <w:rFonts w:hint="default" w:ascii="Times New Roman" w:hAnsi="Times New Roman" w:cs="Times New Roman"/>
              </w:rPr>
            </w:pPr>
          </w:p>
        </w:tc>
        <w:tc>
          <w:tcPr>
            <w:tcW w:w="1643"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3</w:t>
            </w:r>
          </w:p>
        </w:tc>
        <w:tc>
          <w:tcPr>
            <w:tcW w:w="1980" w:type="dxa"/>
            <w:vAlign w:val="center"/>
          </w:tcPr>
          <w:p>
            <w:pPr>
              <w:pStyle w:val="9"/>
              <w:rPr>
                <w:rFonts w:hint="default" w:ascii="Times New Roman" w:hAnsi="Times New Roman" w:cs="Times New Roman"/>
              </w:rPr>
            </w:pPr>
            <w:r>
              <w:rPr>
                <w:rFonts w:hint="default" w:ascii="Times New Roman" w:hAnsi="Times New Roman" w:cs="Times New Roman"/>
              </w:rPr>
              <w:t xml:space="preserve">    其中：教学科研人员因公出国（境）费</w:t>
            </w:r>
          </w:p>
        </w:tc>
        <w:tc>
          <w:tcPr>
            <w:tcW w:w="1306" w:type="dxa"/>
            <w:vAlign w:val="center"/>
          </w:tcPr>
          <w:p>
            <w:pPr>
              <w:pStyle w:val="10"/>
              <w:jc w:val="center"/>
              <w:rPr>
                <w:rFonts w:hint="default" w:ascii="Times New Roman" w:hAnsi="Times New Roman" w:cs="Times New Roman"/>
              </w:rPr>
            </w:pPr>
          </w:p>
        </w:tc>
        <w:tc>
          <w:tcPr>
            <w:tcW w:w="1808" w:type="dxa"/>
            <w:vAlign w:val="center"/>
          </w:tcPr>
          <w:p>
            <w:pPr>
              <w:pStyle w:val="10"/>
              <w:jc w:val="center"/>
              <w:rPr>
                <w:rFonts w:hint="default" w:ascii="Times New Roman" w:hAnsi="Times New Roman" w:cs="Times New Roman"/>
              </w:rPr>
            </w:pPr>
          </w:p>
        </w:tc>
        <w:tc>
          <w:tcPr>
            <w:tcW w:w="1478" w:type="dxa"/>
            <w:vAlign w:val="center"/>
          </w:tcPr>
          <w:p>
            <w:pPr>
              <w:pStyle w:val="10"/>
              <w:rPr>
                <w:rFonts w:hint="default" w:ascii="Times New Roman" w:hAnsi="Times New Roman" w:cs="Times New Roman"/>
              </w:rPr>
            </w:pPr>
          </w:p>
        </w:tc>
        <w:tc>
          <w:tcPr>
            <w:tcW w:w="1643"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4</w:t>
            </w:r>
          </w:p>
        </w:tc>
        <w:tc>
          <w:tcPr>
            <w:tcW w:w="1980" w:type="dxa"/>
            <w:vAlign w:val="center"/>
          </w:tcPr>
          <w:p>
            <w:pPr>
              <w:pStyle w:val="9"/>
              <w:rPr>
                <w:rFonts w:hint="default" w:ascii="Times New Roman" w:hAnsi="Times New Roman" w:cs="Times New Roman"/>
              </w:rPr>
            </w:pPr>
            <w:r>
              <w:rPr>
                <w:rFonts w:hint="default" w:ascii="Times New Roman" w:hAnsi="Times New Roman" w:cs="Times New Roman"/>
              </w:rPr>
              <w:t xml:space="preserve">          其他因公出国（境）费</w:t>
            </w:r>
          </w:p>
        </w:tc>
        <w:tc>
          <w:tcPr>
            <w:tcW w:w="1306" w:type="dxa"/>
            <w:vAlign w:val="center"/>
          </w:tcPr>
          <w:p>
            <w:pPr>
              <w:pStyle w:val="10"/>
              <w:jc w:val="center"/>
              <w:rPr>
                <w:rFonts w:hint="default" w:ascii="Times New Roman" w:hAnsi="Times New Roman" w:cs="Times New Roman"/>
              </w:rPr>
            </w:pPr>
          </w:p>
        </w:tc>
        <w:tc>
          <w:tcPr>
            <w:tcW w:w="1808" w:type="dxa"/>
            <w:vAlign w:val="center"/>
          </w:tcPr>
          <w:p>
            <w:pPr>
              <w:pStyle w:val="10"/>
              <w:jc w:val="center"/>
              <w:rPr>
                <w:rFonts w:hint="default" w:ascii="Times New Roman" w:hAnsi="Times New Roman" w:cs="Times New Roman"/>
              </w:rPr>
            </w:pPr>
          </w:p>
        </w:tc>
        <w:tc>
          <w:tcPr>
            <w:tcW w:w="1478" w:type="dxa"/>
            <w:vAlign w:val="center"/>
          </w:tcPr>
          <w:p>
            <w:pPr>
              <w:pStyle w:val="10"/>
              <w:rPr>
                <w:rFonts w:hint="default" w:ascii="Times New Roman" w:hAnsi="Times New Roman" w:cs="Times New Roman"/>
              </w:rPr>
            </w:pPr>
          </w:p>
        </w:tc>
        <w:tc>
          <w:tcPr>
            <w:tcW w:w="1643"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5</w:t>
            </w:r>
          </w:p>
        </w:tc>
        <w:tc>
          <w:tcPr>
            <w:tcW w:w="1980" w:type="dxa"/>
            <w:vAlign w:val="center"/>
          </w:tcPr>
          <w:p>
            <w:pPr>
              <w:pStyle w:val="9"/>
              <w:rPr>
                <w:rFonts w:hint="default" w:ascii="Times New Roman" w:hAnsi="Times New Roman" w:cs="Times New Roman"/>
              </w:rPr>
            </w:pPr>
            <w:r>
              <w:rPr>
                <w:rFonts w:hint="default" w:ascii="Times New Roman" w:hAnsi="Times New Roman" w:cs="Times New Roman"/>
              </w:rPr>
              <w:t>二、公务用车购置及运维费</w:t>
            </w:r>
          </w:p>
        </w:tc>
        <w:tc>
          <w:tcPr>
            <w:tcW w:w="1306" w:type="dxa"/>
            <w:vAlign w:val="center"/>
          </w:tcPr>
          <w:p>
            <w:pPr>
              <w:pStyle w:val="10"/>
              <w:jc w:val="center"/>
              <w:rPr>
                <w:rFonts w:hint="default" w:ascii="Times New Roman" w:hAnsi="Times New Roman" w:cs="Times New Roman"/>
              </w:rPr>
            </w:pPr>
            <w:r>
              <w:rPr>
                <w:rFonts w:hint="default" w:ascii="Times New Roman" w:hAnsi="Times New Roman" w:cs="Times New Roman"/>
              </w:rPr>
              <w:t>2.30</w:t>
            </w:r>
          </w:p>
        </w:tc>
        <w:tc>
          <w:tcPr>
            <w:tcW w:w="1808" w:type="dxa"/>
            <w:vAlign w:val="center"/>
          </w:tcPr>
          <w:p>
            <w:pPr>
              <w:pStyle w:val="10"/>
              <w:jc w:val="center"/>
              <w:rPr>
                <w:rFonts w:hint="default" w:ascii="Times New Roman" w:hAnsi="Times New Roman" w:cs="Times New Roman"/>
              </w:rPr>
            </w:pPr>
            <w:r>
              <w:rPr>
                <w:rFonts w:hint="default" w:ascii="Times New Roman" w:hAnsi="Times New Roman" w:cs="Times New Roman"/>
              </w:rPr>
              <w:t>2.30</w:t>
            </w:r>
          </w:p>
        </w:tc>
        <w:tc>
          <w:tcPr>
            <w:tcW w:w="1478" w:type="dxa"/>
            <w:vAlign w:val="center"/>
          </w:tcPr>
          <w:p>
            <w:pPr>
              <w:pStyle w:val="10"/>
              <w:rPr>
                <w:rFonts w:hint="default" w:ascii="Times New Roman" w:hAnsi="Times New Roman" w:cs="Times New Roman"/>
              </w:rPr>
            </w:pPr>
          </w:p>
        </w:tc>
        <w:tc>
          <w:tcPr>
            <w:tcW w:w="1643"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6</w:t>
            </w:r>
          </w:p>
        </w:tc>
        <w:tc>
          <w:tcPr>
            <w:tcW w:w="1980" w:type="dxa"/>
            <w:vAlign w:val="center"/>
          </w:tcPr>
          <w:p>
            <w:pPr>
              <w:pStyle w:val="9"/>
              <w:rPr>
                <w:rFonts w:hint="default" w:ascii="Times New Roman" w:hAnsi="Times New Roman" w:cs="Times New Roman"/>
              </w:rPr>
            </w:pPr>
            <w:r>
              <w:rPr>
                <w:rFonts w:hint="default" w:ascii="Times New Roman" w:hAnsi="Times New Roman" w:cs="Times New Roman"/>
              </w:rPr>
              <w:t xml:space="preserve">    其中：公务用车购置费</w:t>
            </w:r>
          </w:p>
        </w:tc>
        <w:tc>
          <w:tcPr>
            <w:tcW w:w="1306" w:type="dxa"/>
            <w:vAlign w:val="center"/>
          </w:tcPr>
          <w:p>
            <w:pPr>
              <w:pStyle w:val="10"/>
              <w:jc w:val="center"/>
              <w:rPr>
                <w:rFonts w:hint="default" w:ascii="Times New Roman" w:hAnsi="Times New Roman" w:cs="Times New Roman"/>
              </w:rPr>
            </w:pPr>
          </w:p>
        </w:tc>
        <w:tc>
          <w:tcPr>
            <w:tcW w:w="1808" w:type="dxa"/>
            <w:vAlign w:val="center"/>
          </w:tcPr>
          <w:p>
            <w:pPr>
              <w:pStyle w:val="10"/>
              <w:jc w:val="center"/>
              <w:rPr>
                <w:rFonts w:hint="default" w:ascii="Times New Roman" w:hAnsi="Times New Roman" w:cs="Times New Roman"/>
              </w:rPr>
            </w:pPr>
          </w:p>
        </w:tc>
        <w:tc>
          <w:tcPr>
            <w:tcW w:w="1478" w:type="dxa"/>
            <w:vAlign w:val="center"/>
          </w:tcPr>
          <w:p>
            <w:pPr>
              <w:pStyle w:val="10"/>
              <w:rPr>
                <w:rFonts w:hint="default" w:ascii="Times New Roman" w:hAnsi="Times New Roman" w:cs="Times New Roman"/>
              </w:rPr>
            </w:pPr>
          </w:p>
        </w:tc>
        <w:tc>
          <w:tcPr>
            <w:tcW w:w="1643"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7</w:t>
            </w:r>
          </w:p>
        </w:tc>
        <w:tc>
          <w:tcPr>
            <w:tcW w:w="1980" w:type="dxa"/>
            <w:vAlign w:val="center"/>
          </w:tcPr>
          <w:p>
            <w:pPr>
              <w:pStyle w:val="9"/>
              <w:rPr>
                <w:rFonts w:hint="default" w:ascii="Times New Roman" w:hAnsi="Times New Roman" w:cs="Times New Roman"/>
              </w:rPr>
            </w:pPr>
            <w:r>
              <w:rPr>
                <w:rFonts w:hint="default" w:ascii="Times New Roman" w:hAnsi="Times New Roman" w:cs="Times New Roman"/>
              </w:rPr>
              <w:t xml:space="preserve">          公务用车运行维护费</w:t>
            </w:r>
          </w:p>
        </w:tc>
        <w:tc>
          <w:tcPr>
            <w:tcW w:w="1306" w:type="dxa"/>
            <w:vAlign w:val="center"/>
          </w:tcPr>
          <w:p>
            <w:pPr>
              <w:pStyle w:val="10"/>
              <w:jc w:val="center"/>
              <w:rPr>
                <w:rFonts w:hint="default" w:ascii="Times New Roman" w:hAnsi="Times New Roman" w:cs="Times New Roman"/>
              </w:rPr>
            </w:pPr>
            <w:r>
              <w:rPr>
                <w:rFonts w:hint="default" w:ascii="Times New Roman" w:hAnsi="Times New Roman" w:cs="Times New Roman"/>
              </w:rPr>
              <w:t>2.30</w:t>
            </w:r>
          </w:p>
        </w:tc>
        <w:tc>
          <w:tcPr>
            <w:tcW w:w="1808" w:type="dxa"/>
            <w:vAlign w:val="center"/>
          </w:tcPr>
          <w:p>
            <w:pPr>
              <w:pStyle w:val="10"/>
              <w:jc w:val="center"/>
              <w:rPr>
                <w:rFonts w:hint="default" w:ascii="Times New Roman" w:hAnsi="Times New Roman" w:cs="Times New Roman"/>
              </w:rPr>
            </w:pPr>
            <w:r>
              <w:rPr>
                <w:rFonts w:hint="default" w:ascii="Times New Roman" w:hAnsi="Times New Roman" w:cs="Times New Roman"/>
              </w:rPr>
              <w:t>2.30</w:t>
            </w:r>
          </w:p>
        </w:tc>
        <w:tc>
          <w:tcPr>
            <w:tcW w:w="1478" w:type="dxa"/>
            <w:vAlign w:val="center"/>
          </w:tcPr>
          <w:p>
            <w:pPr>
              <w:pStyle w:val="10"/>
              <w:rPr>
                <w:rFonts w:hint="default" w:ascii="Times New Roman" w:hAnsi="Times New Roman" w:cs="Times New Roman"/>
              </w:rPr>
            </w:pPr>
          </w:p>
        </w:tc>
        <w:tc>
          <w:tcPr>
            <w:tcW w:w="1643" w:type="dxa"/>
            <w:vAlign w:val="center"/>
          </w:tcPr>
          <w:p>
            <w:pPr>
              <w:pStyle w:val="1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rPr>
                <w:rFonts w:hint="default" w:ascii="Times New Roman" w:hAnsi="Times New Roman" w:cs="Times New Roman"/>
              </w:rPr>
            </w:pPr>
            <w:r>
              <w:rPr>
                <w:rFonts w:hint="default" w:ascii="Times New Roman" w:hAnsi="Times New Roman" w:cs="Times New Roman"/>
              </w:rPr>
              <w:t>8</w:t>
            </w:r>
          </w:p>
        </w:tc>
        <w:tc>
          <w:tcPr>
            <w:tcW w:w="1980" w:type="dxa"/>
            <w:vAlign w:val="center"/>
          </w:tcPr>
          <w:p>
            <w:pPr>
              <w:pStyle w:val="9"/>
              <w:rPr>
                <w:rFonts w:hint="default" w:ascii="Times New Roman" w:hAnsi="Times New Roman" w:cs="Times New Roman"/>
              </w:rPr>
            </w:pPr>
            <w:r>
              <w:rPr>
                <w:rFonts w:hint="default" w:ascii="Times New Roman" w:hAnsi="Times New Roman" w:cs="Times New Roman"/>
              </w:rPr>
              <w:t>三、公务接待费</w:t>
            </w:r>
          </w:p>
        </w:tc>
        <w:tc>
          <w:tcPr>
            <w:tcW w:w="1306" w:type="dxa"/>
            <w:vAlign w:val="center"/>
          </w:tcPr>
          <w:p>
            <w:pPr>
              <w:pStyle w:val="10"/>
              <w:jc w:val="center"/>
              <w:rPr>
                <w:rFonts w:hint="default" w:ascii="Times New Roman" w:hAnsi="Times New Roman" w:cs="Times New Roman"/>
              </w:rPr>
            </w:pPr>
            <w:r>
              <w:rPr>
                <w:rFonts w:hint="default" w:ascii="Times New Roman" w:hAnsi="Times New Roman" w:cs="Times New Roman"/>
              </w:rPr>
              <w:t>0.37</w:t>
            </w:r>
          </w:p>
        </w:tc>
        <w:tc>
          <w:tcPr>
            <w:tcW w:w="1808" w:type="dxa"/>
            <w:vAlign w:val="center"/>
          </w:tcPr>
          <w:p>
            <w:pPr>
              <w:pStyle w:val="10"/>
              <w:jc w:val="center"/>
              <w:rPr>
                <w:rFonts w:hint="default" w:ascii="Times New Roman" w:hAnsi="Times New Roman" w:cs="Times New Roman"/>
              </w:rPr>
            </w:pPr>
            <w:r>
              <w:rPr>
                <w:rFonts w:hint="default" w:ascii="Times New Roman" w:hAnsi="Times New Roman" w:cs="Times New Roman"/>
              </w:rPr>
              <w:t>0.37</w:t>
            </w:r>
          </w:p>
        </w:tc>
        <w:tc>
          <w:tcPr>
            <w:tcW w:w="1478" w:type="dxa"/>
            <w:vAlign w:val="center"/>
          </w:tcPr>
          <w:p>
            <w:pPr>
              <w:pStyle w:val="10"/>
              <w:rPr>
                <w:rFonts w:hint="default" w:ascii="Times New Roman" w:hAnsi="Times New Roman" w:cs="Times New Roman"/>
              </w:rPr>
            </w:pPr>
          </w:p>
        </w:tc>
        <w:tc>
          <w:tcPr>
            <w:tcW w:w="1643" w:type="dxa"/>
            <w:vAlign w:val="center"/>
          </w:tcPr>
          <w:p>
            <w:pPr>
              <w:pStyle w:val="10"/>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b w:val="0"/>
          <w:color w:val="000000"/>
          <w:sz w:val="44"/>
        </w:rPr>
        <w:t>秦皇岛北戴河新区发展改革局本级2023年单位预算信息公开情况说明</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按照《预算法》、《地方预决算公开操作规程》和《关于进一步推进预算公开工作的实施意见》规定，现将秦皇岛北戴河新区发展改革局本级2023年单位预算公开如下：</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一、单位职责及机构设置情况</w:t>
      </w:r>
    </w:p>
    <w:p>
      <w:pPr>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单位职责：</w:t>
      </w:r>
    </w:p>
    <w:p>
      <w:pPr>
        <w:pStyle w:val="14"/>
        <w:rPr>
          <w:rFonts w:hint="default" w:ascii="Times New Roman" w:hAnsi="Times New Roman" w:cs="Times New Roman"/>
        </w:rPr>
      </w:pPr>
      <w:r>
        <w:rPr>
          <w:rFonts w:hint="default" w:ascii="Times New Roman" w:hAnsi="Times New Roman" w:cs="Times New Roman"/>
        </w:rPr>
        <w:t>根据《秦皇岛北戴河新区发展改革局职能配置、内设机构和人员编制规定》，秦皇岛北戴河新区发展改革局的主要职责是：</w:t>
      </w:r>
    </w:p>
    <w:p>
      <w:pPr>
        <w:pStyle w:val="14"/>
        <w:rPr>
          <w:rFonts w:hint="default" w:ascii="Times New Roman" w:hAnsi="Times New Roman" w:cs="Times New Roman"/>
        </w:rPr>
      </w:pPr>
      <w:r>
        <w:rPr>
          <w:rFonts w:hint="default" w:ascii="Times New Roman" w:hAnsi="Times New Roman" w:cs="Times New Roman"/>
        </w:rPr>
        <w:t>（一）负责拟订并组织实施经济和社会发展战略、中长期规划和年度计划。</w:t>
      </w:r>
    </w:p>
    <w:p>
      <w:pPr>
        <w:pStyle w:val="14"/>
        <w:rPr>
          <w:rFonts w:hint="default" w:ascii="Times New Roman" w:hAnsi="Times New Roman" w:cs="Times New Roman"/>
        </w:rPr>
      </w:pPr>
      <w:r>
        <w:rPr>
          <w:rFonts w:hint="default" w:ascii="Times New Roman" w:hAnsi="Times New Roman" w:cs="Times New Roman"/>
        </w:rPr>
        <w:t>（二）贯彻落实国家和省市宏观调控政策，统筹提出全区国民经济和社会发展主要目标，监测预测预警宏观经济和社会发展态势趋势，提出经济调节政策和应对措施的建议。调节经济运行，协调解决经济运行中的重大问题。</w:t>
      </w:r>
    </w:p>
    <w:p>
      <w:pPr>
        <w:pStyle w:val="14"/>
        <w:rPr>
          <w:rFonts w:hint="default" w:ascii="Times New Roman" w:hAnsi="Times New Roman" w:cs="Times New Roman"/>
        </w:rPr>
      </w:pPr>
      <w:r>
        <w:rPr>
          <w:rFonts w:hint="default" w:ascii="Times New Roman" w:hAnsi="Times New Roman" w:cs="Times New Roman"/>
        </w:rPr>
        <w:t>（三）在产业规划框架内，结合全区重点项目建设和谋划，推进落实全区产业布局和区域经济功能定位，并对规划实施情况进行监测与评估；负责贯彻执行国家、省、市产业政策，协调一二三产业发展重大问题并统筹衔接相关发展规划和重大政策。</w:t>
      </w:r>
    </w:p>
    <w:p>
      <w:pPr>
        <w:pStyle w:val="14"/>
        <w:rPr>
          <w:rFonts w:hint="default" w:ascii="Times New Roman" w:hAnsi="Times New Roman" w:cs="Times New Roman"/>
        </w:rPr>
      </w:pPr>
      <w:r>
        <w:rPr>
          <w:rFonts w:hint="default" w:ascii="Times New Roman" w:hAnsi="Times New Roman" w:cs="Times New Roman"/>
        </w:rPr>
        <w:t>（四）负责全区社会发展和国民经济发展的政策衔接，协调有关重大问题。组织拟定社会发展战略、总体规划，统筹推进基本公共服务体系建设与经济协调发展的政策建议。</w:t>
      </w:r>
    </w:p>
    <w:p>
      <w:pPr>
        <w:pStyle w:val="14"/>
        <w:rPr>
          <w:rFonts w:hint="default" w:ascii="Times New Roman" w:hAnsi="Times New Roman" w:cs="Times New Roman"/>
        </w:rPr>
      </w:pPr>
      <w:r>
        <w:rPr>
          <w:rFonts w:hint="default" w:ascii="Times New Roman" w:hAnsi="Times New Roman" w:cs="Times New Roman"/>
        </w:rPr>
        <w:t>（五）负责全区投资综合管理。拟定全区固定资产投资总规模、结构调控目标和政策。组织推动重点项目建设，负责配合市有关部门做好新区重点项目考核，组织新区项目考核工作。</w:t>
      </w:r>
    </w:p>
    <w:p>
      <w:pPr>
        <w:pStyle w:val="14"/>
        <w:rPr>
          <w:rFonts w:hint="default" w:ascii="Times New Roman" w:hAnsi="Times New Roman" w:cs="Times New Roman"/>
        </w:rPr>
      </w:pPr>
      <w:r>
        <w:rPr>
          <w:rFonts w:hint="default" w:ascii="Times New Roman" w:hAnsi="Times New Roman" w:cs="Times New Roman"/>
        </w:rPr>
        <w:t>（六）负责根据国家、省、市经济体制改革的总体部署，研究提出经济体制改革的实施意见，指导市场体系建设。</w:t>
      </w:r>
    </w:p>
    <w:p>
      <w:pPr>
        <w:pStyle w:val="14"/>
        <w:rPr>
          <w:rFonts w:hint="default" w:ascii="Times New Roman" w:hAnsi="Times New Roman" w:cs="Times New Roman"/>
        </w:rPr>
      </w:pPr>
      <w:r>
        <w:rPr>
          <w:rFonts w:hint="default" w:ascii="Times New Roman" w:hAnsi="Times New Roman" w:cs="Times New Roman"/>
        </w:rPr>
        <w:t>（七）推进实施融入京津冀协同发展等区域发展战略。</w:t>
      </w:r>
    </w:p>
    <w:p>
      <w:pPr>
        <w:pStyle w:val="14"/>
        <w:rPr>
          <w:rFonts w:hint="default" w:ascii="Times New Roman" w:hAnsi="Times New Roman" w:cs="Times New Roman"/>
        </w:rPr>
      </w:pPr>
      <w:r>
        <w:rPr>
          <w:rFonts w:hint="default" w:ascii="Times New Roman" w:hAnsi="Times New Roman" w:cs="Times New Roman"/>
        </w:rPr>
        <w:t>（八）负责对接承办市重点项目建设领导小组办公室、市推动京津冀协同发展工作领导小组、市沿海地区率先发展领导小组办公室有关具体工作。</w:t>
      </w:r>
    </w:p>
    <w:p>
      <w:pPr>
        <w:pStyle w:val="14"/>
        <w:rPr>
          <w:rFonts w:hint="default" w:ascii="Times New Roman" w:hAnsi="Times New Roman" w:cs="Times New Roman"/>
        </w:rPr>
      </w:pPr>
      <w:r>
        <w:rPr>
          <w:rFonts w:hint="default" w:ascii="Times New Roman" w:hAnsi="Times New Roman" w:cs="Times New Roman"/>
        </w:rPr>
        <w:t>（九）贯彻落实全市创新驱动发展战略。推动实施高技术产业和战略性新兴产业发展规划政策，协调产业升级、重大技术装备推广应用等方面的重大问题。</w:t>
      </w:r>
    </w:p>
    <w:p>
      <w:pPr>
        <w:pStyle w:val="14"/>
        <w:rPr>
          <w:rFonts w:hint="default" w:ascii="Times New Roman" w:hAnsi="Times New Roman" w:cs="Times New Roman"/>
        </w:rPr>
      </w:pPr>
      <w:r>
        <w:rPr>
          <w:rFonts w:hint="default" w:ascii="Times New Roman" w:hAnsi="Times New Roman" w:cs="Times New Roman"/>
        </w:rPr>
        <w:t>（十）负责落实国家统计政策、制度，依法开展统计工作，依法组织开展大型普查活动，分析新区国民经济运行态势，核算新区GDP，指导新区各部门统计工作。</w:t>
      </w:r>
    </w:p>
    <w:p>
      <w:pPr>
        <w:pStyle w:val="14"/>
        <w:rPr>
          <w:rFonts w:hint="default" w:ascii="Times New Roman" w:hAnsi="Times New Roman" w:cs="Times New Roman"/>
        </w:rPr>
      </w:pPr>
      <w:r>
        <w:rPr>
          <w:rFonts w:hint="default" w:ascii="Times New Roman" w:hAnsi="Times New Roman" w:cs="Times New Roman"/>
        </w:rPr>
        <w:t>（十一）负责监测、分析工业经济运行，推进工业企业转型升级，推进信息化和工业化融合，促进中小企业和民营经济发展。</w:t>
      </w:r>
    </w:p>
    <w:p>
      <w:pPr>
        <w:pStyle w:val="14"/>
        <w:rPr>
          <w:rFonts w:hint="default" w:ascii="Times New Roman" w:hAnsi="Times New Roman" w:cs="Times New Roman"/>
        </w:rPr>
      </w:pPr>
      <w:r>
        <w:rPr>
          <w:rFonts w:hint="default" w:ascii="Times New Roman" w:hAnsi="Times New Roman" w:cs="Times New Roman"/>
        </w:rPr>
        <w:t>（十二）负责高新区数据资料的收集、整理、汇总和上报，做好年度考核工作。</w:t>
      </w:r>
    </w:p>
    <w:p>
      <w:pPr>
        <w:pStyle w:val="14"/>
        <w:rPr>
          <w:rFonts w:hint="default" w:ascii="Times New Roman" w:hAnsi="Times New Roman" w:cs="Times New Roman"/>
        </w:rPr>
      </w:pPr>
      <w:r>
        <w:rPr>
          <w:rFonts w:hint="default" w:ascii="Times New Roman" w:hAnsi="Times New Roman" w:cs="Times New Roman"/>
        </w:rPr>
        <w:t>（十三）贯彻落实中央、省、市关于科技创新工作的方针政策和决策部署，大力培育高新技术企业和科技型中小企业，促进科技成果转化。</w:t>
      </w:r>
    </w:p>
    <w:p>
      <w:pPr>
        <w:pStyle w:val="14"/>
        <w:rPr>
          <w:rFonts w:hint="default" w:ascii="Times New Roman" w:hAnsi="Times New Roman" w:cs="Times New Roman"/>
        </w:rPr>
      </w:pPr>
      <w:r>
        <w:rPr>
          <w:rFonts w:hint="default" w:ascii="Times New Roman" w:hAnsi="Times New Roman" w:cs="Times New Roman"/>
        </w:rPr>
        <w:t>（十四）完成新区党工委、管委会交办的其他事项。</w:t>
      </w:r>
    </w:p>
    <w:p>
      <w:pPr>
        <w:pStyle w:val="15"/>
        <w:rPr>
          <w:rFonts w:hint="default" w:ascii="Times New Roman" w:hAnsi="Times New Roman" w:cs="Times New Roman"/>
        </w:rPr>
      </w:pPr>
    </w:p>
    <w:p>
      <w:pPr>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机构设置：</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rPr>
                <w:rFonts w:hint="default" w:ascii="Times New Roman" w:hAnsi="Times New Roman" w:cs="Times New Roman"/>
              </w:rPr>
            </w:pPr>
            <w:r>
              <w:rPr>
                <w:rFonts w:hint="default" w:ascii="Times New Roman" w:hAnsi="Times New Roman" w:cs="Times New Roman"/>
              </w:rPr>
              <w:t>单位名称</w:t>
            </w:r>
          </w:p>
        </w:tc>
        <w:tc>
          <w:tcPr>
            <w:tcW w:w="2464" w:type="dxa"/>
            <w:vAlign w:val="center"/>
          </w:tcPr>
          <w:p>
            <w:pPr>
              <w:pStyle w:val="7"/>
              <w:rPr>
                <w:rFonts w:hint="default" w:ascii="Times New Roman" w:hAnsi="Times New Roman" w:cs="Times New Roman"/>
              </w:rPr>
            </w:pPr>
            <w:r>
              <w:rPr>
                <w:rFonts w:hint="default" w:ascii="Times New Roman" w:hAnsi="Times New Roman" w:cs="Times New Roman"/>
              </w:rPr>
              <w:t>单位性质</w:t>
            </w:r>
          </w:p>
        </w:tc>
        <w:tc>
          <w:tcPr>
            <w:tcW w:w="2464" w:type="dxa"/>
            <w:vAlign w:val="center"/>
          </w:tcPr>
          <w:p>
            <w:pPr>
              <w:pStyle w:val="7"/>
              <w:rPr>
                <w:rFonts w:hint="default" w:ascii="Times New Roman" w:hAnsi="Times New Roman" w:cs="Times New Roman"/>
              </w:rPr>
            </w:pPr>
            <w:r>
              <w:rPr>
                <w:rFonts w:hint="default" w:ascii="Times New Roman" w:hAnsi="Times New Roman" w:cs="Times New Roman"/>
              </w:rPr>
              <w:t>单位规格</w:t>
            </w:r>
          </w:p>
        </w:tc>
        <w:tc>
          <w:tcPr>
            <w:tcW w:w="2464" w:type="dxa"/>
            <w:vAlign w:val="center"/>
          </w:tcPr>
          <w:p>
            <w:pPr>
              <w:pStyle w:val="7"/>
              <w:rPr>
                <w:rFonts w:hint="default" w:ascii="Times New Roman" w:hAnsi="Times New Roman" w:cs="Times New Roman"/>
              </w:rPr>
            </w:pPr>
            <w:r>
              <w:rPr>
                <w:rFonts w:hint="default" w:ascii="Times New Roman" w:hAnsi="Times New Roman" w:cs="Times New Roma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rPr>
                <w:rFonts w:hint="default" w:ascii="Times New Roman" w:hAnsi="Times New Roman" w:cs="Times New Roman"/>
              </w:rPr>
            </w:pPr>
            <w:r>
              <w:rPr>
                <w:rFonts w:hint="default" w:ascii="Times New Roman" w:hAnsi="Times New Roman" w:cs="Times New Roman"/>
              </w:rPr>
              <w:t>秦皇岛北戴河新区发展改革局本级</w:t>
            </w:r>
          </w:p>
        </w:tc>
        <w:tc>
          <w:tcPr>
            <w:tcW w:w="2464" w:type="dxa"/>
            <w:vAlign w:val="center"/>
          </w:tcPr>
          <w:p>
            <w:pPr>
              <w:pStyle w:val="8"/>
              <w:rPr>
                <w:rFonts w:hint="default" w:ascii="Times New Roman" w:hAnsi="Times New Roman" w:cs="Times New Roman"/>
              </w:rPr>
            </w:pPr>
            <w:r>
              <w:rPr>
                <w:rFonts w:hint="default" w:ascii="Times New Roman" w:hAnsi="Times New Roman" w:cs="Times New Roman"/>
              </w:rPr>
              <w:t>行政</w:t>
            </w:r>
          </w:p>
        </w:tc>
        <w:tc>
          <w:tcPr>
            <w:tcW w:w="2464" w:type="dxa"/>
            <w:vAlign w:val="center"/>
          </w:tcPr>
          <w:p>
            <w:pPr>
              <w:pStyle w:val="8"/>
              <w:rPr>
                <w:rFonts w:hint="default" w:ascii="Times New Roman" w:hAnsi="Times New Roman" w:cs="Times New Roman"/>
              </w:rPr>
            </w:pPr>
            <w:r>
              <w:rPr>
                <w:rFonts w:hint="default" w:ascii="Times New Roman" w:hAnsi="Times New Roman" w:cs="Times New Roman"/>
              </w:rPr>
              <w:t>副处（县）级</w:t>
            </w:r>
          </w:p>
        </w:tc>
        <w:tc>
          <w:tcPr>
            <w:tcW w:w="2464" w:type="dxa"/>
            <w:vAlign w:val="center"/>
          </w:tcPr>
          <w:p>
            <w:pPr>
              <w:pStyle w:val="8"/>
              <w:rPr>
                <w:rFonts w:hint="default" w:ascii="Times New Roman" w:hAnsi="Times New Roman" w:cs="Times New Roman"/>
              </w:rPr>
            </w:pPr>
            <w:r>
              <w:rPr>
                <w:rFonts w:hint="default" w:ascii="Times New Roman" w:hAnsi="Times New Roman" w:cs="Times New Roman"/>
              </w:rPr>
              <w:t>财政拨款</w:t>
            </w:r>
          </w:p>
        </w:tc>
      </w:tr>
    </w:tbl>
    <w:p>
      <w:pPr>
        <w:numPr>
          <w:ilvl w:val="0"/>
          <w:numId w:val="1"/>
        </w:numPr>
        <w:spacing w:before="10" w:after="10" w:line="240" w:lineRule="auto"/>
        <w:ind w:left="0" w:leftChars="0" w:firstLine="640" w:firstLineChars="0"/>
        <w:jc w:val="left"/>
        <w:outlineLvl w:val="5"/>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after="10" w:line="560" w:lineRule="exact"/>
        <w:ind w:firstLine="640"/>
        <w:jc w:val="left"/>
        <w:textAlignment w:val="auto"/>
        <w:outlineLvl w:val="2"/>
        <w:rPr>
          <w:rFonts w:hint="eastAsia" w:eastAsia="黑体" w:cs="Times New Roman"/>
          <w:color w:val="000000"/>
          <w:sz w:val="32"/>
          <w:lang w:val="en-US" w:eastAsia="zh-CN"/>
        </w:rPr>
      </w:pPr>
      <w:r>
        <w:rPr>
          <w:rFonts w:hint="eastAsia" w:eastAsia="黑体" w:cs="Times New Roman"/>
          <w:color w:val="000000"/>
          <w:sz w:val="32"/>
          <w:lang w:eastAsia="zh-CN"/>
        </w:rPr>
        <w:t>（</w:t>
      </w:r>
      <w:r>
        <w:rPr>
          <w:rFonts w:hint="eastAsia" w:eastAsia="黑体" w:cs="Times New Roman"/>
          <w:color w:val="000000"/>
          <w:sz w:val="32"/>
          <w:lang w:val="en-US" w:eastAsia="zh-CN"/>
        </w:rPr>
        <w:t>一）收入说明</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rPr>
        <w:t>反映本</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val="en-US" w:eastAsia="zh-CN"/>
        </w:rPr>
        <w:t>2023年预算收入2039.08万元，一般公共预算收入797.59万元，上年结转资金1241.49万元。</w:t>
      </w:r>
    </w:p>
    <w:p>
      <w:pPr>
        <w:keepNext w:val="0"/>
        <w:keepLines w:val="0"/>
        <w:pageBreakBefore w:val="0"/>
        <w:widowControl/>
        <w:numPr>
          <w:ilvl w:val="0"/>
          <w:numId w:val="0"/>
        </w:numPr>
        <w:kinsoku/>
        <w:wordWrap/>
        <w:overflowPunct/>
        <w:topLinePunct w:val="0"/>
        <w:autoSpaceDE/>
        <w:autoSpaceDN/>
        <w:bidi w:val="0"/>
        <w:adjustRightInd/>
        <w:snapToGrid/>
        <w:spacing w:after="10" w:line="560" w:lineRule="exact"/>
        <w:ind w:firstLine="640" w:firstLineChars="200"/>
        <w:jc w:val="left"/>
        <w:textAlignment w:val="auto"/>
        <w:outlineLvl w:val="2"/>
        <w:rPr>
          <w:rFonts w:hint="eastAsia" w:eastAsia="黑体" w:cs="Times New Roman"/>
          <w:color w:val="000000"/>
          <w:sz w:val="32"/>
          <w:lang w:val="en-US" w:eastAsia="zh-CN"/>
        </w:rPr>
      </w:pPr>
      <w:r>
        <w:rPr>
          <w:rFonts w:hint="eastAsia" w:eastAsia="黑体" w:cs="Times New Roman"/>
          <w:color w:val="000000"/>
          <w:sz w:val="32"/>
          <w:lang w:val="en-US" w:eastAsia="zh-CN"/>
        </w:rPr>
        <w:t>（二）支出说明</w:t>
      </w:r>
    </w:p>
    <w:p>
      <w:pPr>
        <w:ind w:firstLine="560" w:firstLineChars="200"/>
        <w:rPr>
          <w:rFonts w:hint="eastAsia" w:ascii="Times New Roman" w:hAnsi="Times New Roman" w:eastAsia="方正仿宋_GBK" w:cs="Times New Roman"/>
          <w:color w:val="000000"/>
          <w:sz w:val="28"/>
          <w:highlight w:val="none"/>
          <w:lang w:val="en-US" w:eastAsia="zh-CN"/>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bookmarkStart w:id="1" w:name="_GoBack"/>
      <w:r>
        <w:rPr>
          <w:rFonts w:hint="eastAsia" w:ascii="Times New Roman" w:hAnsi="Times New Roman" w:eastAsia="方正仿宋_GBK" w:cs="Times New Roman"/>
          <w:color w:val="000000"/>
          <w:sz w:val="28"/>
          <w:szCs w:val="24"/>
          <w:highlight w:val="none"/>
          <w:lang w:val="en-US" w:eastAsia="zh-CN" w:bidi="ar-SA"/>
        </w:rPr>
        <w:t>2023年部门支出预算为2039.08万元，其中支出 508.59万元，包括人员经费471.4万元和日常公用经费37.19万元，项目支出</w:t>
      </w:r>
      <w:r>
        <w:rPr>
          <w:rFonts w:hint="eastAsia" w:eastAsia="方正仿宋_GBK" w:cs="Times New Roman"/>
          <w:color w:val="000000"/>
          <w:sz w:val="28"/>
          <w:szCs w:val="24"/>
          <w:highlight w:val="none"/>
          <w:lang w:val="en-US" w:eastAsia="zh-CN" w:bidi="ar-SA"/>
        </w:rPr>
        <w:t>1530.49</w:t>
      </w:r>
      <w:r>
        <w:rPr>
          <w:rFonts w:hint="eastAsia" w:ascii="Times New Roman" w:hAnsi="Times New Roman" w:eastAsia="方正仿宋_GBK" w:cs="Times New Roman"/>
          <w:color w:val="000000"/>
          <w:sz w:val="28"/>
          <w:szCs w:val="24"/>
          <w:highlight w:val="none"/>
          <w:lang w:val="en-US" w:eastAsia="zh-CN" w:bidi="ar-SA"/>
        </w:rPr>
        <w:t>万元，全部为本级支出，</w:t>
      </w:r>
      <w:r>
        <w:rPr>
          <w:rFonts w:hint="eastAsia" w:eastAsia="方正仿宋_GBK" w:cs="Times New Roman"/>
          <w:color w:val="000000"/>
          <w:sz w:val="28"/>
          <w:szCs w:val="24"/>
          <w:highlight w:val="none"/>
          <w:lang w:val="en-US" w:eastAsia="zh-CN" w:bidi="ar-SA"/>
        </w:rPr>
        <w:t>主要</w:t>
      </w:r>
      <w:r>
        <w:rPr>
          <w:rFonts w:hint="eastAsia" w:ascii="Times New Roman" w:hAnsi="Times New Roman" w:eastAsia="方正仿宋_GBK" w:cs="Times New Roman"/>
          <w:color w:val="000000"/>
          <w:sz w:val="28"/>
          <w:highlight w:val="none"/>
          <w:lang w:val="en-US" w:eastAsia="zh-CN"/>
        </w:rPr>
        <w:t>为</w:t>
      </w:r>
      <w:r>
        <w:rPr>
          <w:rFonts w:hint="default" w:ascii="Times New Roman" w:hAnsi="Times New Roman" w:eastAsia="方正仿宋_GBK" w:cs="Times New Roman"/>
          <w:color w:val="000000"/>
          <w:sz w:val="28"/>
          <w:highlight w:val="none"/>
        </w:rPr>
        <w:t>第五次全国经济普查经费</w:t>
      </w:r>
      <w:r>
        <w:rPr>
          <w:rFonts w:hint="eastAsia" w:ascii="Times New Roman" w:hAnsi="Times New Roman" w:eastAsia="方正仿宋_GBK" w:cs="Times New Roman"/>
          <w:color w:val="000000"/>
          <w:sz w:val="28"/>
          <w:highlight w:val="none"/>
          <w:lang w:eastAsia="zh-CN"/>
        </w:rPr>
        <w:t>、</w:t>
      </w:r>
      <w:r>
        <w:rPr>
          <w:rFonts w:hint="default" w:ascii="Times New Roman" w:hAnsi="Times New Roman" w:eastAsia="方正仿宋_GBK" w:cs="Times New Roman"/>
          <w:color w:val="000000"/>
          <w:sz w:val="28"/>
          <w:highlight w:val="none"/>
        </w:rPr>
        <w:t>发改工作经费</w:t>
      </w:r>
      <w:r>
        <w:rPr>
          <w:rFonts w:hint="eastAsia" w:ascii="Times New Roman" w:hAnsi="Times New Roman" w:eastAsia="方正仿宋_GBK" w:cs="Times New Roman"/>
          <w:color w:val="000000"/>
          <w:sz w:val="28"/>
          <w:highlight w:val="none"/>
          <w:lang w:eastAsia="zh-CN"/>
        </w:rPr>
        <w:t>、</w:t>
      </w:r>
      <w:r>
        <w:rPr>
          <w:rFonts w:hint="default" w:ascii="Times New Roman" w:hAnsi="Times New Roman" w:eastAsia="方正仿宋_GBK" w:cs="Times New Roman"/>
          <w:color w:val="000000"/>
          <w:sz w:val="28"/>
          <w:highlight w:val="none"/>
        </w:rPr>
        <w:t>创新十条奖励资金</w:t>
      </w:r>
      <w:r>
        <w:rPr>
          <w:rFonts w:hint="eastAsia" w:ascii="Times New Roman" w:hAnsi="Times New Roman" w:eastAsia="方正仿宋_GBK" w:cs="Times New Roman"/>
          <w:color w:val="000000"/>
          <w:sz w:val="28"/>
          <w:highlight w:val="none"/>
          <w:lang w:eastAsia="zh-CN"/>
        </w:rPr>
        <w:t>、</w:t>
      </w:r>
      <w:r>
        <w:rPr>
          <w:rFonts w:hint="default" w:ascii="Times New Roman" w:hAnsi="Times New Roman" w:eastAsia="方正仿宋_GBK" w:cs="Times New Roman"/>
          <w:color w:val="000000"/>
          <w:sz w:val="28"/>
          <w:highlight w:val="none"/>
        </w:rPr>
        <w:t>项目管理经费</w:t>
      </w:r>
      <w:r>
        <w:rPr>
          <w:rFonts w:hint="eastAsia" w:ascii="Times New Roman" w:hAnsi="Times New Roman" w:eastAsia="方正仿宋_GBK" w:cs="Times New Roman"/>
          <w:color w:val="000000"/>
          <w:sz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 w:line="560" w:lineRule="exact"/>
        <w:ind w:left="640" w:leftChars="0"/>
        <w:jc w:val="left"/>
        <w:textAlignment w:val="auto"/>
        <w:outlineLvl w:val="2"/>
        <w:rPr>
          <w:rFonts w:hint="eastAsia" w:eastAsia="黑体" w:cs="Times New Roman"/>
          <w:color w:val="000000"/>
          <w:sz w:val="32"/>
          <w:highlight w:val="none"/>
          <w:lang w:val="en-US" w:eastAsia="zh-CN"/>
        </w:rPr>
      </w:pPr>
      <w:r>
        <w:rPr>
          <w:rFonts w:hint="eastAsia" w:eastAsia="黑体" w:cs="Times New Roman"/>
          <w:color w:val="000000"/>
          <w:sz w:val="32"/>
          <w:highlight w:val="none"/>
          <w:lang w:val="en-US" w:eastAsia="zh-CN"/>
        </w:rPr>
        <w:t>（三）比上年增减情况</w:t>
      </w:r>
    </w:p>
    <w:p>
      <w:pPr>
        <w:pStyle w:val="16"/>
        <w:ind w:firstLine="560" w:firstLineChars="200"/>
        <w:outlineLvl w:val="9"/>
        <w:rPr>
          <w:rFonts w:hint="default" w:ascii="Times New Roman" w:hAnsi="Times New Roman" w:eastAsia="方正仿宋_GBK" w:cs="Times New Roman"/>
          <w:color w:val="000000"/>
          <w:sz w:val="28"/>
          <w:szCs w:val="24"/>
          <w:highlight w:val="none"/>
          <w:lang w:val="en-US" w:eastAsia="zh-CN" w:bidi="ar-SA"/>
        </w:rPr>
      </w:pPr>
      <w:r>
        <w:rPr>
          <w:rFonts w:hint="eastAsia" w:ascii="Times New Roman" w:hAnsi="Times New Roman" w:eastAsia="方正仿宋_GBK" w:cs="Times New Roman"/>
          <w:color w:val="000000"/>
          <w:sz w:val="28"/>
          <w:szCs w:val="24"/>
          <w:highlight w:val="none"/>
          <w:lang w:val="en-US" w:eastAsia="zh-CN" w:bidi="ar-SA"/>
        </w:rPr>
        <w:t>2023年单位预算较2022年增加1213.68万元，其中基本支出减少55.61万元，人员经费减少57.84万元，日常公用经费增加2.23万元，；项目支出增加1269.29万元，原因是创新十条奖励资金较2022年增加，上年结转较去年增加。</w:t>
      </w:r>
    </w:p>
    <w:bookmarkEnd w:id="1"/>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三、机关运行经费安排情况</w:t>
      </w:r>
    </w:p>
    <w:p>
      <w:pPr>
        <w:pStyle w:val="16"/>
        <w:ind w:firstLine="280" w:firstLineChars="100"/>
        <w:outlineLvl w:val="9"/>
        <w:rPr>
          <w:rFonts w:hint="default" w:ascii="Times New Roman" w:hAnsi="Times New Roman" w:cs="Times New Roman"/>
        </w:rPr>
      </w:pPr>
      <w:r>
        <w:rPr>
          <w:rFonts w:hint="default" w:ascii="Times New Roman" w:hAnsi="Times New Roman" w:eastAsia="方正仿宋_GBK" w:cs="Times New Roman"/>
          <w:color w:val="000000"/>
          <w:sz w:val="28"/>
          <w:szCs w:val="24"/>
          <w:lang w:val="en-US" w:eastAsia="zh-CN" w:bidi="ar-SA"/>
        </w:rPr>
        <w:t>机关运行经费共计安排</w:t>
      </w:r>
      <w:r>
        <w:rPr>
          <w:rFonts w:hint="eastAsia" w:ascii="Times New Roman" w:hAnsi="Times New Roman" w:eastAsia="方正仿宋_GBK" w:cs="Times New Roman"/>
          <w:color w:val="000000"/>
          <w:sz w:val="28"/>
          <w:szCs w:val="24"/>
          <w:lang w:val="en-US" w:eastAsia="zh-CN" w:bidi="ar-SA"/>
        </w:rPr>
        <w:t>37.19万</w:t>
      </w:r>
      <w:r>
        <w:rPr>
          <w:rFonts w:hint="default" w:ascii="Times New Roman" w:hAnsi="Times New Roman" w:eastAsia="方正仿宋_GBK" w:cs="Times New Roman"/>
          <w:color w:val="000000"/>
          <w:sz w:val="28"/>
          <w:szCs w:val="24"/>
          <w:lang w:val="en-US" w:eastAsia="zh-CN" w:bidi="ar-SA"/>
        </w:rPr>
        <w:t>元，主要用于保证机关正常运转支的办公费、印刷费、差旅费、会议费、福利费、专用材料及一般设备购置费、办公用房水电费、日常维修费等支出。</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四、财政拨款“三公”经费预算情况及增减变化原因</w:t>
      </w:r>
    </w:p>
    <w:p>
      <w:pPr>
        <w:pStyle w:val="16"/>
        <w:ind w:firstLine="560" w:firstLineChars="200"/>
        <w:outlineLvl w:val="9"/>
        <w:rPr>
          <w:rFonts w:hint="default" w:ascii="Times New Roman" w:hAnsi="Times New Roman" w:eastAsia="方正仿宋_GBK" w:cs="Times New Roman"/>
          <w:color w:val="000000"/>
          <w:sz w:val="28"/>
          <w:szCs w:val="24"/>
          <w:lang w:val="en-US" w:eastAsia="zh-CN" w:bidi="ar-SA"/>
        </w:rPr>
      </w:pPr>
      <w:r>
        <w:rPr>
          <w:rFonts w:hint="default" w:ascii="Times New Roman" w:hAnsi="Times New Roman" w:eastAsia="方正仿宋_GBK" w:cs="Times New Roman"/>
          <w:color w:val="000000"/>
          <w:sz w:val="28"/>
          <w:szCs w:val="24"/>
          <w:lang w:val="en-US" w:eastAsia="zh-CN" w:bidi="ar-SA"/>
        </w:rPr>
        <w:t>202</w:t>
      </w:r>
      <w:r>
        <w:rPr>
          <w:rFonts w:hint="eastAsia" w:ascii="Times New Roman" w:hAnsi="Times New Roman" w:eastAsia="方正仿宋_GBK" w:cs="Times New Roman"/>
          <w:color w:val="000000"/>
          <w:sz w:val="28"/>
          <w:szCs w:val="24"/>
          <w:lang w:val="en-US" w:eastAsia="zh-CN" w:bidi="ar-SA"/>
        </w:rPr>
        <w:t>3</w:t>
      </w:r>
      <w:r>
        <w:rPr>
          <w:rFonts w:hint="default" w:ascii="Times New Roman" w:hAnsi="Times New Roman" w:eastAsia="方正仿宋_GBK" w:cs="Times New Roman"/>
          <w:color w:val="000000"/>
          <w:sz w:val="28"/>
          <w:szCs w:val="24"/>
          <w:lang w:val="en-US" w:eastAsia="zh-CN" w:bidi="ar-SA"/>
        </w:rPr>
        <w:t>年，财政拨款“三公”经费预算安排</w:t>
      </w:r>
      <w:r>
        <w:rPr>
          <w:rFonts w:hint="eastAsia" w:ascii="Times New Roman" w:hAnsi="Times New Roman" w:eastAsia="方正仿宋_GBK" w:cs="Times New Roman"/>
          <w:color w:val="000000"/>
          <w:sz w:val="28"/>
          <w:szCs w:val="24"/>
          <w:lang w:val="en-US" w:eastAsia="zh-CN" w:bidi="ar-SA"/>
        </w:rPr>
        <w:t>2.67</w:t>
      </w:r>
      <w:r>
        <w:rPr>
          <w:rFonts w:hint="default" w:ascii="Times New Roman" w:hAnsi="Times New Roman" w:eastAsia="方正仿宋_GBK" w:cs="Times New Roman"/>
          <w:color w:val="000000"/>
          <w:sz w:val="28"/>
          <w:szCs w:val="24"/>
          <w:lang w:val="en-US" w:eastAsia="zh-CN" w:bidi="ar-SA"/>
        </w:rPr>
        <w:t>万元，其中：因公出国（境）费0万元；公务用车购置及运维费2.3万元；公务接待费0.</w:t>
      </w:r>
      <w:r>
        <w:rPr>
          <w:rFonts w:hint="eastAsia" w:ascii="Times New Roman" w:hAnsi="Times New Roman" w:eastAsia="方正仿宋_GBK" w:cs="Times New Roman"/>
          <w:color w:val="000000"/>
          <w:sz w:val="28"/>
          <w:szCs w:val="24"/>
          <w:lang w:val="en-US" w:eastAsia="zh-CN" w:bidi="ar-SA"/>
        </w:rPr>
        <w:t>37</w:t>
      </w:r>
      <w:r>
        <w:rPr>
          <w:rFonts w:hint="default" w:ascii="Times New Roman" w:hAnsi="Times New Roman" w:eastAsia="方正仿宋_GBK" w:cs="Times New Roman"/>
          <w:color w:val="000000"/>
          <w:sz w:val="28"/>
          <w:szCs w:val="24"/>
          <w:lang w:val="en-US" w:eastAsia="zh-CN" w:bidi="ar-SA"/>
        </w:rPr>
        <w:t>万元。“三公”经费较上年</w:t>
      </w:r>
      <w:r>
        <w:rPr>
          <w:rFonts w:hint="eastAsia" w:ascii="Times New Roman" w:hAnsi="Times New Roman" w:eastAsia="方正仿宋_GBK" w:cs="Times New Roman"/>
          <w:color w:val="000000"/>
          <w:sz w:val="28"/>
          <w:szCs w:val="24"/>
          <w:lang w:val="en-US" w:eastAsia="zh-CN" w:bidi="ar-SA"/>
        </w:rPr>
        <w:t>增加0.01万元，上升0.37</w:t>
      </w:r>
      <w:r>
        <w:rPr>
          <w:rFonts w:hint="default" w:ascii="Times New Roman" w:hAnsi="Times New Roman" w:eastAsia="方正仿宋_GBK" w:cs="Times New Roman"/>
          <w:color w:val="000000"/>
          <w:sz w:val="28"/>
          <w:szCs w:val="24"/>
          <w:lang w:val="en-US" w:eastAsia="zh-CN" w:bidi="ar-SA"/>
        </w:rPr>
        <w:t>%，其中：公务接待费</w:t>
      </w:r>
      <w:r>
        <w:rPr>
          <w:rFonts w:hint="eastAsia" w:ascii="Times New Roman" w:hAnsi="Times New Roman" w:eastAsia="方正仿宋_GBK" w:cs="Times New Roman"/>
          <w:color w:val="000000"/>
          <w:sz w:val="28"/>
          <w:szCs w:val="24"/>
          <w:lang w:val="en-US" w:eastAsia="zh-CN" w:bidi="ar-SA"/>
        </w:rPr>
        <w:t>增加0.01万</w:t>
      </w:r>
      <w:r>
        <w:rPr>
          <w:rFonts w:hint="default" w:ascii="Times New Roman" w:hAnsi="Times New Roman" w:eastAsia="方正仿宋_GBK" w:cs="Times New Roman"/>
          <w:color w:val="000000"/>
          <w:sz w:val="28"/>
          <w:szCs w:val="24"/>
          <w:lang w:val="en-US" w:eastAsia="zh-CN" w:bidi="ar-SA"/>
        </w:rPr>
        <w:t>元。主要原因是</w:t>
      </w:r>
      <w:r>
        <w:rPr>
          <w:rFonts w:hint="eastAsia" w:ascii="Times New Roman" w:hAnsi="Times New Roman" w:cs="Times New Roman"/>
          <w:color w:val="000000"/>
          <w:sz w:val="28"/>
          <w:szCs w:val="24"/>
          <w:lang w:val="en-US" w:eastAsia="zh-CN" w:bidi="ar-SA"/>
        </w:rPr>
        <w:t>人员增加</w:t>
      </w:r>
      <w:r>
        <w:rPr>
          <w:rFonts w:hint="eastAsia" w:ascii="Times New Roman" w:hAnsi="Times New Roman" w:eastAsia="方正仿宋_GBK" w:cs="Times New Roman"/>
          <w:color w:val="000000"/>
          <w:sz w:val="28"/>
          <w:szCs w:val="24"/>
          <w:lang w:val="en-US" w:eastAsia="zh-CN" w:bidi="ar-SA"/>
        </w:rPr>
        <w:t>，公务接待费用提高</w:t>
      </w:r>
      <w:r>
        <w:rPr>
          <w:rFonts w:hint="default" w:ascii="Times New Roman" w:hAnsi="Times New Roman" w:eastAsia="方正仿宋_GBK" w:cs="Times New Roman"/>
          <w:color w:val="000000"/>
          <w:sz w:val="28"/>
          <w:szCs w:val="24"/>
          <w:lang w:val="en-US" w:eastAsia="zh-CN" w:bidi="ar-SA"/>
        </w:rPr>
        <w:t>。</w:t>
      </w:r>
    </w:p>
    <w:p>
      <w:pPr>
        <w:numPr>
          <w:ilvl w:val="0"/>
          <w:numId w:val="0"/>
        </w:numPr>
        <w:spacing w:before="10" w:after="10" w:line="240" w:lineRule="auto"/>
        <w:ind w:left="640" w:leftChars="0"/>
        <w:jc w:val="left"/>
        <w:outlineLvl w:val="5"/>
        <w:rPr>
          <w:rFonts w:hint="default" w:ascii="Times New Roman" w:hAnsi="Times New Roman" w:eastAsia="黑体" w:cs="Times New Roman"/>
          <w:color w:val="000000"/>
          <w:sz w:val="32"/>
        </w:rPr>
      </w:pPr>
      <w:r>
        <w:rPr>
          <w:rFonts w:hint="eastAsia" w:eastAsia="黑体" w:cs="Times New Roman"/>
          <w:color w:val="000000"/>
          <w:sz w:val="32"/>
          <w:lang w:val="en-US" w:eastAsia="zh-CN"/>
        </w:rPr>
        <w:t>五、</w:t>
      </w:r>
      <w:r>
        <w:rPr>
          <w:rFonts w:hint="default" w:ascii="Times New Roman" w:hAnsi="Times New Roman" w:eastAsia="黑体" w:cs="Times New Roman"/>
          <w:color w:val="000000"/>
          <w:sz w:val="32"/>
        </w:rPr>
        <w:t>预算绩效信息</w:t>
      </w:r>
    </w:p>
    <w:p>
      <w:pPr>
        <w:numPr>
          <w:ilvl w:val="0"/>
          <w:numId w:val="0"/>
        </w:numPr>
        <w:spacing w:before="10" w:after="10" w:line="240" w:lineRule="auto"/>
        <w:ind w:left="640" w:leftChars="0"/>
        <w:jc w:val="left"/>
        <w:outlineLvl w:val="5"/>
        <w:rPr>
          <w:rFonts w:hint="default" w:ascii="Times New Roman" w:hAnsi="Times New Roman" w:cs="Times New Roman"/>
        </w:rPr>
      </w:pPr>
      <w:r>
        <w:rPr>
          <w:rFonts w:hint="default" w:ascii="Times New Roman" w:hAnsi="Times New Roman" w:eastAsia="方正仿宋_GBK" w:cs="Times New Roman"/>
          <w:b/>
          <w:color w:val="000000"/>
          <w:sz w:val="28"/>
        </w:rPr>
        <w:t>1、第五次全国经济普查经费绩效目标表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1.开展数据清查摸底，组织街道和村级普查培训，调查我区第二产业第三产业发展规模、布局和效益，摸清各类单位的基本情况，掌握国民经济联系，客观反映推动高质量发展，构建新发展格局、建设现代化经济体系、深化供给侧结构性改革以及创新驱动发展。</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618"/>
        <w:gridCol w:w="231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三级指标</w:t>
            </w:r>
          </w:p>
        </w:tc>
        <w:tc>
          <w:tcPr>
            <w:tcW w:w="2618" w:type="dxa"/>
            <w:vAlign w:val="center"/>
          </w:tcPr>
          <w:p>
            <w:pPr>
              <w:pStyle w:val="7"/>
              <w:rPr>
                <w:rFonts w:hint="default" w:ascii="Times New Roman" w:hAnsi="Times New Roman" w:cs="Times New Roman"/>
              </w:rPr>
            </w:pPr>
            <w:r>
              <w:rPr>
                <w:rFonts w:hint="default" w:ascii="Times New Roman" w:hAnsi="Times New Roman" w:cs="Times New Roman"/>
              </w:rPr>
              <w:t>绩效指标描述</w:t>
            </w:r>
          </w:p>
        </w:tc>
        <w:tc>
          <w:tcPr>
            <w:tcW w:w="2314" w:type="dxa"/>
            <w:vAlign w:val="center"/>
          </w:tcPr>
          <w:p>
            <w:pPr>
              <w:pStyle w:val="7"/>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进行第五次全国经济普查工作</w:t>
            </w:r>
          </w:p>
        </w:tc>
        <w:tc>
          <w:tcPr>
            <w:tcW w:w="2618" w:type="dxa"/>
            <w:vAlign w:val="center"/>
          </w:tcPr>
          <w:p>
            <w:pPr>
              <w:pStyle w:val="9"/>
              <w:rPr>
                <w:rFonts w:hint="default" w:ascii="Times New Roman" w:hAnsi="Times New Roman" w:cs="Times New Roman"/>
              </w:rPr>
            </w:pPr>
            <w:r>
              <w:rPr>
                <w:rFonts w:hint="default" w:ascii="Times New Roman" w:hAnsi="Times New Roman" w:cs="Times New Roman"/>
              </w:rPr>
              <w:t>完成上级安排的工作任务</w:t>
            </w:r>
          </w:p>
        </w:tc>
        <w:tc>
          <w:tcPr>
            <w:tcW w:w="2314" w:type="dxa"/>
            <w:vAlign w:val="center"/>
          </w:tcPr>
          <w:p>
            <w:pPr>
              <w:pStyle w:val="9"/>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完成全区经济规模摸底</w:t>
            </w:r>
          </w:p>
        </w:tc>
        <w:tc>
          <w:tcPr>
            <w:tcW w:w="2618" w:type="dxa"/>
            <w:vAlign w:val="center"/>
          </w:tcPr>
          <w:p>
            <w:pPr>
              <w:pStyle w:val="9"/>
              <w:rPr>
                <w:rFonts w:hint="default" w:ascii="Times New Roman" w:hAnsi="Times New Roman" w:cs="Times New Roman"/>
              </w:rPr>
            </w:pPr>
            <w:r>
              <w:rPr>
                <w:rFonts w:hint="default" w:ascii="Times New Roman" w:hAnsi="Times New Roman" w:cs="Times New Roman"/>
              </w:rPr>
              <w:t>完成全区各单位摸底</w:t>
            </w:r>
          </w:p>
        </w:tc>
        <w:tc>
          <w:tcPr>
            <w:tcW w:w="2314" w:type="dxa"/>
            <w:vAlign w:val="center"/>
          </w:tcPr>
          <w:p>
            <w:pPr>
              <w:pStyle w:val="9"/>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及时性</w:t>
            </w:r>
          </w:p>
        </w:tc>
        <w:tc>
          <w:tcPr>
            <w:tcW w:w="2618" w:type="dxa"/>
            <w:vAlign w:val="center"/>
          </w:tcPr>
          <w:p>
            <w:pPr>
              <w:pStyle w:val="9"/>
              <w:rPr>
                <w:rFonts w:hint="default" w:ascii="Times New Roman" w:hAnsi="Times New Roman" w:cs="Times New Roman"/>
              </w:rPr>
            </w:pPr>
            <w:r>
              <w:rPr>
                <w:rFonts w:hint="default" w:ascii="Times New Roman" w:hAnsi="Times New Roman" w:cs="Times New Roman"/>
              </w:rPr>
              <w:t>按普查时间节点及时完成</w:t>
            </w:r>
          </w:p>
        </w:tc>
        <w:tc>
          <w:tcPr>
            <w:tcW w:w="2314" w:type="dxa"/>
            <w:vAlign w:val="center"/>
          </w:tcPr>
          <w:p>
            <w:pPr>
              <w:pStyle w:val="9"/>
              <w:rPr>
                <w:rFonts w:hint="default" w:ascii="Times New Roman" w:hAnsi="Times New Roman" w:cs="Times New Roman"/>
              </w:rPr>
            </w:pPr>
            <w:r>
              <w:rPr>
                <w:rFonts w:hint="default" w:ascii="Times New Roman" w:hAnsi="Times New Roman" w:cs="Times New Roman"/>
              </w:rPr>
              <w:t>及时完成</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成本控制数</w:t>
            </w:r>
          </w:p>
        </w:tc>
        <w:tc>
          <w:tcPr>
            <w:tcW w:w="2618" w:type="dxa"/>
            <w:vAlign w:val="center"/>
          </w:tcPr>
          <w:p>
            <w:pPr>
              <w:pStyle w:val="9"/>
              <w:rPr>
                <w:rFonts w:hint="default" w:ascii="Times New Roman" w:hAnsi="Times New Roman" w:cs="Times New Roman"/>
              </w:rPr>
            </w:pPr>
            <w:r>
              <w:rPr>
                <w:rFonts w:hint="default" w:ascii="Times New Roman" w:hAnsi="Times New Roman" w:cs="Times New Roman"/>
              </w:rPr>
              <w:t>实际支出金额小于等于预算控制数</w:t>
            </w:r>
          </w:p>
        </w:tc>
        <w:tc>
          <w:tcPr>
            <w:tcW w:w="2314" w:type="dxa"/>
            <w:vAlign w:val="center"/>
          </w:tcPr>
          <w:p>
            <w:pPr>
              <w:pStyle w:val="9"/>
              <w:rPr>
                <w:rFonts w:hint="default" w:ascii="Times New Roman" w:hAnsi="Times New Roman" w:cs="Times New Roman"/>
              </w:rPr>
            </w:pPr>
            <w:r>
              <w:rPr>
                <w:rFonts w:hint="default" w:ascii="Times New Roman" w:hAnsi="Times New Roman" w:cs="Times New Roman"/>
              </w:rPr>
              <w:t>≤29完成</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地区生产总值</w:t>
            </w:r>
          </w:p>
        </w:tc>
        <w:tc>
          <w:tcPr>
            <w:tcW w:w="2618" w:type="dxa"/>
            <w:vAlign w:val="center"/>
          </w:tcPr>
          <w:p>
            <w:pPr>
              <w:pStyle w:val="9"/>
              <w:rPr>
                <w:rFonts w:hint="default" w:ascii="Times New Roman" w:hAnsi="Times New Roman" w:cs="Times New Roman"/>
              </w:rPr>
            </w:pPr>
            <w:r>
              <w:rPr>
                <w:rFonts w:hint="default" w:ascii="Times New Roman" w:hAnsi="Times New Roman" w:cs="Times New Roman"/>
              </w:rPr>
              <w:t>提高地区生产总值，促进经济总量增长</w:t>
            </w:r>
          </w:p>
        </w:tc>
        <w:tc>
          <w:tcPr>
            <w:tcW w:w="2314" w:type="dxa"/>
            <w:vAlign w:val="center"/>
          </w:tcPr>
          <w:p>
            <w:pPr>
              <w:pStyle w:val="9"/>
              <w:rPr>
                <w:rFonts w:hint="default" w:ascii="Times New Roman" w:hAnsi="Times New Roman" w:cs="Times New Roman"/>
              </w:rPr>
            </w:pPr>
            <w:r>
              <w:rPr>
                <w:rFonts w:hint="default" w:ascii="Times New Roman" w:hAnsi="Times New Roman" w:cs="Times New Roman"/>
              </w:rPr>
              <w:t>≥50亿元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促进新区发展</w:t>
            </w:r>
          </w:p>
        </w:tc>
        <w:tc>
          <w:tcPr>
            <w:tcW w:w="2618" w:type="dxa"/>
            <w:vAlign w:val="center"/>
          </w:tcPr>
          <w:p>
            <w:pPr>
              <w:pStyle w:val="9"/>
              <w:rPr>
                <w:rFonts w:hint="default" w:ascii="Times New Roman" w:hAnsi="Times New Roman" w:cs="Times New Roman"/>
              </w:rPr>
            </w:pPr>
            <w:r>
              <w:rPr>
                <w:rFonts w:hint="default" w:ascii="Times New Roman" w:hAnsi="Times New Roman" w:cs="Times New Roman"/>
              </w:rPr>
              <w:t>摸清全区经济底数，为制定经济政策提供数据支撑</w:t>
            </w:r>
          </w:p>
        </w:tc>
        <w:tc>
          <w:tcPr>
            <w:tcW w:w="2314"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 xml:space="preserve">历史数据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促进新区经济健康发展</w:t>
            </w:r>
          </w:p>
        </w:tc>
        <w:tc>
          <w:tcPr>
            <w:tcW w:w="2618" w:type="dxa"/>
            <w:vAlign w:val="center"/>
          </w:tcPr>
          <w:p>
            <w:pPr>
              <w:pStyle w:val="9"/>
              <w:rPr>
                <w:rFonts w:hint="default" w:ascii="Times New Roman" w:hAnsi="Times New Roman" w:cs="Times New Roman"/>
              </w:rPr>
            </w:pPr>
            <w:r>
              <w:rPr>
                <w:rFonts w:hint="default" w:ascii="Times New Roman" w:hAnsi="Times New Roman" w:cs="Times New Roman"/>
              </w:rPr>
              <w:t>摸清全区经济底数，促进新区经济健康发展</w:t>
            </w:r>
          </w:p>
        </w:tc>
        <w:tc>
          <w:tcPr>
            <w:tcW w:w="2314"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w:t>
            </w:r>
          </w:p>
        </w:tc>
        <w:tc>
          <w:tcPr>
            <w:tcW w:w="2618" w:type="dxa"/>
            <w:vAlign w:val="center"/>
          </w:tcPr>
          <w:p>
            <w:pPr>
              <w:pStyle w:val="9"/>
              <w:rPr>
                <w:rFonts w:hint="default" w:ascii="Times New Roman" w:hAnsi="Times New Roman" w:cs="Times New Roman"/>
              </w:rPr>
            </w:pPr>
            <w:r>
              <w:rPr>
                <w:rFonts w:hint="default" w:ascii="Times New Roman" w:hAnsi="Times New Roman" w:cs="Times New Roman"/>
              </w:rPr>
              <w:t>参加普查单位对普查工作满意度</w:t>
            </w:r>
          </w:p>
        </w:tc>
        <w:tc>
          <w:tcPr>
            <w:tcW w:w="2314" w:type="dxa"/>
            <w:vAlign w:val="center"/>
          </w:tcPr>
          <w:p>
            <w:pPr>
              <w:pStyle w:val="9"/>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2、发改工作经费绩效目标表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6.保障发展改革事务一般运转</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固定资产投资备案数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完成年度内固定资产投资备案总金额</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≥90亿元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各项任务完成率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完成年度内任务数占计划数任务数的比率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及时性</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按各项任务时间节点及时完成</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及时完成</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实际支出金额小于等于预算控制数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≤30万元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地区生产总值</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地区生产总值</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≥50亿元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加快重点项目建设，着力推进新区产业转型升级，推动新区高质量发展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促进新区企业健康发展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促进外资外贸企业、批零住餐行业健康发展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被调查单位或群体对本部门工作的满意程度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3、2021年度国际网络宣传推广专项奖补资金绩效目标表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1.帮助企业拓展国际市场，促进外资外贸保稳提升</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9"/>
              <w:rPr>
                <w:rFonts w:hint="default" w:ascii="Times New Roman" w:hAnsi="Times New Roman" w:cs="Times New Roman"/>
              </w:rPr>
            </w:pP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支出企业数量</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支持企业数量</w:t>
            </w:r>
          </w:p>
          <w:p>
            <w:pPr>
              <w:pStyle w:val="9"/>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1家</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关于下达2021年度国际网络宣传推广专项奖补资金的通知</w:t>
            </w:r>
          </w:p>
          <w:p>
            <w:pPr>
              <w:pStyle w:val="9"/>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企业资质达标率</w:t>
            </w:r>
          </w:p>
          <w:p>
            <w:pPr>
              <w:pStyle w:val="9"/>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食品抽检问题发现率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申报材料</w:t>
            </w:r>
          </w:p>
          <w:p>
            <w:pPr>
              <w:pStyle w:val="9"/>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及时性</w:t>
            </w:r>
          </w:p>
          <w:p>
            <w:pPr>
              <w:pStyle w:val="9"/>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资金拨付及时性</w:t>
            </w:r>
          </w:p>
          <w:p>
            <w:pPr>
              <w:pStyle w:val="9"/>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本年度内完成</w:t>
            </w:r>
          </w:p>
          <w:p>
            <w:pPr>
              <w:pStyle w:val="9"/>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p>
            <w:pPr>
              <w:pStyle w:val="9"/>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实际支出小于等于预算控制数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≤1.49万元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预算数</w:t>
            </w:r>
          </w:p>
          <w:p>
            <w:pPr>
              <w:pStyle w:val="9"/>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降低企业经营成本</w:t>
            </w:r>
          </w:p>
          <w:p>
            <w:pPr>
              <w:pStyle w:val="9"/>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降低企业经营成本</w:t>
            </w:r>
          </w:p>
          <w:p>
            <w:pPr>
              <w:pStyle w:val="9"/>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达到预期</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稳定全区经济运行</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稳定全区经济运行</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达到预期</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促进外贸企业持续稳定运行</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促进外贸企业持续稳定运行</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达到预期</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满意度调查</w:t>
            </w:r>
          </w:p>
          <w:p>
            <w:pPr>
              <w:pStyle w:val="9"/>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4、2021年度省制造业高质量发展综合评价奖励资金绩效目标表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1.用于奖励省制造业单项冠军项目企业</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企业数</w:t>
            </w:r>
          </w:p>
          <w:p>
            <w:pPr>
              <w:pStyle w:val="9"/>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奖励企业数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1家</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《关于下达2021年度省制造业高质量发展综合评价奖励资金的通知》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企业满足发放条件</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企业满足发放条件</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满足</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及时性</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及时发放资金</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实际支出金额小于等于预算控制数</w:t>
            </w:r>
          </w:p>
          <w:p>
            <w:pPr>
              <w:pStyle w:val="9"/>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≤10万元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提升我省制造业核心竞争力，为建设“经济强省，美丽河北”提供重要支撑</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提升我省制造业核心竞争力，为建设“经济强省，美丽河北”提供重要支撑</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引导制造业企业专注细分产品市场创新、产品质量提升和品牌培育</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引导制造业企业专注细分产品市场创新、产品质量提升和品牌培育</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满意度调查</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5、2021年度新增规上工业企业奖励金绩效目标表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1.鼓励新区工业企业积极入统规上工业企业</w:t>
            </w:r>
          </w:p>
          <w:p>
            <w:pPr>
              <w:pStyle w:val="9"/>
              <w:rPr>
                <w:rFonts w:hint="default" w:ascii="Times New Roman" w:hAnsi="Times New Roman" w:cs="Times New Roman"/>
              </w:rPr>
            </w:pPr>
            <w:r>
              <w:rPr>
                <w:rFonts w:hint="default" w:ascii="Times New Roman" w:hAnsi="Times New Roman" w:cs="Times New Roman"/>
              </w:rPr>
              <w:t>2.新区工业指标保持高速增长</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新增规上工业企业数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1家</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《下达2021年度新增规上工业企业奖励资金的通知》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高质量完成</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高质量完成市下达新区新增规上工业企业目标任务</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完成</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及时性</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资金按时时间节点及时拨付</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实际拨付成本小于等于预算数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≤5万元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《下达2021年度新增规上工业企业奖励资金的通知》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推动工业指标持续增长</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推动新区工业指标持续增长</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鼓励新区工业企业发展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鼓励工业企业新增入统，提升工业企业经济发展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规上工业企业满意度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满意度调查</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6、2021年外贸发展专项资金绩效目标表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1.用于稳岗就业</w:t>
            </w:r>
          </w:p>
          <w:p>
            <w:pPr>
              <w:pStyle w:val="9"/>
              <w:rPr>
                <w:rFonts w:hint="default" w:ascii="Times New Roman" w:hAnsi="Times New Roman" w:cs="Times New Roman"/>
              </w:rPr>
            </w:pPr>
            <w:r>
              <w:rPr>
                <w:rFonts w:hint="default" w:ascii="Times New Roman" w:hAnsi="Times New Roman" w:cs="Times New Roman"/>
              </w:rPr>
              <w:t>2.用于职工培训</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奖补企业数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2家</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《关于下达2021年外贸发展专项资金的通知》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完成率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用于稳岗就业，职工培训等</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资金拨付及时性</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资金按计划拨付时间节点拨付</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及时完成</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实际支出成本小于等于预算控制数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≤25万元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《关于下达2021年外贸发展专项资金的通知》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开拓国际市场</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开拓国际市场，转型升级</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稳经济，保就业</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稳岗就业，职工培训</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促进新区贸易发展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被调查单位或群体对本部门的满意程度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7、2022年第二批战略性新兴产业发展专项资金绩效目标表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1.用于生产盐酸美金口服溶液</w:t>
            </w:r>
          </w:p>
          <w:p>
            <w:pPr>
              <w:pStyle w:val="9"/>
              <w:rPr>
                <w:rFonts w:hint="default" w:ascii="Times New Roman" w:hAnsi="Times New Roman" w:cs="Times New Roman"/>
              </w:rPr>
            </w:pPr>
            <w:r>
              <w:rPr>
                <w:rFonts w:hint="default" w:ascii="Times New Roman" w:hAnsi="Times New Roman" w:cs="Times New Roman"/>
              </w:rPr>
              <w:t>2.通过组织实施高技术产业化示范项目，推动生物医药健康等领域产业化。</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9"/>
              <w:rPr>
                <w:rFonts w:hint="default" w:ascii="Times New Roman" w:hAnsi="Times New Roman" w:cs="Times New Roman"/>
              </w:rPr>
            </w:pP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口服溶液剂</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盐酸美金刚口服溶液剂</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≥1000万瓶</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项目简介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项目建设完工率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项目建设完工率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≥50%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及时性</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按照各任务时间节点及时完成</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根据项目进度及时拨付</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实际支出金额小于等于预算金额</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≤1200万元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完成投资额</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完成当前投资额</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≥4000万元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推动生物医药健康领域发展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推生物医药健康等领域产业化</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地方产业示范带头作用</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吸引更多医疗机构到新区投资</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满意度调查</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8、创新十条奖励资金绩效目标表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1.用于奖励新入统的规上工业企业、服务业企业等，为促进新区高质量发展，扩大经济总量规模和增速，激励企业自主创新、提质增效，持续优化产业结构、提升发展层级，确保经济长期稳定运行。</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奖励金额</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企业统计员奖励金额</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2000元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新纳统“四上”企业暨企业创新发展奖励办法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收入费用率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研究与试验发展经费占营业收入比例</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≥5%</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新纳统“四上”企业暨企业创新发展奖励办法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资金拨付及时性</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实际拨付时间</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2023年</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实际支出成本小于等于预算控制数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≤130万元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促进新区高质量发展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促进新区高质量发展，扩大经济规模总量</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优化产业结构</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优化产业结构，提升发展层次</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促进新区创新发展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促进新区创新发展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被调查单位或群体对本部门工作的满意程度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9、项目管理经费绩效目标表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6.用于举办或参加集中开工活动、观摩活动、推进项目落地开工</w:t>
            </w:r>
          </w:p>
          <w:p>
            <w:pPr>
              <w:pStyle w:val="9"/>
              <w:rPr>
                <w:rFonts w:hint="default" w:ascii="Times New Roman" w:hAnsi="Times New Roman" w:cs="Times New Roman"/>
              </w:rPr>
            </w:pPr>
            <w:r>
              <w:rPr>
                <w:rFonts w:hint="default" w:ascii="Times New Roman" w:hAnsi="Times New Roman" w:cs="Times New Roman"/>
              </w:rPr>
              <w:t>7.完成相关可研报告编制工作，推进项目前期手续办理</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7"/>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组织集中开工次数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年度内组织集中开工次数</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≥2次</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开工率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全年实际开工项目占申报集中开工项目比率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组织或参加活动完成时间</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年度内组织或参加活动完成时间</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2023年</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组织开工活动成本</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每次组织集中开工活动成本</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≤40万元</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促进新区经济体系建设</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促进新区行业加快发展，推动经济建设</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促进新区企业发展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促进项目落地开工，提升新区相关指标增长</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促进新区项目建设</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促进新区项目建设，推动新区高质量发展</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综合满意度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被调查单位或部门综合满意度</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9"/>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六、政府采购预算情况</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2023年，秦皇岛北戴河新区发展改革局本级安排政府采购预算140.10万元。具体内容见下表。</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0"/>
        <w:gridCol w:w="900"/>
        <w:gridCol w:w="720"/>
        <w:gridCol w:w="1245"/>
        <w:gridCol w:w="705"/>
        <w:gridCol w:w="735"/>
        <w:gridCol w:w="810"/>
        <w:gridCol w:w="1365"/>
        <w:gridCol w:w="1350"/>
        <w:gridCol w:w="705"/>
        <w:gridCol w:w="675"/>
        <w:gridCol w:w="705"/>
        <w:gridCol w:w="480"/>
        <w:gridCol w:w="721"/>
        <w:gridCol w:w="584"/>
        <w:gridCol w:w="1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935" w:type="dxa"/>
            <w:gridSpan w:val="7"/>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4"/>
                <w:szCs w:val="24"/>
              </w:rPr>
            </w:pPr>
            <w:r>
              <w:rPr>
                <w:rFonts w:hint="default" w:ascii="Times New Roman" w:hAnsi="Times New Roman" w:cs="Times New Roman"/>
                <w:sz w:val="21"/>
                <w:szCs w:val="21"/>
              </w:rPr>
              <w:t>303001秦皇岛北戴河新区发展改革局本级</w:t>
            </w:r>
          </w:p>
        </w:tc>
        <w:tc>
          <w:tcPr>
            <w:tcW w:w="6585" w:type="dxa"/>
            <w:gridSpan w:val="8"/>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2"/>
                <w:szCs w:val="22"/>
              </w:rPr>
            </w:pPr>
            <w:r>
              <w:rPr>
                <w:rFonts w:hint="default" w:ascii="Times New Roman" w:hAnsi="Times New Roman" w:cs="Times New Roman"/>
                <w:sz w:val="21"/>
                <w:szCs w:val="21"/>
              </w:rPr>
              <w:t>单位：万元</w:t>
            </w:r>
          </w:p>
        </w:tc>
        <w:tc>
          <w:tcPr>
            <w:tcW w:w="1264" w:type="dxa"/>
            <w:tcBorders>
              <w:top w:val="single" w:color="FFFFFF" w:sz="6" w:space="0"/>
              <w:left w:val="single" w:color="FFFFFF" w:sz="6" w:space="0"/>
              <w:right w:val="single" w:color="FFFFFF" w:sz="6" w:space="0"/>
            </w:tcBorders>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20" w:type="dxa"/>
            <w:vAlign w:val="center"/>
          </w:tcPr>
          <w:p>
            <w:pPr>
              <w:pStyle w:val="7"/>
              <w:rPr>
                <w:rFonts w:hint="default" w:ascii="Times New Roman" w:hAnsi="Times New Roman" w:cs="Times New Roman"/>
              </w:rPr>
            </w:pPr>
            <w:r>
              <w:rPr>
                <w:rFonts w:hint="default" w:ascii="Times New Roman" w:hAnsi="Times New Roman" w:cs="Times New Roman"/>
              </w:rPr>
              <w:t>政府采购项目来源</w:t>
            </w:r>
          </w:p>
        </w:tc>
        <w:tc>
          <w:tcPr>
            <w:tcW w:w="900" w:type="dxa"/>
          </w:tcPr>
          <w:p>
            <w:pPr>
              <w:rPr>
                <w:rFonts w:hint="default" w:ascii="Times New Roman" w:hAnsi="Times New Roman" w:cs="Times New Roman"/>
              </w:rPr>
            </w:pPr>
          </w:p>
        </w:tc>
        <w:tc>
          <w:tcPr>
            <w:tcW w:w="720" w:type="dxa"/>
            <w:vMerge w:val="restart"/>
            <w:vAlign w:val="center"/>
          </w:tcPr>
          <w:p>
            <w:pPr>
              <w:pStyle w:val="7"/>
              <w:rPr>
                <w:rFonts w:hint="default" w:ascii="Times New Roman" w:hAnsi="Times New Roman" w:cs="Times New Roman"/>
              </w:rPr>
            </w:pPr>
            <w:r>
              <w:rPr>
                <w:rFonts w:hint="default" w:ascii="Times New Roman" w:hAnsi="Times New Roman" w:cs="Times New Roman"/>
              </w:rPr>
              <w:t>采购物品名称</w:t>
            </w:r>
          </w:p>
        </w:tc>
        <w:tc>
          <w:tcPr>
            <w:tcW w:w="1245" w:type="dxa"/>
            <w:vMerge w:val="restart"/>
            <w:vAlign w:val="center"/>
          </w:tcPr>
          <w:p>
            <w:pPr>
              <w:pStyle w:val="7"/>
              <w:rPr>
                <w:rFonts w:hint="default" w:ascii="Times New Roman" w:hAnsi="Times New Roman" w:cs="Times New Roman"/>
              </w:rPr>
            </w:pPr>
            <w:r>
              <w:rPr>
                <w:rFonts w:hint="default" w:ascii="Times New Roman" w:hAnsi="Times New Roman" w:cs="Times New Roman"/>
              </w:rPr>
              <w:t>政府采购目录序号</w:t>
            </w:r>
          </w:p>
        </w:tc>
        <w:tc>
          <w:tcPr>
            <w:tcW w:w="705" w:type="dxa"/>
            <w:vMerge w:val="restart"/>
            <w:vAlign w:val="center"/>
          </w:tcPr>
          <w:p>
            <w:pPr>
              <w:pStyle w:val="7"/>
              <w:rPr>
                <w:rFonts w:hint="default" w:ascii="Times New Roman" w:hAnsi="Times New Roman" w:cs="Times New Roman"/>
              </w:rPr>
            </w:pPr>
            <w:r>
              <w:rPr>
                <w:rFonts w:hint="default" w:ascii="Times New Roman" w:hAnsi="Times New Roman" w:cs="Times New Roman"/>
              </w:rPr>
              <w:t>计量  单位</w:t>
            </w:r>
          </w:p>
        </w:tc>
        <w:tc>
          <w:tcPr>
            <w:tcW w:w="735" w:type="dxa"/>
            <w:vMerge w:val="restart"/>
            <w:vAlign w:val="center"/>
          </w:tcPr>
          <w:p>
            <w:pPr>
              <w:pStyle w:val="7"/>
              <w:rPr>
                <w:rFonts w:hint="default" w:ascii="Times New Roman" w:hAnsi="Times New Roman" w:cs="Times New Roman"/>
              </w:rPr>
            </w:pPr>
            <w:r>
              <w:rPr>
                <w:rFonts w:hint="default" w:ascii="Times New Roman" w:hAnsi="Times New Roman" w:cs="Times New Roman"/>
              </w:rPr>
              <w:t>数量</w:t>
            </w:r>
          </w:p>
        </w:tc>
        <w:tc>
          <w:tcPr>
            <w:tcW w:w="810" w:type="dxa"/>
            <w:vMerge w:val="restart"/>
            <w:vAlign w:val="center"/>
          </w:tcPr>
          <w:p>
            <w:pPr>
              <w:pStyle w:val="7"/>
              <w:rPr>
                <w:rFonts w:hint="default" w:ascii="Times New Roman" w:hAnsi="Times New Roman" w:cs="Times New Roman"/>
              </w:rPr>
            </w:pPr>
            <w:r>
              <w:rPr>
                <w:rFonts w:hint="default" w:ascii="Times New Roman" w:hAnsi="Times New Roman" w:cs="Times New Roman"/>
              </w:rPr>
              <w:t>单价</w:t>
            </w:r>
          </w:p>
        </w:tc>
        <w:tc>
          <w:tcPr>
            <w:tcW w:w="1365" w:type="dxa"/>
            <w:vAlign w:val="center"/>
          </w:tcPr>
          <w:p>
            <w:pPr>
              <w:pStyle w:val="7"/>
              <w:rPr>
                <w:rFonts w:hint="default" w:ascii="Times New Roman" w:hAnsi="Times New Roman" w:cs="Times New Roman"/>
              </w:rPr>
            </w:pPr>
            <w:r>
              <w:rPr>
                <w:rFonts w:hint="default" w:ascii="Times New Roman" w:hAnsi="Times New Roman" w:cs="Times New Roman"/>
              </w:rPr>
              <w:t>政府采购金额（当年部门预算安排资金）</w:t>
            </w:r>
          </w:p>
        </w:tc>
        <w:tc>
          <w:tcPr>
            <w:tcW w:w="1350" w:type="dxa"/>
          </w:tcPr>
          <w:p>
            <w:pPr>
              <w:rPr>
                <w:rFonts w:hint="default" w:ascii="Times New Roman" w:hAnsi="Times New Roman" w:cs="Times New Roman"/>
              </w:rPr>
            </w:pPr>
          </w:p>
        </w:tc>
        <w:tc>
          <w:tcPr>
            <w:tcW w:w="705" w:type="dxa"/>
          </w:tcPr>
          <w:p>
            <w:pPr>
              <w:rPr>
                <w:rFonts w:hint="default" w:ascii="Times New Roman" w:hAnsi="Times New Roman" w:cs="Times New Roman"/>
              </w:rPr>
            </w:pPr>
          </w:p>
        </w:tc>
        <w:tc>
          <w:tcPr>
            <w:tcW w:w="675" w:type="dxa"/>
          </w:tcPr>
          <w:p>
            <w:pPr>
              <w:rPr>
                <w:rFonts w:hint="default" w:ascii="Times New Roman" w:hAnsi="Times New Roman" w:cs="Times New Roman"/>
              </w:rPr>
            </w:pPr>
          </w:p>
        </w:tc>
        <w:tc>
          <w:tcPr>
            <w:tcW w:w="705" w:type="dxa"/>
          </w:tcPr>
          <w:p>
            <w:pPr>
              <w:rPr>
                <w:rFonts w:hint="default" w:ascii="Times New Roman" w:hAnsi="Times New Roman" w:cs="Times New Roman"/>
              </w:rPr>
            </w:pPr>
          </w:p>
        </w:tc>
        <w:tc>
          <w:tcPr>
            <w:tcW w:w="480" w:type="dxa"/>
          </w:tcPr>
          <w:p>
            <w:pPr>
              <w:rPr>
                <w:rFonts w:hint="default" w:ascii="Times New Roman" w:hAnsi="Times New Roman" w:cs="Times New Roman"/>
              </w:rPr>
            </w:pPr>
          </w:p>
        </w:tc>
        <w:tc>
          <w:tcPr>
            <w:tcW w:w="721" w:type="dxa"/>
          </w:tcPr>
          <w:p>
            <w:pPr>
              <w:rPr>
                <w:rFonts w:hint="default" w:ascii="Times New Roman" w:hAnsi="Times New Roman" w:cs="Times New Roman"/>
              </w:rPr>
            </w:pPr>
          </w:p>
        </w:tc>
        <w:tc>
          <w:tcPr>
            <w:tcW w:w="584" w:type="dxa"/>
          </w:tcPr>
          <w:p>
            <w:pPr>
              <w:rPr>
                <w:rFonts w:hint="default" w:ascii="Times New Roman" w:hAnsi="Times New Roman" w:cs="Times New Roman"/>
              </w:rPr>
            </w:pPr>
          </w:p>
        </w:tc>
        <w:tc>
          <w:tcPr>
            <w:tcW w:w="1264" w:type="dxa"/>
            <w:vMerge w:val="restart"/>
            <w:vAlign w:val="center"/>
          </w:tcPr>
          <w:p>
            <w:pPr>
              <w:pStyle w:val="7"/>
              <w:rPr>
                <w:rFonts w:hint="default" w:ascii="Times New Roman" w:hAnsi="Times New Roman" w:cs="Times New Roman"/>
              </w:rPr>
            </w:pPr>
            <w:r>
              <w:rPr>
                <w:rFonts w:hint="default" w:ascii="Times New Roman" w:hAnsi="Times New Roman" w:cs="Times New Roman"/>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20" w:type="dxa"/>
            <w:vAlign w:val="center"/>
          </w:tcPr>
          <w:p>
            <w:pPr>
              <w:pStyle w:val="7"/>
              <w:rPr>
                <w:rFonts w:hint="default" w:ascii="Times New Roman" w:hAnsi="Times New Roman" w:cs="Times New Roman"/>
              </w:rPr>
            </w:pPr>
            <w:r>
              <w:rPr>
                <w:rFonts w:hint="default" w:ascii="Times New Roman" w:hAnsi="Times New Roman" w:cs="Times New Roman"/>
              </w:rPr>
              <w:t>项目名称</w:t>
            </w:r>
          </w:p>
        </w:tc>
        <w:tc>
          <w:tcPr>
            <w:tcW w:w="900" w:type="dxa"/>
            <w:vAlign w:val="center"/>
          </w:tcPr>
          <w:p>
            <w:pPr>
              <w:pStyle w:val="7"/>
              <w:rPr>
                <w:rFonts w:hint="default" w:ascii="Times New Roman" w:hAnsi="Times New Roman" w:cs="Times New Roman"/>
              </w:rPr>
            </w:pPr>
            <w:r>
              <w:rPr>
                <w:rFonts w:hint="default" w:ascii="Times New Roman" w:hAnsi="Times New Roman" w:cs="Times New Roman"/>
              </w:rPr>
              <w:t>预算    资金</w:t>
            </w:r>
          </w:p>
        </w:tc>
        <w:tc>
          <w:tcPr>
            <w:tcW w:w="720" w:type="dxa"/>
            <w:vMerge w:val="continue"/>
          </w:tcPr>
          <w:p>
            <w:pPr>
              <w:rPr>
                <w:rFonts w:hint="default" w:ascii="Times New Roman" w:hAnsi="Times New Roman" w:cs="Times New Roman"/>
              </w:rPr>
            </w:pPr>
          </w:p>
        </w:tc>
        <w:tc>
          <w:tcPr>
            <w:tcW w:w="1245" w:type="dxa"/>
            <w:vMerge w:val="continue"/>
          </w:tcPr>
          <w:p>
            <w:pPr>
              <w:rPr>
                <w:rFonts w:hint="default" w:ascii="Times New Roman" w:hAnsi="Times New Roman" w:cs="Times New Roman"/>
              </w:rPr>
            </w:pPr>
          </w:p>
        </w:tc>
        <w:tc>
          <w:tcPr>
            <w:tcW w:w="705" w:type="dxa"/>
            <w:vMerge w:val="continue"/>
          </w:tcPr>
          <w:p>
            <w:pPr>
              <w:rPr>
                <w:rFonts w:hint="default" w:ascii="Times New Roman" w:hAnsi="Times New Roman" w:cs="Times New Roman"/>
              </w:rPr>
            </w:pPr>
          </w:p>
        </w:tc>
        <w:tc>
          <w:tcPr>
            <w:tcW w:w="735" w:type="dxa"/>
            <w:vMerge w:val="continue"/>
          </w:tcPr>
          <w:p>
            <w:pPr>
              <w:rPr>
                <w:rFonts w:hint="default" w:ascii="Times New Roman" w:hAnsi="Times New Roman" w:cs="Times New Roman"/>
              </w:rPr>
            </w:pPr>
          </w:p>
        </w:tc>
        <w:tc>
          <w:tcPr>
            <w:tcW w:w="810" w:type="dxa"/>
            <w:vMerge w:val="continue"/>
          </w:tcPr>
          <w:p>
            <w:pPr>
              <w:rPr>
                <w:rFonts w:hint="default" w:ascii="Times New Roman" w:hAnsi="Times New Roman" w:cs="Times New Roman"/>
              </w:rPr>
            </w:pPr>
          </w:p>
        </w:tc>
        <w:tc>
          <w:tcPr>
            <w:tcW w:w="1365" w:type="dxa"/>
            <w:vAlign w:val="center"/>
          </w:tcPr>
          <w:p>
            <w:pPr>
              <w:pStyle w:val="7"/>
              <w:rPr>
                <w:rFonts w:hint="default" w:ascii="Times New Roman" w:hAnsi="Times New Roman" w:cs="Times New Roman"/>
              </w:rPr>
            </w:pPr>
            <w:r>
              <w:rPr>
                <w:rFonts w:hint="default" w:ascii="Times New Roman" w:hAnsi="Times New Roman" w:cs="Times New Roman"/>
              </w:rPr>
              <w:t>合计</w:t>
            </w:r>
          </w:p>
        </w:tc>
        <w:tc>
          <w:tcPr>
            <w:tcW w:w="1350" w:type="dxa"/>
            <w:vAlign w:val="center"/>
          </w:tcPr>
          <w:p>
            <w:pPr>
              <w:pStyle w:val="7"/>
              <w:rPr>
                <w:rFonts w:hint="default" w:ascii="Times New Roman" w:hAnsi="Times New Roman" w:cs="Times New Roman"/>
              </w:rPr>
            </w:pPr>
            <w:r>
              <w:rPr>
                <w:rFonts w:hint="default" w:ascii="Times New Roman" w:hAnsi="Times New Roman" w:cs="Times New Roman"/>
              </w:rPr>
              <w:t>一般公共预算拨款</w:t>
            </w:r>
          </w:p>
        </w:tc>
        <w:tc>
          <w:tcPr>
            <w:tcW w:w="705" w:type="dxa"/>
            <w:vAlign w:val="center"/>
          </w:tcPr>
          <w:p>
            <w:pPr>
              <w:pStyle w:val="7"/>
              <w:rPr>
                <w:rFonts w:hint="default" w:ascii="Times New Roman" w:hAnsi="Times New Roman" w:cs="Times New Roman"/>
              </w:rPr>
            </w:pPr>
            <w:r>
              <w:rPr>
                <w:rFonts w:hint="default" w:ascii="Times New Roman" w:hAnsi="Times New Roman" w:cs="Times New Roman"/>
              </w:rPr>
              <w:t>基金预算拨款</w:t>
            </w:r>
          </w:p>
        </w:tc>
        <w:tc>
          <w:tcPr>
            <w:tcW w:w="675" w:type="dxa"/>
            <w:vAlign w:val="center"/>
          </w:tcPr>
          <w:p>
            <w:pPr>
              <w:pStyle w:val="7"/>
              <w:rPr>
                <w:rFonts w:hint="default" w:ascii="Times New Roman" w:hAnsi="Times New Roman" w:cs="Times New Roman"/>
              </w:rPr>
            </w:pPr>
            <w:r>
              <w:rPr>
                <w:rFonts w:hint="default" w:ascii="Times New Roman" w:hAnsi="Times New Roman" w:cs="Times New Roman"/>
              </w:rPr>
              <w:t>国有资本经营预算拨款</w:t>
            </w:r>
          </w:p>
        </w:tc>
        <w:tc>
          <w:tcPr>
            <w:tcW w:w="705" w:type="dxa"/>
            <w:vAlign w:val="center"/>
          </w:tcPr>
          <w:p>
            <w:pPr>
              <w:pStyle w:val="7"/>
              <w:rPr>
                <w:rFonts w:hint="default" w:ascii="Times New Roman" w:hAnsi="Times New Roman" w:cs="Times New Roman"/>
              </w:rPr>
            </w:pPr>
            <w:r>
              <w:rPr>
                <w:rFonts w:hint="default" w:ascii="Times New Roman" w:hAnsi="Times New Roman" w:cs="Times New Roman"/>
              </w:rPr>
              <w:t>财政专户核拨</w:t>
            </w:r>
          </w:p>
        </w:tc>
        <w:tc>
          <w:tcPr>
            <w:tcW w:w="480" w:type="dxa"/>
            <w:vAlign w:val="center"/>
          </w:tcPr>
          <w:p>
            <w:pPr>
              <w:pStyle w:val="7"/>
              <w:rPr>
                <w:rFonts w:hint="default" w:ascii="Times New Roman" w:hAnsi="Times New Roman" w:cs="Times New Roman"/>
              </w:rPr>
            </w:pPr>
            <w:r>
              <w:rPr>
                <w:rFonts w:hint="default" w:ascii="Times New Roman" w:hAnsi="Times New Roman" w:cs="Times New Roman"/>
              </w:rPr>
              <w:t>单位    资金</w:t>
            </w:r>
          </w:p>
        </w:tc>
        <w:tc>
          <w:tcPr>
            <w:tcW w:w="721" w:type="dxa"/>
            <w:vAlign w:val="center"/>
          </w:tcPr>
          <w:p>
            <w:pPr>
              <w:pStyle w:val="7"/>
              <w:rPr>
                <w:rFonts w:hint="default" w:ascii="Times New Roman" w:hAnsi="Times New Roman" w:cs="Times New Roman"/>
              </w:rPr>
            </w:pPr>
            <w:r>
              <w:rPr>
                <w:rFonts w:hint="default" w:ascii="Times New Roman" w:hAnsi="Times New Roman" w:cs="Times New Roman"/>
              </w:rPr>
              <w:t>财政拨    款结转</w:t>
            </w:r>
          </w:p>
        </w:tc>
        <w:tc>
          <w:tcPr>
            <w:tcW w:w="584" w:type="dxa"/>
            <w:vAlign w:val="center"/>
          </w:tcPr>
          <w:p>
            <w:pPr>
              <w:pStyle w:val="7"/>
              <w:rPr>
                <w:rFonts w:hint="default" w:ascii="Times New Roman" w:hAnsi="Times New Roman" w:cs="Times New Roman"/>
              </w:rPr>
            </w:pPr>
            <w:r>
              <w:rPr>
                <w:rFonts w:hint="default" w:ascii="Times New Roman" w:hAnsi="Times New Roman" w:cs="Times New Roman"/>
              </w:rPr>
              <w:t>非财政    拨款结    转结余</w:t>
            </w:r>
          </w:p>
        </w:tc>
        <w:tc>
          <w:tcPr>
            <w:tcW w:w="1264"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11"/>
              <w:rPr>
                <w:rFonts w:hint="default" w:ascii="Times New Roman" w:hAnsi="Times New Roman" w:cs="Times New Roman"/>
              </w:rPr>
            </w:pPr>
            <w:r>
              <w:rPr>
                <w:rFonts w:hint="default" w:ascii="Times New Roman" w:hAnsi="Times New Roman" w:cs="Times New Roman"/>
              </w:rPr>
              <w:t>合  计</w:t>
            </w:r>
          </w:p>
        </w:tc>
        <w:tc>
          <w:tcPr>
            <w:tcW w:w="900" w:type="dxa"/>
            <w:vAlign w:val="center"/>
          </w:tcPr>
          <w:p>
            <w:pPr>
              <w:pStyle w:val="12"/>
              <w:rPr>
                <w:rFonts w:hint="default" w:ascii="Times New Roman" w:hAnsi="Times New Roman" w:cs="Times New Roman"/>
              </w:rPr>
            </w:pPr>
          </w:p>
        </w:tc>
        <w:tc>
          <w:tcPr>
            <w:tcW w:w="720" w:type="dxa"/>
            <w:vAlign w:val="center"/>
          </w:tcPr>
          <w:p>
            <w:pPr>
              <w:pStyle w:val="13"/>
              <w:rPr>
                <w:rFonts w:hint="default" w:ascii="Times New Roman" w:hAnsi="Times New Roman" w:cs="Times New Roman"/>
              </w:rPr>
            </w:pPr>
          </w:p>
        </w:tc>
        <w:tc>
          <w:tcPr>
            <w:tcW w:w="1245" w:type="dxa"/>
            <w:vAlign w:val="center"/>
          </w:tcPr>
          <w:p>
            <w:pPr>
              <w:pStyle w:val="13"/>
              <w:jc w:val="center"/>
              <w:rPr>
                <w:rFonts w:hint="default" w:ascii="Times New Roman" w:hAnsi="Times New Roman" w:cs="Times New Roman"/>
              </w:rPr>
            </w:pPr>
          </w:p>
        </w:tc>
        <w:tc>
          <w:tcPr>
            <w:tcW w:w="705" w:type="dxa"/>
            <w:vAlign w:val="center"/>
          </w:tcPr>
          <w:p>
            <w:pPr>
              <w:pStyle w:val="11"/>
              <w:jc w:val="center"/>
              <w:rPr>
                <w:rFonts w:hint="default" w:ascii="Times New Roman" w:hAnsi="Times New Roman" w:cs="Times New Roman"/>
              </w:rPr>
            </w:pPr>
          </w:p>
        </w:tc>
        <w:tc>
          <w:tcPr>
            <w:tcW w:w="735" w:type="dxa"/>
            <w:vAlign w:val="center"/>
          </w:tcPr>
          <w:p>
            <w:pPr>
              <w:pStyle w:val="12"/>
              <w:jc w:val="center"/>
              <w:rPr>
                <w:rFonts w:hint="default" w:ascii="Times New Roman" w:hAnsi="Times New Roman" w:cs="Times New Roman"/>
              </w:rPr>
            </w:pPr>
          </w:p>
        </w:tc>
        <w:tc>
          <w:tcPr>
            <w:tcW w:w="810" w:type="dxa"/>
            <w:vAlign w:val="center"/>
          </w:tcPr>
          <w:p>
            <w:pPr>
              <w:pStyle w:val="12"/>
              <w:jc w:val="center"/>
              <w:rPr>
                <w:rFonts w:hint="default" w:ascii="Times New Roman" w:hAnsi="Times New Roman" w:cs="Times New Roman"/>
              </w:rPr>
            </w:pPr>
          </w:p>
        </w:tc>
        <w:tc>
          <w:tcPr>
            <w:tcW w:w="1365" w:type="dxa"/>
            <w:vAlign w:val="center"/>
          </w:tcPr>
          <w:p>
            <w:pPr>
              <w:pStyle w:val="12"/>
              <w:jc w:val="center"/>
              <w:rPr>
                <w:rFonts w:hint="default" w:ascii="Times New Roman" w:hAnsi="Times New Roman" w:cs="Times New Roman"/>
              </w:rPr>
            </w:pPr>
            <w:r>
              <w:rPr>
                <w:rFonts w:hint="default" w:ascii="Times New Roman" w:hAnsi="Times New Roman" w:cs="Times New Roman"/>
              </w:rPr>
              <w:t>140.10</w:t>
            </w:r>
          </w:p>
        </w:tc>
        <w:tc>
          <w:tcPr>
            <w:tcW w:w="1350" w:type="dxa"/>
            <w:vAlign w:val="center"/>
          </w:tcPr>
          <w:p>
            <w:pPr>
              <w:pStyle w:val="12"/>
              <w:jc w:val="center"/>
              <w:rPr>
                <w:rFonts w:hint="default" w:ascii="Times New Roman" w:hAnsi="Times New Roman" w:cs="Times New Roman"/>
              </w:rPr>
            </w:pPr>
            <w:r>
              <w:rPr>
                <w:rFonts w:hint="default" w:ascii="Times New Roman" w:hAnsi="Times New Roman" w:cs="Times New Roman"/>
              </w:rPr>
              <w:t>140.10</w:t>
            </w:r>
          </w:p>
        </w:tc>
        <w:tc>
          <w:tcPr>
            <w:tcW w:w="705" w:type="dxa"/>
            <w:vAlign w:val="center"/>
          </w:tcPr>
          <w:p>
            <w:pPr>
              <w:pStyle w:val="12"/>
              <w:jc w:val="center"/>
              <w:rPr>
                <w:rFonts w:hint="default" w:ascii="Times New Roman" w:hAnsi="Times New Roman" w:cs="Times New Roman"/>
              </w:rPr>
            </w:pPr>
          </w:p>
        </w:tc>
        <w:tc>
          <w:tcPr>
            <w:tcW w:w="675" w:type="dxa"/>
            <w:vAlign w:val="center"/>
          </w:tcPr>
          <w:p>
            <w:pPr>
              <w:pStyle w:val="12"/>
              <w:jc w:val="center"/>
              <w:rPr>
                <w:rFonts w:hint="default" w:ascii="Times New Roman" w:hAnsi="Times New Roman" w:cs="Times New Roman"/>
              </w:rPr>
            </w:pPr>
          </w:p>
        </w:tc>
        <w:tc>
          <w:tcPr>
            <w:tcW w:w="705" w:type="dxa"/>
            <w:vAlign w:val="center"/>
          </w:tcPr>
          <w:p>
            <w:pPr>
              <w:pStyle w:val="12"/>
              <w:jc w:val="center"/>
              <w:rPr>
                <w:rFonts w:hint="default" w:ascii="Times New Roman" w:hAnsi="Times New Roman" w:cs="Times New Roman"/>
              </w:rPr>
            </w:pPr>
          </w:p>
        </w:tc>
        <w:tc>
          <w:tcPr>
            <w:tcW w:w="480" w:type="dxa"/>
            <w:vAlign w:val="center"/>
          </w:tcPr>
          <w:p>
            <w:pPr>
              <w:pStyle w:val="12"/>
              <w:jc w:val="center"/>
              <w:rPr>
                <w:rFonts w:hint="default" w:ascii="Times New Roman" w:hAnsi="Times New Roman" w:cs="Times New Roman"/>
              </w:rPr>
            </w:pPr>
          </w:p>
        </w:tc>
        <w:tc>
          <w:tcPr>
            <w:tcW w:w="721" w:type="dxa"/>
            <w:vAlign w:val="center"/>
          </w:tcPr>
          <w:p>
            <w:pPr>
              <w:pStyle w:val="12"/>
              <w:jc w:val="center"/>
              <w:rPr>
                <w:rFonts w:hint="default" w:ascii="Times New Roman" w:hAnsi="Times New Roman" w:cs="Times New Roman"/>
              </w:rPr>
            </w:pPr>
          </w:p>
        </w:tc>
        <w:tc>
          <w:tcPr>
            <w:tcW w:w="584" w:type="dxa"/>
            <w:vAlign w:val="center"/>
          </w:tcPr>
          <w:p>
            <w:pPr>
              <w:pStyle w:val="12"/>
              <w:jc w:val="center"/>
              <w:rPr>
                <w:rFonts w:hint="default" w:ascii="Times New Roman" w:hAnsi="Times New Roman" w:cs="Times New Roman"/>
              </w:rPr>
            </w:pPr>
          </w:p>
        </w:tc>
        <w:tc>
          <w:tcPr>
            <w:tcW w:w="1264" w:type="dxa"/>
            <w:vAlign w:val="center"/>
          </w:tcPr>
          <w:p>
            <w:pPr>
              <w:pStyle w:val="12"/>
              <w:jc w:val="center"/>
              <w:rPr>
                <w:rFonts w:hint="default" w:ascii="Times New Roman" w:hAnsi="Times New Roman" w:cs="Times New Roman"/>
              </w:rPr>
            </w:pPr>
            <w:r>
              <w:rPr>
                <w:rFonts w:hint="default" w:ascii="Times New Roman" w:hAnsi="Times New Roman" w:cs="Times New Roman"/>
              </w:rPr>
              <w:t>140.10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11"/>
              <w:rPr>
                <w:rFonts w:hint="default" w:ascii="Times New Roman" w:hAnsi="Times New Roman" w:cs="Times New Roman"/>
              </w:rPr>
            </w:pPr>
            <w:r>
              <w:rPr>
                <w:rFonts w:hint="default" w:ascii="Times New Roman" w:hAnsi="Times New Roman" w:cs="Times New Roman"/>
              </w:rPr>
              <w:t>秦皇岛北戴河新区发展改革局本级小计</w:t>
            </w:r>
          </w:p>
        </w:tc>
        <w:tc>
          <w:tcPr>
            <w:tcW w:w="900" w:type="dxa"/>
            <w:vAlign w:val="center"/>
          </w:tcPr>
          <w:p>
            <w:pPr>
              <w:pStyle w:val="12"/>
              <w:rPr>
                <w:rFonts w:hint="default" w:ascii="Times New Roman" w:hAnsi="Times New Roman" w:cs="Times New Roman"/>
              </w:rPr>
            </w:pPr>
          </w:p>
        </w:tc>
        <w:tc>
          <w:tcPr>
            <w:tcW w:w="720" w:type="dxa"/>
            <w:vAlign w:val="center"/>
          </w:tcPr>
          <w:p>
            <w:pPr>
              <w:pStyle w:val="13"/>
              <w:rPr>
                <w:rFonts w:hint="default" w:ascii="Times New Roman" w:hAnsi="Times New Roman" w:cs="Times New Roman"/>
              </w:rPr>
            </w:pPr>
          </w:p>
        </w:tc>
        <w:tc>
          <w:tcPr>
            <w:tcW w:w="1245" w:type="dxa"/>
            <w:vAlign w:val="center"/>
          </w:tcPr>
          <w:p>
            <w:pPr>
              <w:pStyle w:val="13"/>
              <w:jc w:val="center"/>
              <w:rPr>
                <w:rFonts w:hint="default" w:ascii="Times New Roman" w:hAnsi="Times New Roman" w:cs="Times New Roman"/>
              </w:rPr>
            </w:pPr>
          </w:p>
        </w:tc>
        <w:tc>
          <w:tcPr>
            <w:tcW w:w="705" w:type="dxa"/>
            <w:vAlign w:val="center"/>
          </w:tcPr>
          <w:p>
            <w:pPr>
              <w:pStyle w:val="11"/>
              <w:jc w:val="center"/>
              <w:rPr>
                <w:rFonts w:hint="default" w:ascii="Times New Roman" w:hAnsi="Times New Roman" w:cs="Times New Roman"/>
              </w:rPr>
            </w:pPr>
          </w:p>
        </w:tc>
        <w:tc>
          <w:tcPr>
            <w:tcW w:w="735" w:type="dxa"/>
            <w:vAlign w:val="center"/>
          </w:tcPr>
          <w:p>
            <w:pPr>
              <w:pStyle w:val="12"/>
              <w:jc w:val="center"/>
              <w:rPr>
                <w:rFonts w:hint="default" w:ascii="Times New Roman" w:hAnsi="Times New Roman" w:cs="Times New Roman"/>
              </w:rPr>
            </w:pPr>
          </w:p>
        </w:tc>
        <w:tc>
          <w:tcPr>
            <w:tcW w:w="810" w:type="dxa"/>
            <w:vAlign w:val="center"/>
          </w:tcPr>
          <w:p>
            <w:pPr>
              <w:pStyle w:val="12"/>
              <w:jc w:val="center"/>
              <w:rPr>
                <w:rFonts w:hint="default" w:ascii="Times New Roman" w:hAnsi="Times New Roman" w:cs="Times New Roman"/>
              </w:rPr>
            </w:pPr>
          </w:p>
        </w:tc>
        <w:tc>
          <w:tcPr>
            <w:tcW w:w="1365" w:type="dxa"/>
            <w:vAlign w:val="center"/>
          </w:tcPr>
          <w:p>
            <w:pPr>
              <w:pStyle w:val="12"/>
              <w:jc w:val="center"/>
              <w:rPr>
                <w:rFonts w:hint="default" w:ascii="Times New Roman" w:hAnsi="Times New Roman" w:cs="Times New Roman"/>
              </w:rPr>
            </w:pPr>
            <w:r>
              <w:rPr>
                <w:rFonts w:hint="default" w:ascii="Times New Roman" w:hAnsi="Times New Roman" w:cs="Times New Roman"/>
              </w:rPr>
              <w:t>140.10</w:t>
            </w:r>
          </w:p>
        </w:tc>
        <w:tc>
          <w:tcPr>
            <w:tcW w:w="1350" w:type="dxa"/>
            <w:vAlign w:val="center"/>
          </w:tcPr>
          <w:p>
            <w:pPr>
              <w:pStyle w:val="12"/>
              <w:jc w:val="center"/>
              <w:rPr>
                <w:rFonts w:hint="default" w:ascii="Times New Roman" w:hAnsi="Times New Roman" w:cs="Times New Roman"/>
              </w:rPr>
            </w:pPr>
            <w:r>
              <w:rPr>
                <w:rFonts w:hint="default" w:ascii="Times New Roman" w:hAnsi="Times New Roman" w:cs="Times New Roman"/>
              </w:rPr>
              <w:t>140.10</w:t>
            </w:r>
          </w:p>
        </w:tc>
        <w:tc>
          <w:tcPr>
            <w:tcW w:w="705" w:type="dxa"/>
            <w:vAlign w:val="center"/>
          </w:tcPr>
          <w:p>
            <w:pPr>
              <w:pStyle w:val="12"/>
              <w:jc w:val="center"/>
              <w:rPr>
                <w:rFonts w:hint="default" w:ascii="Times New Roman" w:hAnsi="Times New Roman" w:cs="Times New Roman"/>
              </w:rPr>
            </w:pPr>
          </w:p>
        </w:tc>
        <w:tc>
          <w:tcPr>
            <w:tcW w:w="675" w:type="dxa"/>
            <w:vAlign w:val="center"/>
          </w:tcPr>
          <w:p>
            <w:pPr>
              <w:pStyle w:val="12"/>
              <w:jc w:val="center"/>
              <w:rPr>
                <w:rFonts w:hint="default" w:ascii="Times New Roman" w:hAnsi="Times New Roman" w:cs="Times New Roman"/>
              </w:rPr>
            </w:pPr>
          </w:p>
        </w:tc>
        <w:tc>
          <w:tcPr>
            <w:tcW w:w="705" w:type="dxa"/>
            <w:vAlign w:val="center"/>
          </w:tcPr>
          <w:p>
            <w:pPr>
              <w:pStyle w:val="12"/>
              <w:jc w:val="center"/>
              <w:rPr>
                <w:rFonts w:hint="default" w:ascii="Times New Roman" w:hAnsi="Times New Roman" w:cs="Times New Roman"/>
              </w:rPr>
            </w:pPr>
          </w:p>
        </w:tc>
        <w:tc>
          <w:tcPr>
            <w:tcW w:w="480" w:type="dxa"/>
            <w:vAlign w:val="center"/>
          </w:tcPr>
          <w:p>
            <w:pPr>
              <w:pStyle w:val="12"/>
              <w:jc w:val="center"/>
              <w:rPr>
                <w:rFonts w:hint="default" w:ascii="Times New Roman" w:hAnsi="Times New Roman" w:cs="Times New Roman"/>
              </w:rPr>
            </w:pPr>
          </w:p>
        </w:tc>
        <w:tc>
          <w:tcPr>
            <w:tcW w:w="721" w:type="dxa"/>
            <w:vAlign w:val="center"/>
          </w:tcPr>
          <w:p>
            <w:pPr>
              <w:pStyle w:val="12"/>
              <w:jc w:val="center"/>
              <w:rPr>
                <w:rFonts w:hint="default" w:ascii="Times New Roman" w:hAnsi="Times New Roman" w:cs="Times New Roman"/>
              </w:rPr>
            </w:pPr>
          </w:p>
        </w:tc>
        <w:tc>
          <w:tcPr>
            <w:tcW w:w="584" w:type="dxa"/>
            <w:vAlign w:val="center"/>
          </w:tcPr>
          <w:p>
            <w:pPr>
              <w:pStyle w:val="12"/>
              <w:jc w:val="center"/>
              <w:rPr>
                <w:rFonts w:hint="default" w:ascii="Times New Roman" w:hAnsi="Times New Roman" w:cs="Times New Roman"/>
              </w:rPr>
            </w:pPr>
          </w:p>
        </w:tc>
        <w:tc>
          <w:tcPr>
            <w:tcW w:w="1264" w:type="dxa"/>
            <w:vAlign w:val="center"/>
          </w:tcPr>
          <w:p>
            <w:pPr>
              <w:pStyle w:val="12"/>
              <w:jc w:val="center"/>
              <w:rPr>
                <w:rFonts w:hint="default" w:ascii="Times New Roman" w:hAnsi="Times New Roman" w:cs="Times New Roman"/>
              </w:rPr>
            </w:pPr>
            <w:r>
              <w:rPr>
                <w:rFonts w:hint="default" w:ascii="Times New Roman" w:hAnsi="Times New Roman" w:cs="Times New Roman"/>
              </w:rPr>
              <w:t>140.10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2023年公用经费项目（三保）</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37.19</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其他家具</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A05019900</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2023年公用经费项目（三保）</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37.19</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复印纸</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A05040101</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100</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0.01</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1.00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1.00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2023年公用经费项目（三保）</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37.19</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其他办公用品</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A05049900</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8.00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8.00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8.00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2023年公用经费项目（三保）</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37.19</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一般会议服务</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C22010200</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2.40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2.40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2.40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2023年公用经费项目（三保）</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37.19</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其他印刷服务</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C23090199</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2023年公用经费项目（三保）</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37.19</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车辆维修和保养服务</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C23120301</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1.10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1.10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1.10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2023年公用经费项目（三保）</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37.19</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车辆加油、添加燃料服务</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C23120302</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第五次全国经济普查经费</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29.00</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其他办公用品</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A05049900</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9.00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9.00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9.00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第五次全国经济普查经费</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29.00</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其他印刷服务</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C23090199</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18.00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18.00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18.00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发改工作经费</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30.00</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其他办公用品</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A05049900</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20.00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20.00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20.00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发改工作经费</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30.00</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审计服务</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C23030000</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4.00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4.00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4.00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发改工作经费</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30.00</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其他印刷服务</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C23090199</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3.00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3.00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3.00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20" w:type="dxa"/>
            <w:vAlign w:val="center"/>
          </w:tcPr>
          <w:p>
            <w:pPr>
              <w:pStyle w:val="9"/>
              <w:rPr>
                <w:rFonts w:hint="default" w:ascii="Times New Roman" w:hAnsi="Times New Roman" w:cs="Times New Roman"/>
              </w:rPr>
            </w:pPr>
            <w:r>
              <w:rPr>
                <w:rFonts w:hint="default" w:ascii="Times New Roman" w:hAnsi="Times New Roman" w:cs="Times New Roman"/>
              </w:rPr>
              <w:t>项目管理经费</w:t>
            </w:r>
          </w:p>
        </w:tc>
        <w:tc>
          <w:tcPr>
            <w:tcW w:w="900" w:type="dxa"/>
            <w:vAlign w:val="center"/>
          </w:tcPr>
          <w:p>
            <w:pPr>
              <w:pStyle w:val="10"/>
              <w:rPr>
                <w:rFonts w:hint="default" w:ascii="Times New Roman" w:hAnsi="Times New Roman" w:cs="Times New Roman"/>
              </w:rPr>
            </w:pPr>
            <w:r>
              <w:rPr>
                <w:rFonts w:hint="default" w:ascii="Times New Roman" w:hAnsi="Times New Roman" w:cs="Times New Roman"/>
              </w:rPr>
              <w:t>100.00</w:t>
            </w:r>
          </w:p>
        </w:tc>
        <w:tc>
          <w:tcPr>
            <w:tcW w:w="720" w:type="dxa"/>
            <w:vAlign w:val="center"/>
          </w:tcPr>
          <w:p>
            <w:pPr>
              <w:pStyle w:val="9"/>
              <w:rPr>
                <w:rFonts w:hint="default" w:ascii="Times New Roman" w:hAnsi="Times New Roman" w:cs="Times New Roman"/>
              </w:rPr>
            </w:pPr>
            <w:r>
              <w:rPr>
                <w:rFonts w:hint="default" w:ascii="Times New Roman" w:hAnsi="Times New Roman" w:cs="Times New Roman"/>
              </w:rPr>
              <w:t>其他展览服务</w:t>
            </w:r>
          </w:p>
        </w:tc>
        <w:tc>
          <w:tcPr>
            <w:tcW w:w="1245" w:type="dxa"/>
            <w:vAlign w:val="center"/>
          </w:tcPr>
          <w:p>
            <w:pPr>
              <w:pStyle w:val="9"/>
              <w:jc w:val="center"/>
              <w:rPr>
                <w:rFonts w:hint="default" w:ascii="Times New Roman" w:hAnsi="Times New Roman" w:cs="Times New Roman"/>
              </w:rPr>
            </w:pPr>
            <w:r>
              <w:rPr>
                <w:rFonts w:hint="default" w:ascii="Times New Roman" w:hAnsi="Times New Roman" w:cs="Times New Roman"/>
              </w:rPr>
              <w:t>C22029900</w:t>
            </w:r>
          </w:p>
        </w:tc>
        <w:tc>
          <w:tcPr>
            <w:tcW w:w="705" w:type="dxa"/>
            <w:vAlign w:val="center"/>
          </w:tcPr>
          <w:p>
            <w:pPr>
              <w:pStyle w:val="8"/>
              <w:jc w:val="center"/>
              <w:rPr>
                <w:rFonts w:hint="default" w:ascii="Times New Roman" w:hAnsi="Times New Roman" w:cs="Times New Roman"/>
              </w:rPr>
            </w:pPr>
            <w:r>
              <w:rPr>
                <w:rFonts w:hint="default" w:ascii="Times New Roman" w:hAnsi="Times New Roman" w:cs="Times New Roman"/>
              </w:rPr>
              <w:t>万元</w:t>
            </w:r>
          </w:p>
        </w:tc>
        <w:tc>
          <w:tcPr>
            <w:tcW w:w="735" w:type="dxa"/>
            <w:vAlign w:val="center"/>
          </w:tcPr>
          <w:p>
            <w:pPr>
              <w:pStyle w:val="10"/>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0"/>
              <w:jc w:val="center"/>
              <w:rPr>
                <w:rFonts w:hint="default" w:ascii="Times New Roman" w:hAnsi="Times New Roman" w:cs="Times New Roman"/>
              </w:rPr>
            </w:pPr>
            <w:r>
              <w:rPr>
                <w:rFonts w:hint="default" w:ascii="Times New Roman" w:hAnsi="Times New Roman" w:cs="Times New Roman"/>
              </w:rPr>
              <w:t>70.00</w:t>
            </w:r>
          </w:p>
        </w:tc>
        <w:tc>
          <w:tcPr>
            <w:tcW w:w="1365" w:type="dxa"/>
            <w:vAlign w:val="center"/>
          </w:tcPr>
          <w:p>
            <w:pPr>
              <w:pStyle w:val="10"/>
              <w:jc w:val="center"/>
              <w:rPr>
                <w:rFonts w:hint="default" w:ascii="Times New Roman" w:hAnsi="Times New Roman" w:cs="Times New Roman"/>
              </w:rPr>
            </w:pPr>
            <w:r>
              <w:rPr>
                <w:rFonts w:hint="default" w:ascii="Times New Roman" w:hAnsi="Times New Roman" w:cs="Times New Roman"/>
              </w:rPr>
              <w:t>70.00</w:t>
            </w:r>
          </w:p>
        </w:tc>
        <w:tc>
          <w:tcPr>
            <w:tcW w:w="1350" w:type="dxa"/>
            <w:vAlign w:val="center"/>
          </w:tcPr>
          <w:p>
            <w:pPr>
              <w:pStyle w:val="10"/>
              <w:jc w:val="center"/>
              <w:rPr>
                <w:rFonts w:hint="default" w:ascii="Times New Roman" w:hAnsi="Times New Roman" w:cs="Times New Roman"/>
              </w:rPr>
            </w:pPr>
            <w:r>
              <w:rPr>
                <w:rFonts w:hint="default" w:ascii="Times New Roman" w:hAnsi="Times New Roman" w:cs="Times New Roman"/>
              </w:rPr>
              <w:t>70.00</w:t>
            </w:r>
          </w:p>
        </w:tc>
        <w:tc>
          <w:tcPr>
            <w:tcW w:w="705" w:type="dxa"/>
            <w:vAlign w:val="center"/>
          </w:tcPr>
          <w:p>
            <w:pPr>
              <w:pStyle w:val="10"/>
              <w:jc w:val="center"/>
              <w:rPr>
                <w:rFonts w:hint="default" w:ascii="Times New Roman" w:hAnsi="Times New Roman" w:cs="Times New Roman"/>
              </w:rPr>
            </w:pPr>
          </w:p>
        </w:tc>
        <w:tc>
          <w:tcPr>
            <w:tcW w:w="675" w:type="dxa"/>
            <w:vAlign w:val="center"/>
          </w:tcPr>
          <w:p>
            <w:pPr>
              <w:pStyle w:val="10"/>
              <w:jc w:val="center"/>
              <w:rPr>
                <w:rFonts w:hint="default" w:ascii="Times New Roman" w:hAnsi="Times New Roman" w:cs="Times New Roman"/>
              </w:rPr>
            </w:pPr>
          </w:p>
        </w:tc>
        <w:tc>
          <w:tcPr>
            <w:tcW w:w="705" w:type="dxa"/>
            <w:vAlign w:val="center"/>
          </w:tcPr>
          <w:p>
            <w:pPr>
              <w:pStyle w:val="10"/>
              <w:jc w:val="center"/>
              <w:rPr>
                <w:rFonts w:hint="default" w:ascii="Times New Roman" w:hAnsi="Times New Roman" w:cs="Times New Roman"/>
              </w:rPr>
            </w:pPr>
          </w:p>
        </w:tc>
        <w:tc>
          <w:tcPr>
            <w:tcW w:w="480" w:type="dxa"/>
            <w:vAlign w:val="center"/>
          </w:tcPr>
          <w:p>
            <w:pPr>
              <w:pStyle w:val="10"/>
              <w:jc w:val="center"/>
              <w:rPr>
                <w:rFonts w:hint="default" w:ascii="Times New Roman" w:hAnsi="Times New Roman" w:cs="Times New Roman"/>
              </w:rPr>
            </w:pPr>
          </w:p>
        </w:tc>
        <w:tc>
          <w:tcPr>
            <w:tcW w:w="721" w:type="dxa"/>
            <w:vAlign w:val="center"/>
          </w:tcPr>
          <w:p>
            <w:pPr>
              <w:pStyle w:val="10"/>
              <w:jc w:val="center"/>
              <w:rPr>
                <w:rFonts w:hint="default" w:ascii="Times New Roman" w:hAnsi="Times New Roman" w:cs="Times New Roman"/>
              </w:rPr>
            </w:pPr>
          </w:p>
        </w:tc>
        <w:tc>
          <w:tcPr>
            <w:tcW w:w="584" w:type="dxa"/>
            <w:vAlign w:val="center"/>
          </w:tcPr>
          <w:p>
            <w:pPr>
              <w:pStyle w:val="10"/>
              <w:jc w:val="center"/>
              <w:rPr>
                <w:rFonts w:hint="default" w:ascii="Times New Roman" w:hAnsi="Times New Roman" w:cs="Times New Roman"/>
              </w:rPr>
            </w:pPr>
          </w:p>
        </w:tc>
        <w:tc>
          <w:tcPr>
            <w:tcW w:w="1264" w:type="dxa"/>
            <w:vAlign w:val="center"/>
          </w:tcPr>
          <w:p>
            <w:pPr>
              <w:pStyle w:val="10"/>
              <w:jc w:val="center"/>
              <w:rPr>
                <w:rFonts w:hint="default" w:ascii="Times New Roman" w:hAnsi="Times New Roman" w:cs="Times New Roman"/>
              </w:rPr>
            </w:pPr>
            <w:r>
              <w:rPr>
                <w:rFonts w:hint="default" w:ascii="Times New Roman" w:hAnsi="Times New Roman" w:cs="Times New Roman"/>
              </w:rPr>
              <w:t>70.00</w:t>
            </w:r>
          </w:p>
        </w:tc>
      </w:tr>
    </w:tbl>
    <w:p>
      <w:pPr>
        <w:spacing w:before="0" w:after="0" w:line="500" w:lineRule="exact"/>
        <w:ind w:firstLine="420"/>
        <w:jc w:val="left"/>
        <w:outlineLvl w:val="9"/>
        <w:rPr>
          <w:rFonts w:hint="default" w:ascii="Times New Roman" w:hAnsi="Times New Roman" w:cs="Times New Roman"/>
        </w:rPr>
      </w:pPr>
      <w:r>
        <w:rPr>
          <w:rFonts w:hint="default" w:ascii="Times New Roman" w:hAnsi="Times New Roman" w:eastAsia="方正书宋_GBK" w:cs="Times New Roman"/>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七、国有资产信息</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秦皇岛北戴河新区发展改革局本级上年末固定资产金额为0.00万元（详见下表）。本年度拟购置固定资产总额为</w:t>
      </w:r>
      <w:r>
        <w:rPr>
          <w:rFonts w:hint="eastAsia" w:eastAsia="方正仿宋_GBK" w:cs="Times New Roman"/>
          <w:b w:val="0"/>
          <w:color w:val="000000"/>
          <w:sz w:val="28"/>
          <w:lang w:val="en-US" w:eastAsia="zh-CN"/>
        </w:rPr>
        <w:t>1.2</w:t>
      </w:r>
      <w:r>
        <w:rPr>
          <w:rFonts w:hint="default"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7"/>
              <w:rPr>
                <w:rFonts w:hint="default" w:ascii="Times New Roman" w:hAnsi="Times New Roman" w:cs="Times New Roman"/>
              </w:rPr>
            </w:pPr>
            <w:r>
              <w:rPr>
                <w:rFonts w:hint="default" w:ascii="Times New Roman" w:hAnsi="Times New Roman" w:cs="Times New Roman"/>
              </w:rPr>
              <w:t>303001秦皇岛北戴河新区发展改革局本级</w:t>
            </w:r>
          </w:p>
        </w:tc>
        <w:tc>
          <w:tcPr>
            <w:tcW w:w="4933" w:type="dxa"/>
            <w:tcBorders>
              <w:top w:val="single" w:color="FFFFFF" w:sz="6" w:space="0"/>
              <w:left w:val="single" w:color="FFFFFF" w:sz="6" w:space="0"/>
              <w:right w:val="single" w:color="FFFFFF" w:sz="6" w:space="0"/>
            </w:tcBorders>
            <w:vAlign w:val="center"/>
          </w:tcPr>
          <w:p>
            <w:pPr>
              <w:pStyle w:val="6"/>
              <w:rPr>
                <w:rFonts w:hint="default" w:ascii="Times New Roman" w:hAnsi="Times New Roman" w:cs="Times New Roman"/>
              </w:rPr>
            </w:pPr>
            <w:r>
              <w:rPr>
                <w:rFonts w:hint="default" w:ascii="Times New Roman" w:hAnsi="Times New Roman" w:cs="Times New Roman"/>
              </w:rPr>
              <w:t>截止时间：2022-12-31</w:t>
            </w:r>
          </w:p>
        </w:tc>
        <w:tc>
          <w:tcPr>
            <w:tcW w:w="4933" w:type="dxa"/>
            <w:tcBorders>
              <w:top w:val="single" w:color="FFFFFF" w:sz="6" w:space="0"/>
              <w:left w:val="single" w:color="FFFFFF" w:sz="6" w:space="0"/>
              <w:right w:val="single" w:color="FFFFFF" w:sz="6" w:space="0"/>
            </w:tcBorders>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rPr>
                <w:rFonts w:hint="default" w:ascii="Times New Roman" w:hAnsi="Times New Roman" w:cs="Times New Roman"/>
              </w:rPr>
            </w:pPr>
            <w:r>
              <w:rPr>
                <w:rFonts w:hint="default" w:ascii="Times New Roman" w:hAnsi="Times New Roman" w:cs="Times New Roman"/>
              </w:rPr>
              <w:t>项   目</w:t>
            </w:r>
          </w:p>
        </w:tc>
        <w:tc>
          <w:tcPr>
            <w:tcW w:w="4933" w:type="dxa"/>
            <w:vAlign w:val="center"/>
          </w:tcPr>
          <w:p>
            <w:pPr>
              <w:pStyle w:val="7"/>
              <w:rPr>
                <w:rFonts w:hint="default" w:ascii="Times New Roman" w:hAnsi="Times New Roman" w:cs="Times New Roman"/>
              </w:rPr>
            </w:pPr>
            <w:r>
              <w:rPr>
                <w:rFonts w:hint="default" w:ascii="Times New Roman" w:hAnsi="Times New Roman" w:cs="Times New Roman"/>
              </w:rPr>
              <w:t>数量</w:t>
            </w:r>
          </w:p>
        </w:tc>
        <w:tc>
          <w:tcPr>
            <w:tcW w:w="4933" w:type="dxa"/>
            <w:vAlign w:val="center"/>
          </w:tcPr>
          <w:p>
            <w:pPr>
              <w:pStyle w:val="7"/>
              <w:rPr>
                <w:rFonts w:hint="default" w:ascii="Times New Roman" w:hAnsi="Times New Roman" w:cs="Times New Roman"/>
              </w:rPr>
            </w:pPr>
            <w:r>
              <w:rPr>
                <w:rFonts w:hint="default" w:ascii="Times New Roman" w:hAnsi="Times New Roman"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ind w:firstLine="0" w:firstLineChars="0"/>
              <w:rPr>
                <w:rFonts w:hint="default" w:ascii="Times New Roman" w:hAnsi="Times New Roman" w:cs="Times New Roman"/>
              </w:rPr>
            </w:pPr>
            <w:r>
              <w:rPr>
                <w:rFonts w:hint="default" w:ascii="Times New Roman" w:hAnsi="Times New Roman" w:cs="Times New Roman"/>
                <w:lang w:val="en-US" w:eastAsia="zh-CN"/>
              </w:rPr>
              <w:t>1、房屋</w:t>
            </w:r>
          </w:p>
        </w:tc>
        <w:tc>
          <w:tcPr>
            <w:tcW w:w="4933" w:type="dxa"/>
            <w:vAlign w:val="center"/>
          </w:tcPr>
          <w:p>
            <w:pPr>
              <w:pStyle w:val="8"/>
              <w:ind w:firstLine="0" w:firstLineChars="0"/>
              <w:jc w:val="center"/>
              <w:rPr>
                <w:rFonts w:hint="default" w:ascii="Times New Roman" w:hAnsi="Times New Roman" w:cs="Times New Roman"/>
              </w:rPr>
            </w:pPr>
            <w:r>
              <w:rPr>
                <w:rFonts w:hint="default" w:ascii="Times New Roman" w:hAnsi="Times New Roman" w:cs="Times New Roman"/>
                <w:lang w:val="en-US" w:eastAsia="zh-CN"/>
              </w:rPr>
              <w:t>0</w:t>
            </w:r>
          </w:p>
        </w:tc>
        <w:tc>
          <w:tcPr>
            <w:tcW w:w="4933" w:type="dxa"/>
            <w:vAlign w:val="center"/>
          </w:tcPr>
          <w:p>
            <w:pPr>
              <w:pStyle w:val="10"/>
              <w:ind w:firstLine="0" w:firstLineChars="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ind w:firstLine="0" w:firstLineChars="0"/>
              <w:rPr>
                <w:rFonts w:hint="default" w:ascii="Times New Roman" w:hAnsi="Times New Roman" w:cs="Times New Roman"/>
              </w:rPr>
            </w:pPr>
            <w:r>
              <w:rPr>
                <w:rFonts w:hint="default" w:ascii="Times New Roman" w:hAnsi="Times New Roman" w:cs="Times New Roman"/>
                <w:lang w:val="en-US" w:eastAsia="zh-CN"/>
              </w:rPr>
              <w:t>2、车辆（台、两）</w:t>
            </w:r>
          </w:p>
        </w:tc>
        <w:tc>
          <w:tcPr>
            <w:tcW w:w="4933" w:type="dxa"/>
            <w:vAlign w:val="center"/>
          </w:tcPr>
          <w:p>
            <w:pPr>
              <w:pStyle w:val="8"/>
              <w:ind w:firstLine="0" w:firstLineChars="0"/>
              <w:jc w:val="center"/>
              <w:rPr>
                <w:rFonts w:hint="default" w:ascii="Times New Roman" w:hAnsi="Times New Roman" w:cs="Times New Roman"/>
              </w:rPr>
            </w:pPr>
            <w:r>
              <w:rPr>
                <w:rFonts w:hint="default" w:ascii="Times New Roman" w:hAnsi="Times New Roman" w:cs="Times New Roman"/>
                <w:lang w:val="en-US" w:eastAsia="zh-CN"/>
              </w:rPr>
              <w:t>1</w:t>
            </w:r>
          </w:p>
        </w:tc>
        <w:tc>
          <w:tcPr>
            <w:tcW w:w="4933" w:type="dxa"/>
            <w:vAlign w:val="center"/>
          </w:tcPr>
          <w:p>
            <w:pPr>
              <w:pStyle w:val="10"/>
              <w:ind w:firstLine="0" w:firstLineChars="0"/>
              <w:jc w:val="center"/>
              <w:rPr>
                <w:rFonts w:hint="default" w:ascii="Times New Roman" w:hAnsi="Times New Roman" w:cs="Times New Roman"/>
              </w:rPr>
            </w:pPr>
            <w:r>
              <w:rPr>
                <w:rFonts w:hint="default" w:ascii="Times New Roman" w:hAnsi="Times New Roman" w:cs="Times New Roman"/>
                <w:lang w:val="en-US" w:eastAsia="zh-CN"/>
              </w:rPr>
              <w:t>9.3133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pStyle w:val="9"/>
              <w:ind w:firstLine="0" w:firstLineChars="0"/>
              <w:rPr>
                <w:rFonts w:hint="default" w:ascii="Times New Roman" w:hAnsi="Times New Roman" w:cs="Times New Roman"/>
              </w:rPr>
            </w:pPr>
            <w:r>
              <w:rPr>
                <w:rFonts w:hint="default" w:ascii="Times New Roman" w:hAnsi="Times New Roman" w:cs="Times New Roman"/>
                <w:lang w:val="en-US" w:eastAsia="zh-CN"/>
              </w:rPr>
              <w:t>3、其他固定资产</w:t>
            </w:r>
          </w:p>
        </w:tc>
        <w:tc>
          <w:tcPr>
            <w:tcW w:w="4933" w:type="dxa"/>
            <w:vAlign w:val="center"/>
          </w:tcPr>
          <w:p>
            <w:pPr>
              <w:pStyle w:val="8"/>
              <w:ind w:firstLine="0" w:firstLineChars="0"/>
              <w:jc w:val="center"/>
              <w:rPr>
                <w:rFonts w:hint="default" w:ascii="Times New Roman" w:hAnsi="Times New Roman" w:cs="Times New Roman"/>
              </w:rPr>
            </w:pPr>
            <w:r>
              <w:rPr>
                <w:rFonts w:hint="default" w:ascii="Times New Roman" w:hAnsi="Times New Roman" w:cs="Times New Roman"/>
                <w:lang w:val="en-US" w:eastAsia="zh-CN"/>
              </w:rPr>
              <w:t>2</w:t>
            </w:r>
            <w:r>
              <w:rPr>
                <w:rFonts w:hint="eastAsia" w:ascii="Times New Roman" w:hAnsi="Times New Roman" w:cs="Times New Roman"/>
                <w:lang w:val="en-US" w:eastAsia="zh-CN"/>
              </w:rPr>
              <w:t>93</w:t>
            </w:r>
          </w:p>
        </w:tc>
        <w:tc>
          <w:tcPr>
            <w:tcW w:w="4933" w:type="dxa"/>
            <w:vAlign w:val="center"/>
          </w:tcPr>
          <w:p>
            <w:pPr>
              <w:pStyle w:val="10"/>
              <w:ind w:firstLine="0" w:firstLineChars="0"/>
              <w:jc w:val="center"/>
              <w:rPr>
                <w:rFonts w:hint="default" w:ascii="Times New Roman" w:hAnsi="Times New Roman" w:cs="Times New Roman"/>
              </w:rPr>
            </w:pPr>
            <w:r>
              <w:rPr>
                <w:rFonts w:hint="eastAsia" w:ascii="Times New Roman" w:hAnsi="Times New Roman" w:cs="Times New Roman"/>
                <w:lang w:val="en-US" w:eastAsia="zh-CN"/>
              </w:rPr>
              <w:t>53.17945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ind w:firstLine="0" w:firstLineChars="0"/>
              <w:rPr>
                <w:rFonts w:hint="default" w:ascii="Times New Roman" w:hAnsi="Times New Roman" w:cs="Times New Roman"/>
              </w:rPr>
            </w:pPr>
            <w:r>
              <w:rPr>
                <w:rFonts w:hint="default" w:ascii="Times New Roman" w:hAnsi="Times New Roman" w:cs="Times New Roman"/>
                <w:lang w:val="en-US" w:eastAsia="zh-CN"/>
              </w:rPr>
              <w:t>4、无形资产</w:t>
            </w:r>
          </w:p>
        </w:tc>
        <w:tc>
          <w:tcPr>
            <w:tcW w:w="4933" w:type="dxa"/>
            <w:vAlign w:val="center"/>
          </w:tcPr>
          <w:p>
            <w:pPr>
              <w:pStyle w:val="8"/>
              <w:ind w:firstLine="0" w:firstLineChars="0"/>
              <w:jc w:val="center"/>
              <w:rPr>
                <w:rFonts w:hint="default" w:ascii="Times New Roman" w:hAnsi="Times New Roman" w:cs="Times New Roman"/>
              </w:rPr>
            </w:pPr>
            <w:r>
              <w:rPr>
                <w:rFonts w:hint="default" w:ascii="Times New Roman" w:hAnsi="Times New Roman" w:cs="Times New Roman"/>
                <w:lang w:val="en-US" w:eastAsia="zh-CN"/>
              </w:rPr>
              <w:t>1</w:t>
            </w:r>
          </w:p>
        </w:tc>
        <w:tc>
          <w:tcPr>
            <w:tcW w:w="4933" w:type="dxa"/>
            <w:vAlign w:val="center"/>
          </w:tcPr>
          <w:p>
            <w:pPr>
              <w:pStyle w:val="10"/>
              <w:ind w:firstLine="0" w:firstLineChars="0"/>
              <w:jc w:val="center"/>
              <w:rPr>
                <w:rFonts w:hint="default" w:ascii="Times New Roman" w:hAnsi="Times New Roman" w:cs="Times New Roman"/>
              </w:rPr>
            </w:pPr>
            <w:r>
              <w:rPr>
                <w:rFonts w:hint="default" w:ascii="Times New Roman" w:hAnsi="Times New Roman" w:cs="Times New Roman"/>
                <w:lang w:val="en-US" w:eastAsia="zh-CN"/>
              </w:rPr>
              <w:t>0.33</w:t>
            </w:r>
          </w:p>
        </w:tc>
      </w:tr>
    </w:tbl>
    <w:p>
      <w:pPr>
        <w:spacing w:before="0" w:after="0"/>
        <w:ind w:firstLine="64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八、名词解释</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1、</w:t>
      </w:r>
      <w:r>
        <w:rPr>
          <w:rFonts w:hint="default" w:ascii="Times New Roman" w:hAnsi="Times New Roman" w:eastAsia="方正仿宋_GBK" w:cs="Times New Roman"/>
          <w:b/>
          <w:color w:val="000000"/>
          <w:sz w:val="28"/>
        </w:rPr>
        <w:t>一般公共预算拨款收入：</w:t>
      </w:r>
      <w:r>
        <w:rPr>
          <w:rFonts w:hint="default"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hint="default"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w:t>
      </w:r>
      <w:r>
        <w:rPr>
          <w:rFonts w:hint="default" w:ascii="Times New Roman" w:hAnsi="Times New Roman" w:eastAsia="方正仿宋_GBK" w:cs="Times New Roman"/>
          <w:b/>
          <w:color w:val="000000"/>
          <w:sz w:val="28"/>
        </w:rPr>
        <w:t>事业收入：</w:t>
      </w:r>
      <w:r>
        <w:rPr>
          <w:rFonts w:hint="default"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3、</w:t>
      </w:r>
      <w:r>
        <w:rPr>
          <w:rFonts w:hint="default" w:ascii="Times New Roman" w:hAnsi="Times New Roman" w:eastAsia="方正仿宋_GBK" w:cs="Times New Roman"/>
          <w:b/>
          <w:color w:val="000000"/>
          <w:sz w:val="28"/>
        </w:rPr>
        <w:t>其他收入：</w:t>
      </w:r>
      <w:r>
        <w:rPr>
          <w:rFonts w:hint="default"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4、</w:t>
      </w:r>
      <w:r>
        <w:rPr>
          <w:rFonts w:hint="default" w:ascii="Times New Roman" w:hAnsi="Times New Roman" w:eastAsia="方正仿宋_GBK" w:cs="Times New Roman"/>
          <w:b/>
          <w:color w:val="000000"/>
          <w:sz w:val="28"/>
        </w:rPr>
        <w:t>基本支出：</w:t>
      </w:r>
      <w:r>
        <w:rPr>
          <w:rFonts w:hint="default"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5、</w:t>
      </w:r>
      <w:r>
        <w:rPr>
          <w:rFonts w:hint="default" w:ascii="Times New Roman" w:hAnsi="Times New Roman" w:eastAsia="方正仿宋_GBK" w:cs="Times New Roman"/>
          <w:b/>
          <w:color w:val="000000"/>
          <w:sz w:val="28"/>
        </w:rPr>
        <w:t>项目支出：</w:t>
      </w:r>
      <w:r>
        <w:rPr>
          <w:rFonts w:hint="default"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6、</w:t>
      </w:r>
      <w:r>
        <w:rPr>
          <w:rFonts w:hint="default" w:ascii="Times New Roman" w:hAnsi="Times New Roman" w:eastAsia="方正仿宋_GBK" w:cs="Times New Roman"/>
          <w:b/>
          <w:color w:val="000000"/>
          <w:sz w:val="28"/>
        </w:rPr>
        <w:t>上缴上级支出：</w:t>
      </w:r>
      <w:r>
        <w:rPr>
          <w:rFonts w:hint="default"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7、</w:t>
      </w:r>
      <w:r>
        <w:rPr>
          <w:rFonts w:hint="default" w:ascii="Times New Roman" w:hAnsi="Times New Roman" w:eastAsia="方正仿宋_GBK" w:cs="Times New Roman"/>
          <w:b/>
          <w:color w:val="000000"/>
          <w:sz w:val="28"/>
        </w:rPr>
        <w:t>“三公”经费：</w:t>
      </w:r>
      <w:r>
        <w:rPr>
          <w:rFonts w:hint="default"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hint="default"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8、</w:t>
      </w:r>
      <w:r>
        <w:rPr>
          <w:rFonts w:hint="default" w:ascii="Times New Roman" w:hAnsi="Times New Roman" w:eastAsia="方正仿宋_GBK" w:cs="Times New Roman"/>
          <w:b/>
          <w:color w:val="000000"/>
          <w:sz w:val="28"/>
        </w:rPr>
        <w:t>机关运行费：</w:t>
      </w:r>
      <w:r>
        <w:rPr>
          <w:rFonts w:hint="default"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9、</w:t>
      </w:r>
      <w:r>
        <w:rPr>
          <w:rFonts w:hint="default" w:ascii="Times New Roman" w:hAnsi="Times New Roman" w:eastAsia="方正仿宋_GBK" w:cs="Times New Roman"/>
          <w:b/>
          <w:color w:val="000000"/>
          <w:sz w:val="28"/>
        </w:rPr>
        <w:t>上年结转：</w:t>
      </w:r>
      <w:r>
        <w:rPr>
          <w:rFonts w:hint="default"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10、</w:t>
      </w:r>
      <w:r>
        <w:rPr>
          <w:rFonts w:hint="default" w:ascii="Times New Roman" w:hAnsi="Times New Roman" w:eastAsia="方正仿宋_GBK" w:cs="Times New Roman"/>
          <w:b/>
          <w:color w:val="000000"/>
          <w:sz w:val="28"/>
        </w:rPr>
        <w:t>事业单位经营支出：</w:t>
      </w:r>
      <w:r>
        <w:rPr>
          <w:rFonts w:hint="default"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九、其他需要说明的事项</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NjE5OTI4OGY0MTI1ZTFkOTYwYTE0MTUxYzQ3N2YifQ=="/>
  </w:docVars>
  <w:rsids>
    <w:rsidRoot w:val="5F6F2FEF"/>
    <w:rsid w:val="20C40476"/>
    <w:rsid w:val="4410166E"/>
    <w:rsid w:val="4D8962FD"/>
    <w:rsid w:val="4E6C445C"/>
    <w:rsid w:val="514C51A3"/>
    <w:rsid w:val="5F6F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宋体"/>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9591</Words>
  <Characters>12151</Characters>
  <Lines>0</Lines>
  <Paragraphs>0</Paragraphs>
  <TotalTime>1</TotalTime>
  <ScaleCrop>false</ScaleCrop>
  <LinksUpToDate>false</LinksUpToDate>
  <CharactersWithSpaces>12316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2023-08-02T08:03:00Z</dcterms:created>
  <dc:creator>XQZW</dc:creator>
  <cp:lastModifiedBy>Alexa</cp:lastModifiedBy>
  <dcterms:modified xsi:type="dcterms:W3CDTF">2024-09-05T06:07:00Z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C26C1883C1B544699F56932D7E8A441A_13</vt:lpwstr>
  </property>
</Properties>
</file>