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一、秦皇岛北戴河新区留守营管理处本级收支预算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一、秦皇岛北戴河新区留守营管理处本级收支预算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1378.83</w:t>
            </w:r>
          </w:p>
        </w:tc>
        <w:tc>
          <w:tcPr>
            <w:tcW w:w="4535" w:type="dxa"/>
            <w:vAlign w:val="center"/>
          </w:tcPr>
          <w:p>
            <w:pPr>
              <w:pStyle w:val="12"/>
            </w:pPr>
            <w:r>
              <w:t>一、一般公共服务支出</w:t>
            </w:r>
          </w:p>
        </w:tc>
        <w:tc>
          <w:tcPr>
            <w:tcW w:w="2126" w:type="dxa"/>
            <w:vAlign w:val="center"/>
          </w:tcPr>
          <w:p>
            <w:pPr>
              <w:pStyle w:val="11"/>
            </w:pPr>
            <w:r>
              <w:t>779.24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63.31</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127.58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67.70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382.07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1442.14</w:t>
            </w:r>
          </w:p>
        </w:tc>
        <w:tc>
          <w:tcPr>
            <w:tcW w:w="4535" w:type="dxa"/>
            <w:vAlign w:val="center"/>
          </w:tcPr>
          <w:p>
            <w:pPr>
              <w:pStyle w:val="14"/>
            </w:pPr>
            <w:r>
              <w:t>本年支出合计</w:t>
            </w:r>
          </w:p>
        </w:tc>
        <w:tc>
          <w:tcPr>
            <w:tcW w:w="2126" w:type="dxa"/>
            <w:vAlign w:val="center"/>
          </w:tcPr>
          <w:p>
            <w:pPr>
              <w:pStyle w:val="15"/>
            </w:pPr>
            <w:r>
              <w:t>1493.05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50.91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1493.05</w:t>
            </w:r>
          </w:p>
        </w:tc>
        <w:tc>
          <w:tcPr>
            <w:tcW w:w="4535" w:type="dxa"/>
            <w:vAlign w:val="center"/>
          </w:tcPr>
          <w:p>
            <w:pPr>
              <w:pStyle w:val="14"/>
            </w:pPr>
            <w:r>
              <w:t>支出总计</w:t>
            </w:r>
          </w:p>
        </w:tc>
        <w:tc>
          <w:tcPr>
            <w:tcW w:w="2126" w:type="dxa"/>
            <w:vAlign w:val="center"/>
          </w:tcPr>
          <w:p>
            <w:pPr>
              <w:pStyle w:val="15"/>
            </w:pPr>
            <w:r>
              <w:t>1493.05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1493.05</w:t>
            </w:r>
          </w:p>
        </w:tc>
        <w:tc>
          <w:tcPr>
            <w:tcW w:w="1134" w:type="dxa"/>
            <w:vAlign w:val="center"/>
          </w:tcPr>
          <w:p>
            <w:pPr>
              <w:pStyle w:val="15"/>
            </w:pPr>
            <w:r>
              <w:t>1442.14</w:t>
            </w:r>
          </w:p>
        </w:tc>
        <w:tc>
          <w:tcPr>
            <w:tcW w:w="1134" w:type="dxa"/>
            <w:vAlign w:val="center"/>
          </w:tcPr>
          <w:p>
            <w:pPr>
              <w:pStyle w:val="15"/>
            </w:pPr>
            <w:r>
              <w:t>1442.14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779.24</w:t>
            </w:r>
          </w:p>
        </w:tc>
        <w:tc>
          <w:tcPr>
            <w:tcW w:w="1134" w:type="dxa"/>
            <w:vAlign w:val="center"/>
          </w:tcPr>
          <w:p>
            <w:pPr>
              <w:pStyle w:val="11"/>
            </w:pPr>
            <w:r>
              <w:t>779.24</w:t>
            </w:r>
          </w:p>
        </w:tc>
        <w:tc>
          <w:tcPr>
            <w:tcW w:w="1134" w:type="dxa"/>
            <w:vAlign w:val="center"/>
          </w:tcPr>
          <w:p>
            <w:pPr>
              <w:pStyle w:val="11"/>
            </w:pPr>
            <w:r>
              <w:t>779.24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766.24</w:t>
            </w:r>
          </w:p>
        </w:tc>
        <w:tc>
          <w:tcPr>
            <w:tcW w:w="1134" w:type="dxa"/>
            <w:vAlign w:val="center"/>
          </w:tcPr>
          <w:p>
            <w:pPr>
              <w:pStyle w:val="11"/>
            </w:pPr>
            <w:r>
              <w:t>766.24</w:t>
            </w:r>
          </w:p>
        </w:tc>
        <w:tc>
          <w:tcPr>
            <w:tcW w:w="1134" w:type="dxa"/>
            <w:vAlign w:val="center"/>
          </w:tcPr>
          <w:p>
            <w:pPr>
              <w:pStyle w:val="11"/>
            </w:pPr>
            <w:r>
              <w:t>766.24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2010303</w:t>
            </w:r>
          </w:p>
        </w:tc>
        <w:tc>
          <w:tcPr>
            <w:tcW w:w="1559" w:type="dxa"/>
            <w:vAlign w:val="center"/>
          </w:tcPr>
          <w:p>
            <w:pPr>
              <w:pStyle w:val="12"/>
            </w:pPr>
            <w:r>
              <w:t>机关服务</w:t>
            </w:r>
          </w:p>
        </w:tc>
        <w:tc>
          <w:tcPr>
            <w:tcW w:w="1134" w:type="dxa"/>
            <w:vAlign w:val="center"/>
          </w:tcPr>
          <w:p>
            <w:pPr>
              <w:pStyle w:val="11"/>
            </w:pPr>
            <w:r>
              <w:t>37.50</w:t>
            </w:r>
          </w:p>
        </w:tc>
        <w:tc>
          <w:tcPr>
            <w:tcW w:w="1134" w:type="dxa"/>
            <w:vAlign w:val="center"/>
          </w:tcPr>
          <w:p>
            <w:pPr>
              <w:pStyle w:val="11"/>
            </w:pPr>
            <w:r>
              <w:t>37.50</w:t>
            </w:r>
          </w:p>
        </w:tc>
        <w:tc>
          <w:tcPr>
            <w:tcW w:w="1134" w:type="dxa"/>
            <w:vAlign w:val="center"/>
          </w:tcPr>
          <w:p>
            <w:pPr>
              <w:pStyle w:val="11"/>
            </w:pPr>
            <w:r>
              <w:t>37.50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728.74</w:t>
            </w:r>
          </w:p>
        </w:tc>
        <w:tc>
          <w:tcPr>
            <w:tcW w:w="1134" w:type="dxa"/>
            <w:vAlign w:val="center"/>
          </w:tcPr>
          <w:p>
            <w:pPr>
              <w:pStyle w:val="11"/>
            </w:pPr>
            <w:r>
              <w:t>728.74</w:t>
            </w:r>
          </w:p>
        </w:tc>
        <w:tc>
          <w:tcPr>
            <w:tcW w:w="1134" w:type="dxa"/>
            <w:vAlign w:val="center"/>
          </w:tcPr>
          <w:p>
            <w:pPr>
              <w:pStyle w:val="11"/>
            </w:pPr>
            <w:r>
              <w:t>728.74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3.75</w:t>
            </w:r>
          </w:p>
        </w:tc>
        <w:tc>
          <w:tcPr>
            <w:tcW w:w="1134" w:type="dxa"/>
            <w:vAlign w:val="center"/>
          </w:tcPr>
          <w:p>
            <w:pPr>
              <w:pStyle w:val="11"/>
            </w:pPr>
            <w:r>
              <w:t>3.75</w:t>
            </w:r>
          </w:p>
        </w:tc>
        <w:tc>
          <w:tcPr>
            <w:tcW w:w="1134" w:type="dxa"/>
            <w:vAlign w:val="center"/>
          </w:tcPr>
          <w:p>
            <w:pPr>
              <w:pStyle w:val="11"/>
            </w:pPr>
            <w:r>
              <w:t>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3.25</w:t>
            </w:r>
          </w:p>
        </w:tc>
        <w:tc>
          <w:tcPr>
            <w:tcW w:w="1134" w:type="dxa"/>
            <w:vAlign w:val="center"/>
          </w:tcPr>
          <w:p>
            <w:pPr>
              <w:pStyle w:val="11"/>
            </w:pPr>
            <w:r>
              <w:t>3.25</w:t>
            </w:r>
          </w:p>
        </w:tc>
        <w:tc>
          <w:tcPr>
            <w:tcW w:w="1134" w:type="dxa"/>
            <w:vAlign w:val="center"/>
          </w:tcPr>
          <w:p>
            <w:pPr>
              <w:pStyle w:val="11"/>
            </w:pPr>
            <w:r>
              <w:t>3.25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3.25</w:t>
            </w:r>
          </w:p>
        </w:tc>
        <w:tc>
          <w:tcPr>
            <w:tcW w:w="1134" w:type="dxa"/>
            <w:vAlign w:val="center"/>
          </w:tcPr>
          <w:p>
            <w:pPr>
              <w:pStyle w:val="11"/>
            </w:pPr>
            <w:r>
              <w:t>3.25</w:t>
            </w:r>
          </w:p>
        </w:tc>
        <w:tc>
          <w:tcPr>
            <w:tcW w:w="1134" w:type="dxa"/>
            <w:vAlign w:val="center"/>
          </w:tcPr>
          <w:p>
            <w:pPr>
              <w:pStyle w:val="11"/>
            </w:pPr>
            <w:r>
              <w:t>3.25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127.58</w:t>
            </w:r>
          </w:p>
        </w:tc>
        <w:tc>
          <w:tcPr>
            <w:tcW w:w="1134" w:type="dxa"/>
            <w:vAlign w:val="center"/>
          </w:tcPr>
          <w:p>
            <w:pPr>
              <w:pStyle w:val="11"/>
            </w:pPr>
            <w:r>
              <w:t>127.58</w:t>
            </w:r>
          </w:p>
        </w:tc>
        <w:tc>
          <w:tcPr>
            <w:tcW w:w="1134" w:type="dxa"/>
            <w:vAlign w:val="center"/>
          </w:tcPr>
          <w:p>
            <w:pPr>
              <w:pStyle w:val="11"/>
            </w:pPr>
            <w:r>
              <w:t>127.58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127.34</w:t>
            </w:r>
          </w:p>
        </w:tc>
        <w:tc>
          <w:tcPr>
            <w:tcW w:w="1134" w:type="dxa"/>
            <w:vAlign w:val="center"/>
          </w:tcPr>
          <w:p>
            <w:pPr>
              <w:pStyle w:val="11"/>
            </w:pPr>
            <w:r>
              <w:t>127.34</w:t>
            </w:r>
          </w:p>
        </w:tc>
        <w:tc>
          <w:tcPr>
            <w:tcW w:w="1134" w:type="dxa"/>
            <w:vAlign w:val="center"/>
          </w:tcPr>
          <w:p>
            <w:pPr>
              <w:pStyle w:val="11"/>
            </w:pPr>
            <w:r>
              <w:t>127.34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37.10</w:t>
            </w:r>
          </w:p>
        </w:tc>
        <w:tc>
          <w:tcPr>
            <w:tcW w:w="1134" w:type="dxa"/>
            <w:vAlign w:val="center"/>
          </w:tcPr>
          <w:p>
            <w:pPr>
              <w:pStyle w:val="11"/>
            </w:pPr>
            <w:r>
              <w:t>37.10</w:t>
            </w:r>
          </w:p>
        </w:tc>
        <w:tc>
          <w:tcPr>
            <w:tcW w:w="1134" w:type="dxa"/>
            <w:vAlign w:val="center"/>
          </w:tcPr>
          <w:p>
            <w:pPr>
              <w:pStyle w:val="11"/>
            </w:pPr>
            <w:r>
              <w:t>37.10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78.91</w:t>
            </w:r>
          </w:p>
        </w:tc>
        <w:tc>
          <w:tcPr>
            <w:tcW w:w="1134" w:type="dxa"/>
            <w:vAlign w:val="center"/>
          </w:tcPr>
          <w:p>
            <w:pPr>
              <w:pStyle w:val="11"/>
            </w:pPr>
            <w:r>
              <w:t>78.91</w:t>
            </w:r>
          </w:p>
        </w:tc>
        <w:tc>
          <w:tcPr>
            <w:tcW w:w="1134" w:type="dxa"/>
            <w:vAlign w:val="center"/>
          </w:tcPr>
          <w:p>
            <w:pPr>
              <w:pStyle w:val="11"/>
            </w:pPr>
            <w:r>
              <w:t>78.91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11.34</w:t>
            </w:r>
          </w:p>
        </w:tc>
        <w:tc>
          <w:tcPr>
            <w:tcW w:w="1134" w:type="dxa"/>
            <w:vAlign w:val="center"/>
          </w:tcPr>
          <w:p>
            <w:pPr>
              <w:pStyle w:val="11"/>
            </w:pPr>
            <w:r>
              <w:t>11.34</w:t>
            </w:r>
          </w:p>
        </w:tc>
        <w:tc>
          <w:tcPr>
            <w:tcW w:w="1134" w:type="dxa"/>
            <w:vAlign w:val="center"/>
          </w:tcPr>
          <w:p>
            <w:pPr>
              <w:pStyle w:val="11"/>
            </w:pPr>
            <w:r>
              <w:t>11.34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2081099</w:t>
            </w:r>
          </w:p>
        </w:tc>
        <w:tc>
          <w:tcPr>
            <w:tcW w:w="1559" w:type="dxa"/>
            <w:vAlign w:val="center"/>
          </w:tcPr>
          <w:p>
            <w:pPr>
              <w:pStyle w:val="12"/>
            </w:pPr>
            <w:r>
              <w:t>其他社会福利支出</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67.70</w:t>
            </w:r>
          </w:p>
        </w:tc>
        <w:tc>
          <w:tcPr>
            <w:tcW w:w="1134" w:type="dxa"/>
            <w:vAlign w:val="center"/>
          </w:tcPr>
          <w:p>
            <w:pPr>
              <w:pStyle w:val="11"/>
            </w:pPr>
            <w:r>
              <w:t>67.70</w:t>
            </w:r>
          </w:p>
        </w:tc>
        <w:tc>
          <w:tcPr>
            <w:tcW w:w="1134" w:type="dxa"/>
            <w:vAlign w:val="center"/>
          </w:tcPr>
          <w:p>
            <w:pPr>
              <w:pStyle w:val="11"/>
            </w:pPr>
            <w:r>
              <w:t>67.70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67.70</w:t>
            </w:r>
          </w:p>
        </w:tc>
        <w:tc>
          <w:tcPr>
            <w:tcW w:w="1134" w:type="dxa"/>
            <w:vAlign w:val="center"/>
          </w:tcPr>
          <w:p>
            <w:pPr>
              <w:pStyle w:val="11"/>
            </w:pPr>
            <w:r>
              <w:t>67.70</w:t>
            </w:r>
          </w:p>
        </w:tc>
        <w:tc>
          <w:tcPr>
            <w:tcW w:w="1134" w:type="dxa"/>
            <w:vAlign w:val="center"/>
          </w:tcPr>
          <w:p>
            <w:pPr>
              <w:pStyle w:val="11"/>
            </w:pPr>
            <w:r>
              <w:t>67.70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67.70</w:t>
            </w:r>
          </w:p>
        </w:tc>
        <w:tc>
          <w:tcPr>
            <w:tcW w:w="1134" w:type="dxa"/>
            <w:vAlign w:val="center"/>
          </w:tcPr>
          <w:p>
            <w:pPr>
              <w:pStyle w:val="11"/>
            </w:pPr>
            <w:r>
              <w:t>67.70</w:t>
            </w:r>
          </w:p>
        </w:tc>
        <w:tc>
          <w:tcPr>
            <w:tcW w:w="1134" w:type="dxa"/>
            <w:vAlign w:val="center"/>
          </w:tcPr>
          <w:p>
            <w:pPr>
              <w:pStyle w:val="11"/>
            </w:pPr>
            <w:r>
              <w:t>67.70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63.31</w:t>
            </w:r>
          </w:p>
        </w:tc>
        <w:tc>
          <w:tcPr>
            <w:tcW w:w="1134" w:type="dxa"/>
            <w:vAlign w:val="center"/>
          </w:tcPr>
          <w:p>
            <w:pPr>
              <w:pStyle w:val="11"/>
            </w:pPr>
            <w:r>
              <w:t>63.31</w:t>
            </w:r>
          </w:p>
        </w:tc>
        <w:tc>
          <w:tcPr>
            <w:tcW w:w="1134" w:type="dxa"/>
            <w:vAlign w:val="center"/>
          </w:tcPr>
          <w:p>
            <w:pPr>
              <w:pStyle w:val="11"/>
            </w:pPr>
            <w:r>
              <w:t>63.31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63.31</w:t>
            </w:r>
          </w:p>
        </w:tc>
        <w:tc>
          <w:tcPr>
            <w:tcW w:w="1134" w:type="dxa"/>
            <w:vAlign w:val="center"/>
          </w:tcPr>
          <w:p>
            <w:pPr>
              <w:pStyle w:val="11"/>
            </w:pPr>
            <w:r>
              <w:t>63.31</w:t>
            </w:r>
          </w:p>
        </w:tc>
        <w:tc>
          <w:tcPr>
            <w:tcW w:w="1134" w:type="dxa"/>
            <w:vAlign w:val="center"/>
          </w:tcPr>
          <w:p>
            <w:pPr>
              <w:pStyle w:val="11"/>
            </w:pPr>
            <w:r>
              <w:t>63.31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19.31</w:t>
            </w:r>
          </w:p>
        </w:tc>
        <w:tc>
          <w:tcPr>
            <w:tcW w:w="1134" w:type="dxa"/>
            <w:vAlign w:val="center"/>
          </w:tcPr>
          <w:p>
            <w:pPr>
              <w:pStyle w:val="11"/>
            </w:pPr>
            <w:r>
              <w:t>19.31</w:t>
            </w:r>
          </w:p>
        </w:tc>
        <w:tc>
          <w:tcPr>
            <w:tcW w:w="1134" w:type="dxa"/>
            <w:vAlign w:val="center"/>
          </w:tcPr>
          <w:p>
            <w:pPr>
              <w:pStyle w:val="11"/>
            </w:pPr>
            <w:r>
              <w:t>19.31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382.07</w:t>
            </w:r>
          </w:p>
        </w:tc>
        <w:tc>
          <w:tcPr>
            <w:tcW w:w="1134" w:type="dxa"/>
            <w:vAlign w:val="center"/>
          </w:tcPr>
          <w:p>
            <w:pPr>
              <w:pStyle w:val="11"/>
            </w:pPr>
            <w:r>
              <w:t>331.16</w:t>
            </w:r>
          </w:p>
        </w:tc>
        <w:tc>
          <w:tcPr>
            <w:tcW w:w="1134" w:type="dxa"/>
            <w:vAlign w:val="center"/>
          </w:tcPr>
          <w:p>
            <w:pPr>
              <w:pStyle w:val="11"/>
            </w:pPr>
            <w:r>
              <w:t>331.16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157.56</w:t>
            </w:r>
          </w:p>
        </w:tc>
        <w:tc>
          <w:tcPr>
            <w:tcW w:w="1134" w:type="dxa"/>
            <w:vAlign w:val="center"/>
          </w:tcPr>
          <w:p>
            <w:pPr>
              <w:pStyle w:val="11"/>
            </w:pPr>
            <w:r>
              <w:t>157.56</w:t>
            </w:r>
          </w:p>
        </w:tc>
        <w:tc>
          <w:tcPr>
            <w:tcW w:w="1134" w:type="dxa"/>
            <w:vAlign w:val="center"/>
          </w:tcPr>
          <w:p>
            <w:pPr>
              <w:pStyle w:val="11"/>
            </w:pPr>
            <w:r>
              <w:t>157.56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157.56</w:t>
            </w:r>
          </w:p>
        </w:tc>
        <w:tc>
          <w:tcPr>
            <w:tcW w:w="1134" w:type="dxa"/>
            <w:vAlign w:val="center"/>
          </w:tcPr>
          <w:p>
            <w:pPr>
              <w:pStyle w:val="11"/>
            </w:pPr>
            <w:r>
              <w:t>157.56</w:t>
            </w:r>
          </w:p>
        </w:tc>
        <w:tc>
          <w:tcPr>
            <w:tcW w:w="1134" w:type="dxa"/>
            <w:vAlign w:val="center"/>
          </w:tcPr>
          <w:p>
            <w:pPr>
              <w:pStyle w:val="11"/>
            </w:pPr>
            <w:r>
              <w:t>157.56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223.03</w:t>
            </w:r>
          </w:p>
        </w:tc>
        <w:tc>
          <w:tcPr>
            <w:tcW w:w="1134" w:type="dxa"/>
            <w:vAlign w:val="center"/>
          </w:tcPr>
          <w:p>
            <w:pPr>
              <w:pStyle w:val="11"/>
            </w:pPr>
            <w:r>
              <w:t>173.60</w:t>
            </w:r>
          </w:p>
        </w:tc>
        <w:tc>
          <w:tcPr>
            <w:tcW w:w="1134" w:type="dxa"/>
            <w:vAlign w:val="center"/>
          </w:tcPr>
          <w:p>
            <w:pPr>
              <w:pStyle w:val="11"/>
            </w:pPr>
            <w:r>
              <w:t>173.60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49.43</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173.60</w:t>
            </w:r>
          </w:p>
        </w:tc>
        <w:tc>
          <w:tcPr>
            <w:tcW w:w="1134" w:type="dxa"/>
            <w:vAlign w:val="center"/>
          </w:tcPr>
          <w:p>
            <w:pPr>
              <w:pStyle w:val="11"/>
            </w:pPr>
            <w:r>
              <w:t>173.60</w:t>
            </w:r>
          </w:p>
        </w:tc>
        <w:tc>
          <w:tcPr>
            <w:tcW w:w="1134" w:type="dxa"/>
            <w:vAlign w:val="center"/>
          </w:tcPr>
          <w:p>
            <w:pPr>
              <w:pStyle w:val="11"/>
            </w:pPr>
            <w:r>
              <w:t>173.60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49.43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64.10</w:t>
            </w:r>
          </w:p>
        </w:tc>
        <w:tc>
          <w:tcPr>
            <w:tcW w:w="1134" w:type="dxa"/>
            <w:vAlign w:val="center"/>
          </w:tcPr>
          <w:p>
            <w:pPr>
              <w:pStyle w:val="11"/>
            </w:pPr>
            <w:r>
              <w:t>64.10</w:t>
            </w:r>
          </w:p>
        </w:tc>
        <w:tc>
          <w:tcPr>
            <w:tcW w:w="1134" w:type="dxa"/>
            <w:vAlign w:val="center"/>
          </w:tcPr>
          <w:p>
            <w:pPr>
              <w:pStyle w:val="11"/>
            </w:pPr>
            <w:r>
              <w:t>64.10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64.10</w:t>
            </w:r>
          </w:p>
        </w:tc>
        <w:tc>
          <w:tcPr>
            <w:tcW w:w="1134" w:type="dxa"/>
            <w:vAlign w:val="center"/>
          </w:tcPr>
          <w:p>
            <w:pPr>
              <w:pStyle w:val="11"/>
            </w:pPr>
            <w:r>
              <w:t>64.10</w:t>
            </w:r>
          </w:p>
        </w:tc>
        <w:tc>
          <w:tcPr>
            <w:tcW w:w="1134" w:type="dxa"/>
            <w:vAlign w:val="center"/>
          </w:tcPr>
          <w:p>
            <w:pPr>
              <w:pStyle w:val="11"/>
            </w:pPr>
            <w:r>
              <w:t>64.10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64.10</w:t>
            </w:r>
          </w:p>
        </w:tc>
        <w:tc>
          <w:tcPr>
            <w:tcW w:w="1134" w:type="dxa"/>
            <w:vAlign w:val="center"/>
          </w:tcPr>
          <w:p>
            <w:pPr>
              <w:pStyle w:val="11"/>
            </w:pPr>
            <w:r>
              <w:t>64.10</w:t>
            </w:r>
          </w:p>
        </w:tc>
        <w:tc>
          <w:tcPr>
            <w:tcW w:w="1134" w:type="dxa"/>
            <w:vAlign w:val="center"/>
          </w:tcPr>
          <w:p>
            <w:pPr>
              <w:pStyle w:val="11"/>
            </w:pPr>
            <w:r>
              <w:t>64.10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1493.05</w:t>
            </w:r>
          </w:p>
        </w:tc>
        <w:tc>
          <w:tcPr>
            <w:tcW w:w="1361" w:type="dxa"/>
            <w:vAlign w:val="center"/>
          </w:tcPr>
          <w:p>
            <w:pPr>
              <w:pStyle w:val="15"/>
            </w:pPr>
            <w:r>
              <w:t>927.87</w:t>
            </w:r>
          </w:p>
        </w:tc>
        <w:tc>
          <w:tcPr>
            <w:tcW w:w="1361" w:type="dxa"/>
            <w:vAlign w:val="center"/>
          </w:tcPr>
          <w:p>
            <w:pPr>
              <w:pStyle w:val="15"/>
            </w:pPr>
            <w:r>
              <w:t>565.18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779.24</w:t>
            </w:r>
          </w:p>
        </w:tc>
        <w:tc>
          <w:tcPr>
            <w:tcW w:w="1361" w:type="dxa"/>
            <w:vAlign w:val="center"/>
          </w:tcPr>
          <w:p>
            <w:pPr>
              <w:pStyle w:val="11"/>
            </w:pPr>
            <w:r>
              <w:t>668.72</w:t>
            </w:r>
          </w:p>
        </w:tc>
        <w:tc>
          <w:tcPr>
            <w:tcW w:w="1361" w:type="dxa"/>
            <w:vAlign w:val="center"/>
          </w:tcPr>
          <w:p>
            <w:pPr>
              <w:pStyle w:val="11"/>
            </w:pPr>
            <w:r>
              <w:t>110.52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766.24</w:t>
            </w:r>
          </w:p>
        </w:tc>
        <w:tc>
          <w:tcPr>
            <w:tcW w:w="1361" w:type="dxa"/>
            <w:vAlign w:val="center"/>
          </w:tcPr>
          <w:p>
            <w:pPr>
              <w:pStyle w:val="11"/>
            </w:pPr>
            <w:r>
              <w:t>668.72</w:t>
            </w:r>
          </w:p>
        </w:tc>
        <w:tc>
          <w:tcPr>
            <w:tcW w:w="1361" w:type="dxa"/>
            <w:vAlign w:val="center"/>
          </w:tcPr>
          <w:p>
            <w:pPr>
              <w:pStyle w:val="11"/>
            </w:pPr>
            <w:r>
              <w:t>97.52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2010303</w:t>
            </w:r>
          </w:p>
        </w:tc>
        <w:tc>
          <w:tcPr>
            <w:tcW w:w="4535" w:type="dxa"/>
            <w:vAlign w:val="center"/>
          </w:tcPr>
          <w:p>
            <w:pPr>
              <w:pStyle w:val="12"/>
            </w:pPr>
            <w:r>
              <w:t>机关服务</w:t>
            </w:r>
          </w:p>
        </w:tc>
        <w:tc>
          <w:tcPr>
            <w:tcW w:w="1361" w:type="dxa"/>
            <w:vAlign w:val="center"/>
          </w:tcPr>
          <w:p>
            <w:pPr>
              <w:pStyle w:val="11"/>
            </w:pPr>
            <w:r>
              <w:t>37.50</w:t>
            </w:r>
          </w:p>
        </w:tc>
        <w:tc>
          <w:tcPr>
            <w:tcW w:w="1361" w:type="dxa"/>
            <w:vAlign w:val="center"/>
          </w:tcPr>
          <w:p>
            <w:pPr>
              <w:pStyle w:val="11"/>
            </w:pPr>
          </w:p>
        </w:tc>
        <w:tc>
          <w:tcPr>
            <w:tcW w:w="1361" w:type="dxa"/>
            <w:vAlign w:val="center"/>
          </w:tcPr>
          <w:p>
            <w:pPr>
              <w:pStyle w:val="11"/>
            </w:pPr>
            <w:r>
              <w:t>37.50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728.74</w:t>
            </w:r>
          </w:p>
        </w:tc>
        <w:tc>
          <w:tcPr>
            <w:tcW w:w="1361" w:type="dxa"/>
            <w:vAlign w:val="center"/>
          </w:tcPr>
          <w:p>
            <w:pPr>
              <w:pStyle w:val="11"/>
            </w:pPr>
            <w:r>
              <w:t>668.72</w:t>
            </w:r>
          </w:p>
        </w:tc>
        <w:tc>
          <w:tcPr>
            <w:tcW w:w="1361" w:type="dxa"/>
            <w:vAlign w:val="center"/>
          </w:tcPr>
          <w:p>
            <w:pPr>
              <w:pStyle w:val="11"/>
            </w:pPr>
            <w:r>
              <w:t>60.02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3.75</w:t>
            </w:r>
          </w:p>
        </w:tc>
        <w:tc>
          <w:tcPr>
            <w:tcW w:w="1361" w:type="dxa"/>
            <w:vAlign w:val="center"/>
          </w:tcPr>
          <w:p>
            <w:pPr>
              <w:pStyle w:val="11"/>
            </w:pPr>
          </w:p>
        </w:tc>
        <w:tc>
          <w:tcPr>
            <w:tcW w:w="1361" w:type="dxa"/>
            <w:vAlign w:val="center"/>
          </w:tcPr>
          <w:p>
            <w:pPr>
              <w:pStyle w:val="11"/>
            </w:pPr>
            <w:r>
              <w:t>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3.25</w:t>
            </w:r>
          </w:p>
        </w:tc>
        <w:tc>
          <w:tcPr>
            <w:tcW w:w="1361" w:type="dxa"/>
            <w:vAlign w:val="center"/>
          </w:tcPr>
          <w:p>
            <w:pPr>
              <w:pStyle w:val="11"/>
            </w:pPr>
          </w:p>
        </w:tc>
        <w:tc>
          <w:tcPr>
            <w:tcW w:w="1361" w:type="dxa"/>
            <w:vAlign w:val="center"/>
          </w:tcPr>
          <w:p>
            <w:pPr>
              <w:pStyle w:val="11"/>
            </w:pPr>
            <w:r>
              <w:t>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3.25</w:t>
            </w:r>
          </w:p>
        </w:tc>
        <w:tc>
          <w:tcPr>
            <w:tcW w:w="1361" w:type="dxa"/>
            <w:vAlign w:val="center"/>
          </w:tcPr>
          <w:p>
            <w:pPr>
              <w:pStyle w:val="11"/>
            </w:pPr>
          </w:p>
        </w:tc>
        <w:tc>
          <w:tcPr>
            <w:tcW w:w="1361" w:type="dxa"/>
            <w:vAlign w:val="center"/>
          </w:tcPr>
          <w:p>
            <w:pPr>
              <w:pStyle w:val="11"/>
            </w:pPr>
            <w:r>
              <w:t>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127.58</w:t>
            </w:r>
          </w:p>
        </w:tc>
        <w:tc>
          <w:tcPr>
            <w:tcW w:w="1361" w:type="dxa"/>
            <w:vAlign w:val="center"/>
          </w:tcPr>
          <w:p>
            <w:pPr>
              <w:pStyle w:val="11"/>
            </w:pPr>
            <w:r>
              <w:t>127.34</w:t>
            </w:r>
          </w:p>
        </w:tc>
        <w:tc>
          <w:tcPr>
            <w:tcW w:w="1361" w:type="dxa"/>
            <w:vAlign w:val="center"/>
          </w:tcPr>
          <w:p>
            <w:pPr>
              <w:pStyle w:val="11"/>
            </w:pPr>
            <w:r>
              <w:t>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127.34</w:t>
            </w:r>
          </w:p>
        </w:tc>
        <w:tc>
          <w:tcPr>
            <w:tcW w:w="1361" w:type="dxa"/>
            <w:vAlign w:val="center"/>
          </w:tcPr>
          <w:p>
            <w:pPr>
              <w:pStyle w:val="11"/>
            </w:pPr>
            <w:r>
              <w:t>127.34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37.10</w:t>
            </w:r>
          </w:p>
        </w:tc>
        <w:tc>
          <w:tcPr>
            <w:tcW w:w="1361" w:type="dxa"/>
            <w:vAlign w:val="center"/>
          </w:tcPr>
          <w:p>
            <w:pPr>
              <w:pStyle w:val="11"/>
            </w:pPr>
            <w:r>
              <w:t>37.10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78.91</w:t>
            </w:r>
          </w:p>
        </w:tc>
        <w:tc>
          <w:tcPr>
            <w:tcW w:w="1361" w:type="dxa"/>
            <w:vAlign w:val="center"/>
          </w:tcPr>
          <w:p>
            <w:pPr>
              <w:pStyle w:val="11"/>
            </w:pPr>
            <w:r>
              <w:t>78.91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11.34</w:t>
            </w:r>
          </w:p>
        </w:tc>
        <w:tc>
          <w:tcPr>
            <w:tcW w:w="1361" w:type="dxa"/>
            <w:vAlign w:val="center"/>
          </w:tcPr>
          <w:p>
            <w:pPr>
              <w:pStyle w:val="11"/>
            </w:pPr>
            <w:r>
              <w:t>11.34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0.23</w:t>
            </w:r>
          </w:p>
        </w:tc>
        <w:tc>
          <w:tcPr>
            <w:tcW w:w="1361" w:type="dxa"/>
            <w:vAlign w:val="center"/>
          </w:tcPr>
          <w:p>
            <w:pPr>
              <w:pStyle w:val="11"/>
            </w:pPr>
          </w:p>
        </w:tc>
        <w:tc>
          <w:tcPr>
            <w:tcW w:w="1361" w:type="dxa"/>
            <w:vAlign w:val="center"/>
          </w:tcPr>
          <w:p>
            <w:pPr>
              <w:pStyle w:val="11"/>
            </w:pPr>
            <w:r>
              <w:t>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2081099</w:t>
            </w:r>
          </w:p>
        </w:tc>
        <w:tc>
          <w:tcPr>
            <w:tcW w:w="4535" w:type="dxa"/>
            <w:vAlign w:val="center"/>
          </w:tcPr>
          <w:p>
            <w:pPr>
              <w:pStyle w:val="12"/>
            </w:pPr>
            <w:r>
              <w:t>其他社会福利支出</w:t>
            </w:r>
          </w:p>
        </w:tc>
        <w:tc>
          <w:tcPr>
            <w:tcW w:w="1361" w:type="dxa"/>
            <w:vAlign w:val="center"/>
          </w:tcPr>
          <w:p>
            <w:pPr>
              <w:pStyle w:val="11"/>
            </w:pPr>
            <w:r>
              <w:t>0.23</w:t>
            </w:r>
          </w:p>
        </w:tc>
        <w:tc>
          <w:tcPr>
            <w:tcW w:w="1361" w:type="dxa"/>
            <w:vAlign w:val="center"/>
          </w:tcPr>
          <w:p>
            <w:pPr>
              <w:pStyle w:val="11"/>
            </w:pPr>
          </w:p>
        </w:tc>
        <w:tc>
          <w:tcPr>
            <w:tcW w:w="1361" w:type="dxa"/>
            <w:vAlign w:val="center"/>
          </w:tcPr>
          <w:p>
            <w:pPr>
              <w:pStyle w:val="11"/>
            </w:pPr>
            <w:r>
              <w:t>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67.70</w:t>
            </w:r>
          </w:p>
        </w:tc>
        <w:tc>
          <w:tcPr>
            <w:tcW w:w="1361" w:type="dxa"/>
            <w:vAlign w:val="center"/>
          </w:tcPr>
          <w:p>
            <w:pPr>
              <w:pStyle w:val="11"/>
            </w:pPr>
            <w:r>
              <w:t>67.70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67.70</w:t>
            </w:r>
          </w:p>
        </w:tc>
        <w:tc>
          <w:tcPr>
            <w:tcW w:w="1361" w:type="dxa"/>
            <w:vAlign w:val="center"/>
          </w:tcPr>
          <w:p>
            <w:pPr>
              <w:pStyle w:val="11"/>
            </w:pPr>
            <w:r>
              <w:t>67.70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67.70</w:t>
            </w:r>
          </w:p>
        </w:tc>
        <w:tc>
          <w:tcPr>
            <w:tcW w:w="1361" w:type="dxa"/>
            <w:vAlign w:val="center"/>
          </w:tcPr>
          <w:p>
            <w:pPr>
              <w:pStyle w:val="11"/>
            </w:pPr>
            <w:r>
              <w:t>67.70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63.31</w:t>
            </w:r>
          </w:p>
        </w:tc>
        <w:tc>
          <w:tcPr>
            <w:tcW w:w="1361" w:type="dxa"/>
            <w:vAlign w:val="center"/>
          </w:tcPr>
          <w:p>
            <w:pPr>
              <w:pStyle w:val="11"/>
            </w:pPr>
          </w:p>
        </w:tc>
        <w:tc>
          <w:tcPr>
            <w:tcW w:w="1361" w:type="dxa"/>
            <w:vAlign w:val="center"/>
          </w:tcPr>
          <w:p>
            <w:pPr>
              <w:pStyle w:val="11"/>
            </w:pPr>
            <w:r>
              <w:t>63.31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63.31</w:t>
            </w:r>
          </w:p>
        </w:tc>
        <w:tc>
          <w:tcPr>
            <w:tcW w:w="1361" w:type="dxa"/>
            <w:vAlign w:val="center"/>
          </w:tcPr>
          <w:p>
            <w:pPr>
              <w:pStyle w:val="11"/>
            </w:pPr>
          </w:p>
        </w:tc>
        <w:tc>
          <w:tcPr>
            <w:tcW w:w="1361" w:type="dxa"/>
            <w:vAlign w:val="center"/>
          </w:tcPr>
          <w:p>
            <w:pPr>
              <w:pStyle w:val="11"/>
            </w:pPr>
            <w:r>
              <w:t>63.31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19.31</w:t>
            </w:r>
          </w:p>
        </w:tc>
        <w:tc>
          <w:tcPr>
            <w:tcW w:w="1361" w:type="dxa"/>
            <w:vAlign w:val="center"/>
          </w:tcPr>
          <w:p>
            <w:pPr>
              <w:pStyle w:val="11"/>
            </w:pPr>
          </w:p>
        </w:tc>
        <w:tc>
          <w:tcPr>
            <w:tcW w:w="1361" w:type="dxa"/>
            <w:vAlign w:val="center"/>
          </w:tcPr>
          <w:p>
            <w:pPr>
              <w:pStyle w:val="11"/>
            </w:pPr>
            <w:r>
              <w:t>19.31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382.07</w:t>
            </w:r>
          </w:p>
        </w:tc>
        <w:tc>
          <w:tcPr>
            <w:tcW w:w="1361" w:type="dxa"/>
            <w:vAlign w:val="center"/>
          </w:tcPr>
          <w:p>
            <w:pPr>
              <w:pStyle w:val="11"/>
            </w:pPr>
          </w:p>
        </w:tc>
        <w:tc>
          <w:tcPr>
            <w:tcW w:w="1361" w:type="dxa"/>
            <w:vAlign w:val="center"/>
          </w:tcPr>
          <w:p>
            <w:pPr>
              <w:pStyle w:val="11"/>
            </w:pPr>
            <w:r>
              <w:t>382.07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157.56</w:t>
            </w:r>
          </w:p>
        </w:tc>
        <w:tc>
          <w:tcPr>
            <w:tcW w:w="1361" w:type="dxa"/>
            <w:vAlign w:val="center"/>
          </w:tcPr>
          <w:p>
            <w:pPr>
              <w:pStyle w:val="11"/>
            </w:pPr>
          </w:p>
        </w:tc>
        <w:tc>
          <w:tcPr>
            <w:tcW w:w="1361" w:type="dxa"/>
            <w:vAlign w:val="center"/>
          </w:tcPr>
          <w:p>
            <w:pPr>
              <w:pStyle w:val="11"/>
            </w:pPr>
            <w:r>
              <w:t>157.56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157.56</w:t>
            </w:r>
          </w:p>
        </w:tc>
        <w:tc>
          <w:tcPr>
            <w:tcW w:w="1361" w:type="dxa"/>
            <w:vAlign w:val="center"/>
          </w:tcPr>
          <w:p>
            <w:pPr>
              <w:pStyle w:val="11"/>
            </w:pPr>
          </w:p>
        </w:tc>
        <w:tc>
          <w:tcPr>
            <w:tcW w:w="1361" w:type="dxa"/>
            <w:vAlign w:val="center"/>
          </w:tcPr>
          <w:p>
            <w:pPr>
              <w:pStyle w:val="11"/>
            </w:pPr>
            <w:r>
              <w:t>157.56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1.48</w:t>
            </w:r>
          </w:p>
        </w:tc>
        <w:tc>
          <w:tcPr>
            <w:tcW w:w="1361" w:type="dxa"/>
            <w:vAlign w:val="center"/>
          </w:tcPr>
          <w:p>
            <w:pPr>
              <w:pStyle w:val="11"/>
            </w:pPr>
          </w:p>
        </w:tc>
        <w:tc>
          <w:tcPr>
            <w:tcW w:w="1361" w:type="dxa"/>
            <w:vAlign w:val="center"/>
          </w:tcPr>
          <w:p>
            <w:pPr>
              <w:pStyle w:val="11"/>
            </w:pPr>
            <w:r>
              <w:t>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1.48</w:t>
            </w:r>
          </w:p>
        </w:tc>
        <w:tc>
          <w:tcPr>
            <w:tcW w:w="1361" w:type="dxa"/>
            <w:vAlign w:val="center"/>
          </w:tcPr>
          <w:p>
            <w:pPr>
              <w:pStyle w:val="11"/>
            </w:pPr>
          </w:p>
        </w:tc>
        <w:tc>
          <w:tcPr>
            <w:tcW w:w="1361" w:type="dxa"/>
            <w:vAlign w:val="center"/>
          </w:tcPr>
          <w:p>
            <w:pPr>
              <w:pStyle w:val="11"/>
            </w:pPr>
            <w:r>
              <w:t>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223.03</w:t>
            </w:r>
          </w:p>
        </w:tc>
        <w:tc>
          <w:tcPr>
            <w:tcW w:w="1361" w:type="dxa"/>
            <w:vAlign w:val="center"/>
          </w:tcPr>
          <w:p>
            <w:pPr>
              <w:pStyle w:val="11"/>
            </w:pPr>
          </w:p>
        </w:tc>
        <w:tc>
          <w:tcPr>
            <w:tcW w:w="1361" w:type="dxa"/>
            <w:vAlign w:val="center"/>
          </w:tcPr>
          <w:p>
            <w:pPr>
              <w:pStyle w:val="11"/>
            </w:pPr>
            <w:r>
              <w:t>223.03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173.60</w:t>
            </w:r>
          </w:p>
        </w:tc>
        <w:tc>
          <w:tcPr>
            <w:tcW w:w="1361" w:type="dxa"/>
            <w:vAlign w:val="center"/>
          </w:tcPr>
          <w:p>
            <w:pPr>
              <w:pStyle w:val="11"/>
            </w:pPr>
          </w:p>
        </w:tc>
        <w:tc>
          <w:tcPr>
            <w:tcW w:w="1361" w:type="dxa"/>
            <w:vAlign w:val="center"/>
          </w:tcPr>
          <w:p>
            <w:pPr>
              <w:pStyle w:val="11"/>
            </w:pPr>
            <w:r>
              <w:t>173.60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49.43</w:t>
            </w:r>
          </w:p>
        </w:tc>
        <w:tc>
          <w:tcPr>
            <w:tcW w:w="1361" w:type="dxa"/>
            <w:vAlign w:val="center"/>
          </w:tcPr>
          <w:p>
            <w:pPr>
              <w:pStyle w:val="11"/>
            </w:pPr>
          </w:p>
        </w:tc>
        <w:tc>
          <w:tcPr>
            <w:tcW w:w="1361" w:type="dxa"/>
            <w:vAlign w:val="center"/>
          </w:tcPr>
          <w:p>
            <w:pPr>
              <w:pStyle w:val="11"/>
            </w:pPr>
            <w:r>
              <w:t>49.43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64.10</w:t>
            </w:r>
          </w:p>
        </w:tc>
        <w:tc>
          <w:tcPr>
            <w:tcW w:w="1361" w:type="dxa"/>
            <w:vAlign w:val="center"/>
          </w:tcPr>
          <w:p>
            <w:pPr>
              <w:pStyle w:val="11"/>
            </w:pPr>
            <w:r>
              <w:t>64.10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64.10</w:t>
            </w:r>
          </w:p>
        </w:tc>
        <w:tc>
          <w:tcPr>
            <w:tcW w:w="1361" w:type="dxa"/>
            <w:vAlign w:val="center"/>
          </w:tcPr>
          <w:p>
            <w:pPr>
              <w:pStyle w:val="11"/>
            </w:pPr>
            <w:r>
              <w:t>64.10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64.10</w:t>
            </w:r>
          </w:p>
        </w:tc>
        <w:tc>
          <w:tcPr>
            <w:tcW w:w="1361" w:type="dxa"/>
            <w:vAlign w:val="center"/>
          </w:tcPr>
          <w:p>
            <w:pPr>
              <w:pStyle w:val="11"/>
            </w:pPr>
            <w:r>
              <w:t>64.10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1378.83</w:t>
            </w:r>
          </w:p>
        </w:tc>
        <w:tc>
          <w:tcPr>
            <w:tcW w:w="3402" w:type="dxa"/>
            <w:vAlign w:val="center"/>
          </w:tcPr>
          <w:p>
            <w:pPr>
              <w:pStyle w:val="12"/>
            </w:pPr>
            <w:r>
              <w:t>一、一般公共服务支出</w:t>
            </w:r>
          </w:p>
        </w:tc>
        <w:tc>
          <w:tcPr>
            <w:tcW w:w="1474" w:type="dxa"/>
            <w:vAlign w:val="center"/>
          </w:tcPr>
          <w:p>
            <w:pPr>
              <w:pStyle w:val="11"/>
            </w:pPr>
            <w:r>
              <w:t>779.24</w:t>
            </w:r>
          </w:p>
        </w:tc>
        <w:tc>
          <w:tcPr>
            <w:tcW w:w="1474" w:type="dxa"/>
            <w:vAlign w:val="center"/>
          </w:tcPr>
          <w:p>
            <w:pPr>
              <w:pStyle w:val="11"/>
            </w:pPr>
            <w:r>
              <w:t>779.24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63.31</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3.75</w:t>
            </w:r>
          </w:p>
        </w:tc>
        <w:tc>
          <w:tcPr>
            <w:tcW w:w="1474" w:type="dxa"/>
            <w:vAlign w:val="center"/>
          </w:tcPr>
          <w:p>
            <w:pPr>
              <w:pStyle w:val="11"/>
            </w:pPr>
            <w:r>
              <w:t>3.75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127.58</w:t>
            </w:r>
          </w:p>
        </w:tc>
        <w:tc>
          <w:tcPr>
            <w:tcW w:w="1474" w:type="dxa"/>
            <w:vAlign w:val="center"/>
          </w:tcPr>
          <w:p>
            <w:pPr>
              <w:pStyle w:val="11"/>
            </w:pPr>
            <w:r>
              <w:t>127.58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67.70</w:t>
            </w:r>
          </w:p>
        </w:tc>
        <w:tc>
          <w:tcPr>
            <w:tcW w:w="1474" w:type="dxa"/>
            <w:vAlign w:val="center"/>
          </w:tcPr>
          <w:p>
            <w:pPr>
              <w:pStyle w:val="11"/>
            </w:pPr>
            <w:r>
              <w:t>67.70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5.30</w:t>
            </w:r>
          </w:p>
        </w:tc>
        <w:tc>
          <w:tcPr>
            <w:tcW w:w="1474" w:type="dxa"/>
            <w:vAlign w:val="center"/>
          </w:tcPr>
          <w:p>
            <w:pPr>
              <w:pStyle w:val="11"/>
            </w:pPr>
            <w:r>
              <w:t>5.30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63.31</w:t>
            </w:r>
          </w:p>
        </w:tc>
        <w:tc>
          <w:tcPr>
            <w:tcW w:w="1474" w:type="dxa"/>
            <w:vAlign w:val="center"/>
          </w:tcPr>
          <w:p>
            <w:pPr>
              <w:pStyle w:val="11"/>
            </w:pPr>
          </w:p>
        </w:tc>
        <w:tc>
          <w:tcPr>
            <w:tcW w:w="1474" w:type="dxa"/>
            <w:vAlign w:val="center"/>
          </w:tcPr>
          <w:p>
            <w:pPr>
              <w:pStyle w:val="11"/>
            </w:pPr>
            <w:r>
              <w:t>63.31</w:t>
            </w: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382.07</w:t>
            </w:r>
          </w:p>
        </w:tc>
        <w:tc>
          <w:tcPr>
            <w:tcW w:w="1474" w:type="dxa"/>
            <w:vAlign w:val="center"/>
          </w:tcPr>
          <w:p>
            <w:pPr>
              <w:pStyle w:val="11"/>
            </w:pPr>
            <w:r>
              <w:t>382.07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64.10</w:t>
            </w:r>
          </w:p>
        </w:tc>
        <w:tc>
          <w:tcPr>
            <w:tcW w:w="1474" w:type="dxa"/>
            <w:vAlign w:val="center"/>
          </w:tcPr>
          <w:p>
            <w:pPr>
              <w:pStyle w:val="11"/>
            </w:pPr>
            <w:r>
              <w:t>64.10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1442.14</w:t>
            </w:r>
          </w:p>
        </w:tc>
        <w:tc>
          <w:tcPr>
            <w:tcW w:w="3402" w:type="dxa"/>
            <w:vAlign w:val="center"/>
          </w:tcPr>
          <w:p>
            <w:pPr>
              <w:pStyle w:val="14"/>
            </w:pPr>
            <w:r>
              <w:t>本年支出合计</w:t>
            </w:r>
          </w:p>
        </w:tc>
        <w:tc>
          <w:tcPr>
            <w:tcW w:w="1474" w:type="dxa"/>
            <w:vAlign w:val="center"/>
          </w:tcPr>
          <w:p>
            <w:pPr>
              <w:pStyle w:val="15"/>
            </w:pPr>
            <w:r>
              <w:t>1493.05</w:t>
            </w:r>
          </w:p>
        </w:tc>
        <w:tc>
          <w:tcPr>
            <w:tcW w:w="1474" w:type="dxa"/>
            <w:vAlign w:val="center"/>
          </w:tcPr>
          <w:p>
            <w:pPr>
              <w:pStyle w:val="15"/>
            </w:pPr>
            <w:r>
              <w:t>1429.74</w:t>
            </w:r>
          </w:p>
        </w:tc>
        <w:tc>
          <w:tcPr>
            <w:tcW w:w="1474" w:type="dxa"/>
            <w:vAlign w:val="center"/>
          </w:tcPr>
          <w:p>
            <w:pPr>
              <w:pStyle w:val="15"/>
            </w:pPr>
            <w:r>
              <w:t>63.31</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50.91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50.91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1493.05</w:t>
            </w:r>
          </w:p>
        </w:tc>
        <w:tc>
          <w:tcPr>
            <w:tcW w:w="3402" w:type="dxa"/>
            <w:vAlign w:val="center"/>
          </w:tcPr>
          <w:p>
            <w:pPr>
              <w:pStyle w:val="14"/>
            </w:pPr>
            <w:r>
              <w:t>支出总计</w:t>
            </w:r>
          </w:p>
        </w:tc>
        <w:tc>
          <w:tcPr>
            <w:tcW w:w="1474" w:type="dxa"/>
            <w:vAlign w:val="center"/>
          </w:tcPr>
          <w:p>
            <w:pPr>
              <w:pStyle w:val="15"/>
            </w:pPr>
            <w:r>
              <w:t>1493.05</w:t>
            </w:r>
          </w:p>
        </w:tc>
        <w:tc>
          <w:tcPr>
            <w:tcW w:w="1474" w:type="dxa"/>
            <w:vAlign w:val="center"/>
          </w:tcPr>
          <w:p>
            <w:pPr>
              <w:pStyle w:val="15"/>
            </w:pPr>
            <w:r>
              <w:t>1429.74</w:t>
            </w:r>
          </w:p>
        </w:tc>
        <w:tc>
          <w:tcPr>
            <w:tcW w:w="1474" w:type="dxa"/>
            <w:vAlign w:val="center"/>
          </w:tcPr>
          <w:p>
            <w:pPr>
              <w:pStyle w:val="15"/>
            </w:pPr>
            <w:r>
              <w:t>63.31</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1429.74</w:t>
            </w:r>
          </w:p>
        </w:tc>
        <w:tc>
          <w:tcPr>
            <w:tcW w:w="2551" w:type="dxa"/>
            <w:vAlign w:val="center"/>
          </w:tcPr>
          <w:p>
            <w:pPr>
              <w:pStyle w:val="15"/>
            </w:pPr>
            <w:r>
              <w:t>927.87</w:t>
            </w:r>
          </w:p>
        </w:tc>
        <w:tc>
          <w:tcPr>
            <w:tcW w:w="2551" w:type="dxa"/>
            <w:vAlign w:val="center"/>
          </w:tcPr>
          <w:p>
            <w:pPr>
              <w:pStyle w:val="15"/>
            </w:pPr>
            <w:r>
              <w:t>501.87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779.24</w:t>
            </w:r>
          </w:p>
        </w:tc>
        <w:tc>
          <w:tcPr>
            <w:tcW w:w="2551" w:type="dxa"/>
            <w:vAlign w:val="center"/>
          </w:tcPr>
          <w:p>
            <w:pPr>
              <w:pStyle w:val="11"/>
            </w:pPr>
            <w:r>
              <w:t>668.72</w:t>
            </w:r>
          </w:p>
        </w:tc>
        <w:tc>
          <w:tcPr>
            <w:tcW w:w="2551" w:type="dxa"/>
            <w:vAlign w:val="center"/>
          </w:tcPr>
          <w:p>
            <w:pPr>
              <w:pStyle w:val="11"/>
            </w:pPr>
            <w:r>
              <w:t>110.52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766.24</w:t>
            </w:r>
          </w:p>
        </w:tc>
        <w:tc>
          <w:tcPr>
            <w:tcW w:w="2551" w:type="dxa"/>
            <w:vAlign w:val="center"/>
          </w:tcPr>
          <w:p>
            <w:pPr>
              <w:pStyle w:val="11"/>
            </w:pPr>
            <w:r>
              <w:t>668.72</w:t>
            </w:r>
          </w:p>
        </w:tc>
        <w:tc>
          <w:tcPr>
            <w:tcW w:w="2551" w:type="dxa"/>
            <w:vAlign w:val="center"/>
          </w:tcPr>
          <w:p>
            <w:pPr>
              <w:pStyle w:val="11"/>
            </w:pPr>
            <w:r>
              <w:t>97.52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2010303</w:t>
            </w:r>
          </w:p>
        </w:tc>
        <w:tc>
          <w:tcPr>
            <w:tcW w:w="4535" w:type="dxa"/>
            <w:vAlign w:val="center"/>
          </w:tcPr>
          <w:p>
            <w:pPr>
              <w:pStyle w:val="12"/>
            </w:pPr>
            <w:r>
              <w:t>机关服务</w:t>
            </w:r>
          </w:p>
        </w:tc>
        <w:tc>
          <w:tcPr>
            <w:tcW w:w="2551" w:type="dxa"/>
            <w:vAlign w:val="center"/>
          </w:tcPr>
          <w:p>
            <w:pPr>
              <w:pStyle w:val="11"/>
            </w:pPr>
            <w:r>
              <w:t>37.50</w:t>
            </w:r>
          </w:p>
        </w:tc>
        <w:tc>
          <w:tcPr>
            <w:tcW w:w="2551" w:type="dxa"/>
            <w:vAlign w:val="center"/>
          </w:tcPr>
          <w:p>
            <w:pPr>
              <w:pStyle w:val="11"/>
            </w:pPr>
          </w:p>
        </w:tc>
        <w:tc>
          <w:tcPr>
            <w:tcW w:w="2551" w:type="dxa"/>
            <w:vAlign w:val="center"/>
          </w:tcPr>
          <w:p>
            <w:pPr>
              <w:pStyle w:val="11"/>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728.74</w:t>
            </w:r>
          </w:p>
        </w:tc>
        <w:tc>
          <w:tcPr>
            <w:tcW w:w="2551" w:type="dxa"/>
            <w:vAlign w:val="center"/>
          </w:tcPr>
          <w:p>
            <w:pPr>
              <w:pStyle w:val="11"/>
            </w:pPr>
            <w:r>
              <w:t>668.72</w:t>
            </w:r>
          </w:p>
        </w:tc>
        <w:tc>
          <w:tcPr>
            <w:tcW w:w="2551" w:type="dxa"/>
            <w:vAlign w:val="center"/>
          </w:tcPr>
          <w:p>
            <w:pPr>
              <w:pStyle w:val="11"/>
            </w:pPr>
            <w:r>
              <w:t>60.02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3.75</w:t>
            </w:r>
          </w:p>
        </w:tc>
        <w:tc>
          <w:tcPr>
            <w:tcW w:w="2551" w:type="dxa"/>
            <w:vAlign w:val="center"/>
          </w:tcPr>
          <w:p>
            <w:pPr>
              <w:pStyle w:val="11"/>
            </w:pPr>
          </w:p>
        </w:tc>
        <w:tc>
          <w:tcPr>
            <w:tcW w:w="2551" w:type="dxa"/>
            <w:vAlign w:val="center"/>
          </w:tcPr>
          <w:p>
            <w:pPr>
              <w:pStyle w:val="11"/>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3.25</w:t>
            </w:r>
          </w:p>
        </w:tc>
        <w:tc>
          <w:tcPr>
            <w:tcW w:w="2551" w:type="dxa"/>
            <w:vAlign w:val="center"/>
          </w:tcPr>
          <w:p>
            <w:pPr>
              <w:pStyle w:val="11"/>
            </w:pPr>
          </w:p>
        </w:tc>
        <w:tc>
          <w:tcPr>
            <w:tcW w:w="2551" w:type="dxa"/>
            <w:vAlign w:val="center"/>
          </w:tcPr>
          <w:p>
            <w:pPr>
              <w:pStyle w:val="11"/>
            </w:pPr>
            <w:r>
              <w:t>3.25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3.25</w:t>
            </w:r>
          </w:p>
        </w:tc>
        <w:tc>
          <w:tcPr>
            <w:tcW w:w="2551" w:type="dxa"/>
            <w:vAlign w:val="center"/>
          </w:tcPr>
          <w:p>
            <w:pPr>
              <w:pStyle w:val="11"/>
            </w:pPr>
          </w:p>
        </w:tc>
        <w:tc>
          <w:tcPr>
            <w:tcW w:w="2551" w:type="dxa"/>
            <w:vAlign w:val="center"/>
          </w:tcPr>
          <w:p>
            <w:pPr>
              <w:pStyle w:val="11"/>
            </w:pPr>
            <w:r>
              <w:t>3.25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127.58</w:t>
            </w:r>
          </w:p>
        </w:tc>
        <w:tc>
          <w:tcPr>
            <w:tcW w:w="2551" w:type="dxa"/>
            <w:vAlign w:val="center"/>
          </w:tcPr>
          <w:p>
            <w:pPr>
              <w:pStyle w:val="11"/>
            </w:pPr>
            <w:r>
              <w:t>127.34</w:t>
            </w:r>
          </w:p>
        </w:tc>
        <w:tc>
          <w:tcPr>
            <w:tcW w:w="2551" w:type="dxa"/>
            <w:vAlign w:val="center"/>
          </w:tcPr>
          <w:p>
            <w:pPr>
              <w:pStyle w:val="11"/>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127.34</w:t>
            </w:r>
          </w:p>
        </w:tc>
        <w:tc>
          <w:tcPr>
            <w:tcW w:w="2551" w:type="dxa"/>
            <w:vAlign w:val="center"/>
          </w:tcPr>
          <w:p>
            <w:pPr>
              <w:pStyle w:val="11"/>
            </w:pPr>
            <w:r>
              <w:t>127.34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37.10</w:t>
            </w:r>
          </w:p>
        </w:tc>
        <w:tc>
          <w:tcPr>
            <w:tcW w:w="2551" w:type="dxa"/>
            <w:vAlign w:val="center"/>
          </w:tcPr>
          <w:p>
            <w:pPr>
              <w:pStyle w:val="11"/>
            </w:pPr>
            <w:r>
              <w:t>37.10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78.91</w:t>
            </w:r>
          </w:p>
        </w:tc>
        <w:tc>
          <w:tcPr>
            <w:tcW w:w="2551" w:type="dxa"/>
            <w:vAlign w:val="center"/>
          </w:tcPr>
          <w:p>
            <w:pPr>
              <w:pStyle w:val="11"/>
            </w:pPr>
            <w:r>
              <w:t>78.91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11.34</w:t>
            </w:r>
          </w:p>
        </w:tc>
        <w:tc>
          <w:tcPr>
            <w:tcW w:w="2551" w:type="dxa"/>
            <w:vAlign w:val="center"/>
          </w:tcPr>
          <w:p>
            <w:pPr>
              <w:pStyle w:val="11"/>
            </w:pPr>
            <w:r>
              <w:t>11.34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0.23</w:t>
            </w:r>
          </w:p>
        </w:tc>
        <w:tc>
          <w:tcPr>
            <w:tcW w:w="2551" w:type="dxa"/>
            <w:vAlign w:val="center"/>
          </w:tcPr>
          <w:p>
            <w:pPr>
              <w:pStyle w:val="11"/>
            </w:pPr>
          </w:p>
        </w:tc>
        <w:tc>
          <w:tcPr>
            <w:tcW w:w="2551" w:type="dxa"/>
            <w:vAlign w:val="center"/>
          </w:tcPr>
          <w:p>
            <w:pPr>
              <w:pStyle w:val="11"/>
            </w:pPr>
            <w:r>
              <w:t>0.23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2081099</w:t>
            </w:r>
          </w:p>
        </w:tc>
        <w:tc>
          <w:tcPr>
            <w:tcW w:w="4535" w:type="dxa"/>
            <w:vAlign w:val="center"/>
          </w:tcPr>
          <w:p>
            <w:pPr>
              <w:pStyle w:val="12"/>
            </w:pPr>
            <w:r>
              <w:t>其他社会福利支出</w:t>
            </w:r>
          </w:p>
        </w:tc>
        <w:tc>
          <w:tcPr>
            <w:tcW w:w="2551" w:type="dxa"/>
            <w:vAlign w:val="center"/>
          </w:tcPr>
          <w:p>
            <w:pPr>
              <w:pStyle w:val="11"/>
            </w:pPr>
            <w:r>
              <w:t>0.23</w:t>
            </w:r>
          </w:p>
        </w:tc>
        <w:tc>
          <w:tcPr>
            <w:tcW w:w="2551" w:type="dxa"/>
            <w:vAlign w:val="center"/>
          </w:tcPr>
          <w:p>
            <w:pPr>
              <w:pStyle w:val="11"/>
            </w:pPr>
          </w:p>
        </w:tc>
        <w:tc>
          <w:tcPr>
            <w:tcW w:w="2551" w:type="dxa"/>
            <w:vAlign w:val="center"/>
          </w:tcPr>
          <w:p>
            <w:pPr>
              <w:pStyle w:val="11"/>
            </w:pPr>
            <w:r>
              <w:t>0.23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67.70</w:t>
            </w:r>
          </w:p>
        </w:tc>
        <w:tc>
          <w:tcPr>
            <w:tcW w:w="2551" w:type="dxa"/>
            <w:vAlign w:val="center"/>
          </w:tcPr>
          <w:p>
            <w:pPr>
              <w:pStyle w:val="11"/>
            </w:pPr>
            <w:r>
              <w:t>67.70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67.70</w:t>
            </w:r>
          </w:p>
        </w:tc>
        <w:tc>
          <w:tcPr>
            <w:tcW w:w="2551" w:type="dxa"/>
            <w:vAlign w:val="center"/>
          </w:tcPr>
          <w:p>
            <w:pPr>
              <w:pStyle w:val="11"/>
            </w:pPr>
            <w:r>
              <w:t>67.70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67.70</w:t>
            </w:r>
          </w:p>
        </w:tc>
        <w:tc>
          <w:tcPr>
            <w:tcW w:w="2551" w:type="dxa"/>
            <w:vAlign w:val="center"/>
          </w:tcPr>
          <w:p>
            <w:pPr>
              <w:pStyle w:val="11"/>
            </w:pPr>
            <w:r>
              <w:t>67.70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5.30</w:t>
            </w:r>
          </w:p>
        </w:tc>
        <w:tc>
          <w:tcPr>
            <w:tcW w:w="2551" w:type="dxa"/>
            <w:vAlign w:val="center"/>
          </w:tcPr>
          <w:p>
            <w:pPr>
              <w:pStyle w:val="11"/>
            </w:pPr>
          </w:p>
        </w:tc>
        <w:tc>
          <w:tcPr>
            <w:tcW w:w="2551" w:type="dxa"/>
            <w:vAlign w:val="center"/>
          </w:tcPr>
          <w:p>
            <w:pPr>
              <w:pStyle w:val="11"/>
            </w:pPr>
            <w:r>
              <w:t>5.30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5.30</w:t>
            </w:r>
          </w:p>
        </w:tc>
        <w:tc>
          <w:tcPr>
            <w:tcW w:w="2551" w:type="dxa"/>
            <w:vAlign w:val="center"/>
          </w:tcPr>
          <w:p>
            <w:pPr>
              <w:pStyle w:val="11"/>
            </w:pPr>
          </w:p>
        </w:tc>
        <w:tc>
          <w:tcPr>
            <w:tcW w:w="2551"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5.30</w:t>
            </w:r>
          </w:p>
        </w:tc>
        <w:tc>
          <w:tcPr>
            <w:tcW w:w="2551" w:type="dxa"/>
            <w:vAlign w:val="center"/>
          </w:tcPr>
          <w:p>
            <w:pPr>
              <w:pStyle w:val="11"/>
            </w:pPr>
          </w:p>
        </w:tc>
        <w:tc>
          <w:tcPr>
            <w:tcW w:w="2551"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382.07</w:t>
            </w:r>
          </w:p>
        </w:tc>
        <w:tc>
          <w:tcPr>
            <w:tcW w:w="2551" w:type="dxa"/>
            <w:vAlign w:val="center"/>
          </w:tcPr>
          <w:p>
            <w:pPr>
              <w:pStyle w:val="11"/>
            </w:pPr>
          </w:p>
        </w:tc>
        <w:tc>
          <w:tcPr>
            <w:tcW w:w="2551" w:type="dxa"/>
            <w:vAlign w:val="center"/>
          </w:tcPr>
          <w:p>
            <w:pPr>
              <w:pStyle w:val="11"/>
            </w:pPr>
            <w:r>
              <w:t>382.07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157.56</w:t>
            </w:r>
          </w:p>
        </w:tc>
        <w:tc>
          <w:tcPr>
            <w:tcW w:w="2551" w:type="dxa"/>
            <w:vAlign w:val="center"/>
          </w:tcPr>
          <w:p>
            <w:pPr>
              <w:pStyle w:val="11"/>
            </w:pPr>
          </w:p>
        </w:tc>
        <w:tc>
          <w:tcPr>
            <w:tcW w:w="2551" w:type="dxa"/>
            <w:vAlign w:val="center"/>
          </w:tcPr>
          <w:p>
            <w:pPr>
              <w:pStyle w:val="11"/>
            </w:pPr>
            <w:r>
              <w:t>157.56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157.56</w:t>
            </w:r>
          </w:p>
        </w:tc>
        <w:tc>
          <w:tcPr>
            <w:tcW w:w="2551" w:type="dxa"/>
            <w:vAlign w:val="center"/>
          </w:tcPr>
          <w:p>
            <w:pPr>
              <w:pStyle w:val="11"/>
            </w:pPr>
          </w:p>
        </w:tc>
        <w:tc>
          <w:tcPr>
            <w:tcW w:w="2551" w:type="dxa"/>
            <w:vAlign w:val="center"/>
          </w:tcPr>
          <w:p>
            <w:pPr>
              <w:pStyle w:val="11"/>
            </w:pPr>
            <w:r>
              <w:t>157.56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1.48</w:t>
            </w:r>
          </w:p>
        </w:tc>
        <w:tc>
          <w:tcPr>
            <w:tcW w:w="2551" w:type="dxa"/>
            <w:vAlign w:val="center"/>
          </w:tcPr>
          <w:p>
            <w:pPr>
              <w:pStyle w:val="11"/>
            </w:pPr>
          </w:p>
        </w:tc>
        <w:tc>
          <w:tcPr>
            <w:tcW w:w="2551" w:type="dxa"/>
            <w:vAlign w:val="center"/>
          </w:tcPr>
          <w:p>
            <w:pPr>
              <w:pStyle w:val="11"/>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1.48</w:t>
            </w:r>
          </w:p>
        </w:tc>
        <w:tc>
          <w:tcPr>
            <w:tcW w:w="2551" w:type="dxa"/>
            <w:vAlign w:val="center"/>
          </w:tcPr>
          <w:p>
            <w:pPr>
              <w:pStyle w:val="11"/>
            </w:pPr>
          </w:p>
        </w:tc>
        <w:tc>
          <w:tcPr>
            <w:tcW w:w="2551" w:type="dxa"/>
            <w:vAlign w:val="center"/>
          </w:tcPr>
          <w:p>
            <w:pPr>
              <w:pStyle w:val="11"/>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223.03</w:t>
            </w:r>
          </w:p>
        </w:tc>
        <w:tc>
          <w:tcPr>
            <w:tcW w:w="2551" w:type="dxa"/>
            <w:vAlign w:val="center"/>
          </w:tcPr>
          <w:p>
            <w:pPr>
              <w:pStyle w:val="11"/>
            </w:pPr>
          </w:p>
        </w:tc>
        <w:tc>
          <w:tcPr>
            <w:tcW w:w="2551" w:type="dxa"/>
            <w:vAlign w:val="center"/>
          </w:tcPr>
          <w:p>
            <w:pPr>
              <w:pStyle w:val="11"/>
            </w:pPr>
            <w:r>
              <w:t>223.03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173.60</w:t>
            </w:r>
          </w:p>
        </w:tc>
        <w:tc>
          <w:tcPr>
            <w:tcW w:w="2551" w:type="dxa"/>
            <w:vAlign w:val="center"/>
          </w:tcPr>
          <w:p>
            <w:pPr>
              <w:pStyle w:val="11"/>
            </w:pPr>
          </w:p>
        </w:tc>
        <w:tc>
          <w:tcPr>
            <w:tcW w:w="2551" w:type="dxa"/>
            <w:vAlign w:val="center"/>
          </w:tcPr>
          <w:p>
            <w:pPr>
              <w:pStyle w:val="11"/>
            </w:pPr>
            <w:r>
              <w:t>173.60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49.43</w:t>
            </w:r>
          </w:p>
        </w:tc>
        <w:tc>
          <w:tcPr>
            <w:tcW w:w="2551" w:type="dxa"/>
            <w:vAlign w:val="center"/>
          </w:tcPr>
          <w:p>
            <w:pPr>
              <w:pStyle w:val="11"/>
            </w:pPr>
          </w:p>
        </w:tc>
        <w:tc>
          <w:tcPr>
            <w:tcW w:w="2551" w:type="dxa"/>
            <w:vAlign w:val="center"/>
          </w:tcPr>
          <w:p>
            <w:pPr>
              <w:pStyle w:val="11"/>
            </w:pPr>
            <w:r>
              <w:t>49.43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64.10</w:t>
            </w:r>
          </w:p>
        </w:tc>
        <w:tc>
          <w:tcPr>
            <w:tcW w:w="2551" w:type="dxa"/>
            <w:vAlign w:val="center"/>
          </w:tcPr>
          <w:p>
            <w:pPr>
              <w:pStyle w:val="11"/>
            </w:pPr>
            <w:r>
              <w:t>64.10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64.10</w:t>
            </w:r>
          </w:p>
        </w:tc>
        <w:tc>
          <w:tcPr>
            <w:tcW w:w="2551" w:type="dxa"/>
            <w:vAlign w:val="center"/>
          </w:tcPr>
          <w:p>
            <w:pPr>
              <w:pStyle w:val="11"/>
            </w:pPr>
            <w:r>
              <w:t>64.10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64.10</w:t>
            </w:r>
          </w:p>
        </w:tc>
        <w:tc>
          <w:tcPr>
            <w:tcW w:w="2551" w:type="dxa"/>
            <w:vAlign w:val="center"/>
          </w:tcPr>
          <w:p>
            <w:pPr>
              <w:pStyle w:val="11"/>
            </w:pPr>
            <w:r>
              <w:t>64.10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927.87</w:t>
            </w:r>
          </w:p>
        </w:tc>
        <w:tc>
          <w:tcPr>
            <w:tcW w:w="2551" w:type="dxa"/>
            <w:vAlign w:val="center"/>
          </w:tcPr>
          <w:p>
            <w:pPr>
              <w:pStyle w:val="15"/>
            </w:pPr>
            <w:r>
              <w:t>839.89</w:t>
            </w:r>
          </w:p>
        </w:tc>
        <w:tc>
          <w:tcPr>
            <w:tcW w:w="2551" w:type="dxa"/>
            <w:vAlign w:val="center"/>
          </w:tcPr>
          <w:p>
            <w:pPr>
              <w:pStyle w:val="15"/>
            </w:pPr>
            <w:r>
              <w:t>87.98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803.85</w:t>
            </w:r>
          </w:p>
        </w:tc>
        <w:tc>
          <w:tcPr>
            <w:tcW w:w="2551" w:type="dxa"/>
            <w:vAlign w:val="center"/>
          </w:tcPr>
          <w:p>
            <w:pPr>
              <w:pStyle w:val="11"/>
            </w:pPr>
            <w:r>
              <w:t>803.85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165.00</w:t>
            </w:r>
          </w:p>
        </w:tc>
        <w:tc>
          <w:tcPr>
            <w:tcW w:w="2551" w:type="dxa"/>
            <w:vAlign w:val="center"/>
          </w:tcPr>
          <w:p>
            <w:pPr>
              <w:pStyle w:val="11"/>
            </w:pPr>
            <w:r>
              <w:t>165.00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51.43</w:t>
            </w:r>
          </w:p>
        </w:tc>
        <w:tc>
          <w:tcPr>
            <w:tcW w:w="2551" w:type="dxa"/>
            <w:vAlign w:val="center"/>
          </w:tcPr>
          <w:p>
            <w:pPr>
              <w:pStyle w:val="11"/>
            </w:pPr>
            <w:r>
              <w:t>51.43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113.89</w:t>
            </w:r>
          </w:p>
        </w:tc>
        <w:tc>
          <w:tcPr>
            <w:tcW w:w="2551" w:type="dxa"/>
            <w:vAlign w:val="center"/>
          </w:tcPr>
          <w:p>
            <w:pPr>
              <w:pStyle w:val="11"/>
            </w:pPr>
            <w:r>
              <w:t>113.89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246.84</w:t>
            </w:r>
          </w:p>
        </w:tc>
        <w:tc>
          <w:tcPr>
            <w:tcW w:w="2551" w:type="dxa"/>
            <w:vAlign w:val="center"/>
          </w:tcPr>
          <w:p>
            <w:pPr>
              <w:pStyle w:val="11"/>
            </w:pPr>
            <w:r>
              <w:t>246.84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78.91</w:t>
            </w:r>
          </w:p>
        </w:tc>
        <w:tc>
          <w:tcPr>
            <w:tcW w:w="2551" w:type="dxa"/>
            <w:vAlign w:val="center"/>
          </w:tcPr>
          <w:p>
            <w:pPr>
              <w:pStyle w:val="11"/>
            </w:pPr>
            <w:r>
              <w:t>78.91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11.34</w:t>
            </w:r>
          </w:p>
        </w:tc>
        <w:tc>
          <w:tcPr>
            <w:tcW w:w="2551" w:type="dxa"/>
            <w:vAlign w:val="center"/>
          </w:tcPr>
          <w:p>
            <w:pPr>
              <w:pStyle w:val="11"/>
            </w:pPr>
            <w:r>
              <w:t>11.34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67.70</w:t>
            </w:r>
          </w:p>
        </w:tc>
        <w:tc>
          <w:tcPr>
            <w:tcW w:w="2551" w:type="dxa"/>
            <w:vAlign w:val="center"/>
          </w:tcPr>
          <w:p>
            <w:pPr>
              <w:pStyle w:val="11"/>
            </w:pPr>
            <w:r>
              <w:t>67.70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4.64</w:t>
            </w:r>
          </w:p>
        </w:tc>
        <w:tc>
          <w:tcPr>
            <w:tcW w:w="2551" w:type="dxa"/>
            <w:vAlign w:val="center"/>
          </w:tcPr>
          <w:p>
            <w:pPr>
              <w:pStyle w:val="11"/>
            </w:pPr>
            <w:r>
              <w:t>4.64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64.10</w:t>
            </w:r>
          </w:p>
        </w:tc>
        <w:tc>
          <w:tcPr>
            <w:tcW w:w="2551" w:type="dxa"/>
            <w:vAlign w:val="center"/>
          </w:tcPr>
          <w:p>
            <w:pPr>
              <w:pStyle w:val="11"/>
            </w:pPr>
            <w:r>
              <w:t>64.10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86.18</w:t>
            </w:r>
          </w:p>
        </w:tc>
        <w:tc>
          <w:tcPr>
            <w:tcW w:w="2551" w:type="dxa"/>
            <w:vAlign w:val="center"/>
          </w:tcPr>
          <w:p>
            <w:pPr>
              <w:pStyle w:val="11"/>
            </w:pPr>
          </w:p>
        </w:tc>
        <w:tc>
          <w:tcPr>
            <w:tcW w:w="2551" w:type="dxa"/>
            <w:vAlign w:val="center"/>
          </w:tcPr>
          <w:p>
            <w:pPr>
              <w:pStyle w:val="11"/>
            </w:pPr>
            <w:r>
              <w:t>86.18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13.50</w:t>
            </w:r>
          </w:p>
        </w:tc>
        <w:tc>
          <w:tcPr>
            <w:tcW w:w="2551" w:type="dxa"/>
            <w:vAlign w:val="center"/>
          </w:tcPr>
          <w:p>
            <w:pPr>
              <w:pStyle w:val="11"/>
            </w:pPr>
          </w:p>
        </w:tc>
        <w:tc>
          <w:tcPr>
            <w:tcW w:w="2551" w:type="dxa"/>
            <w:vAlign w:val="center"/>
          </w:tcPr>
          <w:p>
            <w:pPr>
              <w:pStyle w:val="11"/>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3.12</w:t>
            </w:r>
          </w:p>
        </w:tc>
        <w:tc>
          <w:tcPr>
            <w:tcW w:w="2551" w:type="dxa"/>
            <w:vAlign w:val="center"/>
          </w:tcPr>
          <w:p>
            <w:pPr>
              <w:pStyle w:val="11"/>
            </w:pPr>
          </w:p>
        </w:tc>
        <w:tc>
          <w:tcPr>
            <w:tcW w:w="2551"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4.55</w:t>
            </w:r>
          </w:p>
        </w:tc>
        <w:tc>
          <w:tcPr>
            <w:tcW w:w="2551" w:type="dxa"/>
            <w:vAlign w:val="center"/>
          </w:tcPr>
          <w:p>
            <w:pPr>
              <w:pStyle w:val="11"/>
            </w:pPr>
          </w:p>
        </w:tc>
        <w:tc>
          <w:tcPr>
            <w:tcW w:w="2551" w:type="dxa"/>
            <w:vAlign w:val="center"/>
          </w:tcPr>
          <w:p>
            <w:pPr>
              <w:pStyle w:val="11"/>
            </w:pPr>
            <w:r>
              <w:t>4.55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0.51</w:t>
            </w:r>
          </w:p>
        </w:tc>
        <w:tc>
          <w:tcPr>
            <w:tcW w:w="2551" w:type="dxa"/>
            <w:vAlign w:val="center"/>
          </w:tcPr>
          <w:p>
            <w:pPr>
              <w:pStyle w:val="11"/>
            </w:pPr>
          </w:p>
        </w:tc>
        <w:tc>
          <w:tcPr>
            <w:tcW w:w="2551" w:type="dxa"/>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6.07</w:t>
            </w:r>
          </w:p>
        </w:tc>
        <w:tc>
          <w:tcPr>
            <w:tcW w:w="2551" w:type="dxa"/>
            <w:vAlign w:val="center"/>
          </w:tcPr>
          <w:p>
            <w:pPr>
              <w:pStyle w:val="11"/>
            </w:pPr>
          </w:p>
        </w:tc>
        <w:tc>
          <w:tcPr>
            <w:tcW w:w="2551" w:type="dxa"/>
            <w:vAlign w:val="center"/>
          </w:tcPr>
          <w:p>
            <w:pPr>
              <w:pStyle w:val="11"/>
            </w:pPr>
            <w:r>
              <w:t>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4.07</w:t>
            </w:r>
          </w:p>
        </w:tc>
        <w:tc>
          <w:tcPr>
            <w:tcW w:w="2551" w:type="dxa"/>
            <w:vAlign w:val="center"/>
          </w:tcPr>
          <w:p>
            <w:pPr>
              <w:pStyle w:val="11"/>
            </w:pPr>
          </w:p>
        </w:tc>
        <w:tc>
          <w:tcPr>
            <w:tcW w:w="2551" w:type="dxa"/>
            <w:vAlign w:val="center"/>
          </w:tcPr>
          <w:p>
            <w:pPr>
              <w:pStyle w:val="11"/>
            </w:pPr>
            <w:r>
              <w:t>4.07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3.42</w:t>
            </w:r>
          </w:p>
        </w:tc>
        <w:tc>
          <w:tcPr>
            <w:tcW w:w="2551" w:type="dxa"/>
            <w:vAlign w:val="center"/>
          </w:tcPr>
          <w:p>
            <w:pPr>
              <w:pStyle w:val="11"/>
            </w:pPr>
          </w:p>
        </w:tc>
        <w:tc>
          <w:tcPr>
            <w:tcW w:w="2551" w:type="dxa"/>
            <w:vAlign w:val="center"/>
          </w:tcPr>
          <w:p>
            <w:pPr>
              <w:pStyle w:val="11"/>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36.04</w:t>
            </w:r>
          </w:p>
        </w:tc>
        <w:tc>
          <w:tcPr>
            <w:tcW w:w="2551" w:type="dxa"/>
            <w:vAlign w:val="center"/>
          </w:tcPr>
          <w:p>
            <w:pPr>
              <w:pStyle w:val="11"/>
            </w:pPr>
            <w:r>
              <w:t>36.04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35.96</w:t>
            </w:r>
          </w:p>
        </w:tc>
        <w:tc>
          <w:tcPr>
            <w:tcW w:w="2551" w:type="dxa"/>
            <w:vAlign w:val="center"/>
          </w:tcPr>
          <w:p>
            <w:pPr>
              <w:pStyle w:val="11"/>
            </w:pPr>
            <w:r>
              <w:t>35.96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63.31</w:t>
            </w:r>
          </w:p>
        </w:tc>
        <w:tc>
          <w:tcPr>
            <w:tcW w:w="2551" w:type="dxa"/>
            <w:vAlign w:val="center"/>
          </w:tcPr>
          <w:p>
            <w:pPr>
              <w:pStyle w:val="15"/>
            </w:pPr>
          </w:p>
        </w:tc>
        <w:tc>
          <w:tcPr>
            <w:tcW w:w="2551" w:type="dxa"/>
            <w:vAlign w:val="center"/>
          </w:tcPr>
          <w:p>
            <w:pPr>
              <w:pStyle w:val="15"/>
            </w:pPr>
            <w:r>
              <w:t>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63.31</w:t>
            </w:r>
          </w:p>
        </w:tc>
        <w:tc>
          <w:tcPr>
            <w:tcW w:w="2551" w:type="dxa"/>
            <w:vAlign w:val="center"/>
          </w:tcPr>
          <w:p>
            <w:pPr>
              <w:pStyle w:val="11"/>
            </w:pPr>
          </w:p>
        </w:tc>
        <w:tc>
          <w:tcPr>
            <w:tcW w:w="2551" w:type="dxa"/>
            <w:vAlign w:val="center"/>
          </w:tcPr>
          <w:p>
            <w:pPr>
              <w:pStyle w:val="11"/>
            </w:pPr>
            <w:r>
              <w:t>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63.31</w:t>
            </w:r>
          </w:p>
        </w:tc>
        <w:tc>
          <w:tcPr>
            <w:tcW w:w="2551" w:type="dxa"/>
            <w:vAlign w:val="center"/>
          </w:tcPr>
          <w:p>
            <w:pPr>
              <w:pStyle w:val="11"/>
            </w:pPr>
          </w:p>
        </w:tc>
        <w:tc>
          <w:tcPr>
            <w:tcW w:w="2551" w:type="dxa"/>
            <w:vAlign w:val="center"/>
          </w:tcPr>
          <w:p>
            <w:pPr>
              <w:pStyle w:val="11"/>
            </w:pPr>
            <w:r>
              <w:t>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19.31</w:t>
            </w:r>
          </w:p>
        </w:tc>
        <w:tc>
          <w:tcPr>
            <w:tcW w:w="2551" w:type="dxa"/>
            <w:vAlign w:val="center"/>
          </w:tcPr>
          <w:p>
            <w:pPr>
              <w:pStyle w:val="11"/>
            </w:pPr>
          </w:p>
        </w:tc>
        <w:tc>
          <w:tcPr>
            <w:tcW w:w="2551" w:type="dxa"/>
            <w:vAlign w:val="center"/>
          </w:tcPr>
          <w:p>
            <w:pPr>
              <w:pStyle w:val="11"/>
            </w:pPr>
            <w:r>
              <w:t>19.31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44.00</w:t>
            </w:r>
          </w:p>
        </w:tc>
        <w:tc>
          <w:tcPr>
            <w:tcW w:w="2551" w:type="dxa"/>
            <w:vAlign w:val="center"/>
          </w:tcPr>
          <w:p>
            <w:pPr>
              <w:pStyle w:val="11"/>
            </w:pPr>
          </w:p>
        </w:tc>
        <w:tc>
          <w:tcPr>
            <w:tcW w:w="2551" w:type="dxa"/>
            <w:vAlign w:val="center"/>
          </w:tcPr>
          <w:p>
            <w:pPr>
              <w:pStyle w:val="11"/>
            </w:pPr>
            <w:r>
              <w:t>44.00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0.51</w:t>
            </w:r>
          </w:p>
        </w:tc>
        <w:tc>
          <w:tcPr>
            <w:tcW w:w="2381" w:type="dxa"/>
            <w:vAlign w:val="center"/>
          </w:tcPr>
          <w:p>
            <w:pPr>
              <w:pStyle w:val="15"/>
            </w:pPr>
            <w:r>
              <w:t>0.51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0.51</w:t>
            </w:r>
          </w:p>
        </w:tc>
        <w:tc>
          <w:tcPr>
            <w:tcW w:w="2381" w:type="dxa"/>
            <w:vAlign w:val="center"/>
          </w:tcPr>
          <w:p>
            <w:pPr>
              <w:pStyle w:val="11"/>
            </w:pPr>
            <w:r>
              <w:t>0.51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0.51</w:t>
            </w:r>
          </w:p>
        </w:tc>
        <w:tc>
          <w:tcPr>
            <w:tcW w:w="2381" w:type="dxa"/>
            <w:vAlign w:val="center"/>
          </w:tcPr>
          <w:p>
            <w:pPr>
              <w:pStyle w:val="11"/>
            </w:pPr>
            <w:r>
              <w:t>0.51</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秦皇岛北戴河新区留守营管理处本级2024年单位预算信息公开情况说明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按照《中华人民共和国预算法》、《地方预决算公开操作规程》和《关于进一步推进预算公开工作的实施意见》规定，现将秦皇岛北戴河新区留守营管理处本级2024年单位预算公开如下：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秦皇岛北戴河新区留守营管理处主要职责及重点工作如下：</w:t>
      </w:r>
    </w:p>
    <w:p>
      <w:pPr>
        <w:pStyle w:val="17"/>
      </w:pPr>
      <w:r>
        <w:t>（1）负责本区域社会管理、综合治理、普法宣传、信访调解等工作。</w:t>
      </w:r>
    </w:p>
    <w:p>
      <w:pPr>
        <w:pStyle w:val="17"/>
      </w:pPr>
      <w:r>
        <w:t>（2）负责本区域农业、林业、水利、畜牧、渔业管理及统计工作。</w:t>
      </w:r>
    </w:p>
    <w:p>
      <w:pPr>
        <w:pStyle w:val="17"/>
      </w:pPr>
      <w:r>
        <w:t>（3）负责本区域劳动和社会保障、医疗、卫生、卫计、环卫、安全生产等工作。</w:t>
      </w:r>
    </w:p>
    <w:p>
      <w:pPr>
        <w:pStyle w:val="17"/>
      </w:pPr>
      <w:r>
        <w:t>（4）负责本区域基层建设、群众社区文化、娱乐、体育、教育、科普等工作。</w:t>
      </w:r>
    </w:p>
    <w:p>
      <w:pPr>
        <w:pStyle w:val="17"/>
      </w:pPr>
      <w:r>
        <w:t>（5）负责配合有关部门做好防汛、防火、防灾和抢险工作。</w:t>
      </w:r>
    </w:p>
    <w:p>
      <w:pPr>
        <w:pStyle w:val="17"/>
      </w:pPr>
      <w:r>
        <w:t>（6）负责贯彻落实国家、省、市方针、政策和法律法规。</w:t>
      </w:r>
    </w:p>
    <w:p>
      <w:pPr>
        <w:pStyle w:val="17"/>
      </w:pPr>
      <w:r>
        <w:t>（7）负责承办新区党工委、管委会交办的其他工作任务。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秦皇岛北戴河新区留守营管理处本级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1493.05万元，其中：一般公共预算收入1378.83万元，基金预算收入63.31万元，国有资本经营预算收入0.00万元，财政专户核拨收入0.00万元，单位资金收入0.00万元，上年结转结余50.91万元。</w:t>
      </w:r>
    </w:p>
    <w:p>
      <w:pPr>
        <w:pStyle w:val="18"/>
      </w:pPr>
      <w:r>
        <w:t>2、支出说明</w:t>
      </w:r>
    </w:p>
    <w:p>
      <w:pPr>
        <w:pStyle w:val="18"/>
      </w:pPr>
      <w:r>
        <w:t>收支预算总表支出栏、基本支出表、项目支出表按经济分类和支出功能分类科目编制，反映秦皇岛北戴河新区留守营管理处本级年度单位预算中支出预算的总体情况。2024年支出预算1493.05万元，其中基本支出927.87万元，包括人员经费839.89万元和日常公用经费87.98万元；项目支出565.18万元，主要为农村人居环境整治（农村环卫保洁）（河道保洁）项目资金、洋河两岸建筑物拆除补偿款、宗杨村东广场提升改造项目以及下达2023年中央农村综合改革转移支付资金（水沿庄村1）等。</w:t>
      </w:r>
    </w:p>
    <w:p>
      <w:pPr>
        <w:pStyle w:val="18"/>
      </w:pPr>
      <w:r>
        <w:t>3、比上年增减情况</w:t>
      </w:r>
    </w:p>
    <w:p>
      <w:pPr>
        <w:pStyle w:val="18"/>
      </w:pPr>
      <w:r>
        <w:t>2024年预算收支安排1493.05万元，较2023年预算增加54.42万元，其中：基本支出增加43.77万元，主要为人员工资调标绩效薪酬增加，退休人员增多，退休费增多。项目支出增加10.65万元，主要为新增宗杨村东广场提升改造项目以及下达2023年中央农村综合改革转移支付资金（水沿庄村1）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rPr>
        <w:t>2024年，我</w:t>
      </w:r>
      <w:r>
        <w:rPr>
          <w:rFonts w:hint="eastAsia"/>
          <w:lang w:val="en-US" w:eastAsia="zh-CN"/>
        </w:rPr>
        <w:t>单位</w:t>
      </w:r>
      <w:r>
        <w:rPr>
          <w:rFonts w:hint="eastAsia"/>
        </w:rPr>
        <w:t>机关运行经费共计安排87.98万元，主要用于日常维修、办公用房水电费、办公用房取暖费、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0.51万元，其中因公出国（境）费0.00万元；公务用车购置及运维费0.00万元（其中：公务用车购置费为0.00万元，公务用车运维费0.00万元)；公务接待费0.51万元。与2023年相比增加0.00万元，增减变化的主要原因是与上年持平，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1、办公用房租赁费绩效目标表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13031324P008805103721</w:t>
            </w:r>
          </w:p>
        </w:tc>
        <w:tc>
          <w:tcPr>
            <w:tcW w:w="2835" w:type="dxa"/>
            <w:vAlign w:val="center"/>
          </w:tcPr>
          <w:p>
            <w:pPr>
              <w:pStyle w:val="10"/>
            </w:pPr>
            <w:r>
              <w:t>项目名称</w:t>
            </w:r>
          </w:p>
        </w:tc>
        <w:tc>
          <w:tcPr>
            <w:tcW w:w="6094" w:type="dxa"/>
            <w:gridSpan w:val="3"/>
            <w:vAlign w:val="center"/>
          </w:tcPr>
          <w:p>
            <w:pPr>
              <w:pStyle w:val="12"/>
            </w:pPr>
            <w:r>
              <w:t>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37.50</w:t>
            </w:r>
          </w:p>
        </w:tc>
        <w:tc>
          <w:tcPr>
            <w:tcW w:w="2835" w:type="dxa"/>
            <w:vAlign w:val="center"/>
          </w:tcPr>
          <w:p>
            <w:pPr>
              <w:pStyle w:val="10"/>
            </w:pPr>
            <w:r>
              <w:t>其中：财政    资金</w:t>
            </w:r>
          </w:p>
        </w:tc>
        <w:tc>
          <w:tcPr>
            <w:tcW w:w="2551" w:type="dxa"/>
            <w:vAlign w:val="center"/>
          </w:tcPr>
          <w:p>
            <w:pPr>
              <w:pStyle w:val="12"/>
            </w:pPr>
            <w:r>
              <w:t>37.50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用于办公用房租赁，解决单位人员办公用房问题，保证机关单位的正常运转。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1.目标内容1解决单位人员办公用房问题，保证机关单位的正常运转</w:t>
            </w:r>
          </w:p>
          <w:p>
            <w:pPr>
              <w:pStyle w:val="12"/>
            </w:pPr>
            <w:r>
              <w:t>2.目标内容2通过科学编制预算，严格遵守各项规章制度，提高财政资金的使用效率，做到节俭高效。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租赁房屋面积</w:t>
            </w:r>
          </w:p>
        </w:tc>
        <w:tc>
          <w:tcPr>
            <w:tcW w:w="5386" w:type="dxa"/>
            <w:vAlign w:val="center"/>
          </w:tcPr>
          <w:p>
            <w:pPr>
              <w:pStyle w:val="12"/>
            </w:pPr>
            <w:r>
              <w:t>租赁办公用房面积</w:t>
            </w:r>
          </w:p>
        </w:tc>
        <w:tc>
          <w:tcPr>
            <w:tcW w:w="2268" w:type="dxa"/>
            <w:vAlign w:val="center"/>
          </w:tcPr>
          <w:p>
            <w:pPr>
              <w:pStyle w:val="12"/>
            </w:pPr>
            <w:r>
              <w:t>3854.4平米</w:t>
            </w:r>
          </w:p>
        </w:tc>
        <w:tc>
          <w:tcPr>
            <w:tcW w:w="1276" w:type="dxa"/>
            <w:vAlign w:val="center"/>
          </w:tcPr>
          <w:p>
            <w:pPr>
              <w:pStyle w:val="12"/>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租赁办公用房质量情况</w:t>
            </w:r>
          </w:p>
        </w:tc>
        <w:tc>
          <w:tcPr>
            <w:tcW w:w="5386" w:type="dxa"/>
            <w:vAlign w:val="center"/>
          </w:tcPr>
          <w:p>
            <w:pPr>
              <w:pStyle w:val="12"/>
            </w:pPr>
            <w:r>
              <w:t>办公用房内各项设施齐全，运转正常</w:t>
            </w:r>
          </w:p>
        </w:tc>
        <w:tc>
          <w:tcPr>
            <w:tcW w:w="2268" w:type="dxa"/>
            <w:vAlign w:val="center"/>
          </w:tcPr>
          <w:p>
            <w:pPr>
              <w:pStyle w:val="12"/>
            </w:pPr>
            <w:r>
              <w:t>设施齐全，正常运转</w:t>
            </w:r>
          </w:p>
        </w:tc>
        <w:tc>
          <w:tcPr>
            <w:tcW w:w="1276" w:type="dxa"/>
            <w:vAlign w:val="center"/>
          </w:tcPr>
          <w:p>
            <w:pPr>
              <w:pStyle w:val="12"/>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租赁合同签订时间</w:t>
            </w:r>
          </w:p>
        </w:tc>
        <w:tc>
          <w:tcPr>
            <w:tcW w:w="5386" w:type="dxa"/>
            <w:vAlign w:val="center"/>
          </w:tcPr>
          <w:p>
            <w:pPr>
              <w:pStyle w:val="12"/>
            </w:pPr>
            <w:r>
              <w:t>办公用房租赁合同签订日期</w:t>
            </w:r>
          </w:p>
        </w:tc>
        <w:tc>
          <w:tcPr>
            <w:tcW w:w="2268" w:type="dxa"/>
            <w:vAlign w:val="center"/>
          </w:tcPr>
          <w:p>
            <w:pPr>
              <w:pStyle w:val="12"/>
            </w:pPr>
            <w:r>
              <w:t>租赁合同</w:t>
            </w:r>
          </w:p>
        </w:tc>
        <w:tc>
          <w:tcPr>
            <w:tcW w:w="1276"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租赁费支出</w:t>
            </w:r>
          </w:p>
        </w:tc>
        <w:tc>
          <w:tcPr>
            <w:tcW w:w="5386" w:type="dxa"/>
            <w:vAlign w:val="center"/>
          </w:tcPr>
          <w:p>
            <w:pPr>
              <w:pStyle w:val="12"/>
            </w:pPr>
            <w:r>
              <w:t>按合同控制在预算内支付</w:t>
            </w:r>
          </w:p>
        </w:tc>
        <w:tc>
          <w:tcPr>
            <w:tcW w:w="2268" w:type="dxa"/>
            <w:vAlign w:val="center"/>
          </w:tcPr>
          <w:p>
            <w:pPr>
              <w:pStyle w:val="12"/>
            </w:pPr>
            <w:r>
              <w:t>≤37.5万元/年</w:t>
            </w:r>
          </w:p>
        </w:tc>
        <w:tc>
          <w:tcPr>
            <w:tcW w:w="1276"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日常工作持续有效运转</w:t>
            </w:r>
          </w:p>
        </w:tc>
        <w:tc>
          <w:tcPr>
            <w:tcW w:w="1276" w:type="dxa"/>
            <w:vAlign w:val="center"/>
          </w:tcPr>
          <w:p>
            <w:pPr>
              <w:pStyle w:val="12"/>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租赁期限</w:t>
            </w:r>
          </w:p>
        </w:tc>
        <w:tc>
          <w:tcPr>
            <w:tcW w:w="5386" w:type="dxa"/>
            <w:vAlign w:val="center"/>
          </w:tcPr>
          <w:p>
            <w:pPr>
              <w:pStyle w:val="12"/>
            </w:pPr>
            <w:r>
              <w:t>办公用房租赁期限</w:t>
            </w:r>
          </w:p>
        </w:tc>
        <w:tc>
          <w:tcPr>
            <w:tcW w:w="2268" w:type="dxa"/>
            <w:vAlign w:val="center"/>
          </w:tcPr>
          <w:p>
            <w:pPr>
              <w:pStyle w:val="12"/>
            </w:pPr>
            <w:r>
              <w:t>≤1.5年</w:t>
            </w:r>
          </w:p>
        </w:tc>
        <w:tc>
          <w:tcPr>
            <w:tcW w:w="1276"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职工满意度指标</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2、农村冬季清洁取暖协管员补贴绩效目标表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13031324P00880510375U</w:t>
            </w:r>
          </w:p>
        </w:tc>
        <w:tc>
          <w:tcPr>
            <w:tcW w:w="2835" w:type="dxa"/>
            <w:vAlign w:val="center"/>
          </w:tcPr>
          <w:p>
            <w:pPr>
              <w:pStyle w:val="10"/>
            </w:pPr>
            <w:r>
              <w:t>项目名称</w:t>
            </w:r>
          </w:p>
        </w:tc>
        <w:tc>
          <w:tcPr>
            <w:tcW w:w="6094" w:type="dxa"/>
            <w:gridSpan w:val="3"/>
            <w:vAlign w:val="center"/>
          </w:tcPr>
          <w:p>
            <w:pPr>
              <w:pStyle w:val="12"/>
            </w:pPr>
            <w:r>
              <w:t>农村冬季清洁取暖协管员补贴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w:t>
            </w:r>
          </w:p>
        </w:tc>
        <w:tc>
          <w:tcPr>
            <w:tcW w:w="2835" w:type="dxa"/>
            <w:vAlign w:val="center"/>
          </w:tcPr>
          <w:p>
            <w:pPr>
              <w:pStyle w:val="10"/>
            </w:pPr>
            <w:r>
              <w:t>其中：财政    资金</w:t>
            </w:r>
          </w:p>
        </w:tc>
        <w:tc>
          <w:tcPr>
            <w:tcW w:w="2551" w:type="dxa"/>
            <w:vAlign w:val="center"/>
          </w:tcPr>
          <w:p>
            <w:pPr>
              <w:pStyle w:val="12"/>
            </w:pPr>
            <w:r>
              <w:t>5.30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此项资金用于农村冬季清洁取暖协管员补贴的必要支出，提升服务质量。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1.目标内容1此项资金用于农村冬季清洁取暖协管员补贴的必要支出，提升服务质量。</w:t>
            </w:r>
          </w:p>
          <w:p>
            <w:pPr>
              <w:pStyle w:val="12"/>
            </w:pPr>
            <w:r>
              <w:t>2.目标内容2严格按照有关规定要求合理使用资金，专款专用，切实加快资金支出进度。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工作的顺利开展</w:t>
            </w:r>
          </w:p>
        </w:tc>
        <w:tc>
          <w:tcPr>
            <w:tcW w:w="5386" w:type="dxa"/>
            <w:vAlign w:val="center"/>
          </w:tcPr>
          <w:p>
            <w:pPr>
              <w:pStyle w:val="12"/>
            </w:pPr>
            <w:r>
              <w:t>工作的顺利开展</w:t>
            </w:r>
          </w:p>
        </w:tc>
        <w:tc>
          <w:tcPr>
            <w:tcW w:w="2268" w:type="dxa"/>
            <w:vAlign w:val="center"/>
          </w:tcPr>
          <w:p>
            <w:pPr>
              <w:pStyle w:val="12"/>
            </w:pPr>
            <w:r>
              <w:t>有力推进工作进展</w:t>
            </w:r>
          </w:p>
        </w:tc>
        <w:tc>
          <w:tcPr>
            <w:tcW w:w="1276" w:type="dxa"/>
            <w:vAlign w:val="center"/>
          </w:tcPr>
          <w:p>
            <w:pPr>
              <w:pStyle w:val="12"/>
            </w:pPr>
            <w:r>
              <w:t>目标计划值</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及时对拨付经费</w:t>
            </w:r>
          </w:p>
        </w:tc>
        <w:tc>
          <w:tcPr>
            <w:tcW w:w="2268" w:type="dxa"/>
            <w:vAlign w:val="center"/>
          </w:tcPr>
          <w:p>
            <w:pPr>
              <w:pStyle w:val="12"/>
            </w:pPr>
            <w:r>
              <w:t>大于、等于90%为优，80%-89%为良，60%-79%为中，小于60%为差</w:t>
            </w:r>
          </w:p>
        </w:tc>
        <w:tc>
          <w:tcPr>
            <w:tcW w:w="1276" w:type="dxa"/>
            <w:vAlign w:val="center"/>
          </w:tcPr>
          <w:p>
            <w:pPr>
              <w:pStyle w:val="12"/>
            </w:pPr>
            <w:r>
              <w:t xml:space="preserve">目标计划值 </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≤5.3万元</w:t>
            </w:r>
          </w:p>
        </w:tc>
        <w:tc>
          <w:tcPr>
            <w:tcW w:w="1276" w:type="dxa"/>
            <w:vAlign w:val="center"/>
          </w:tcPr>
          <w:p>
            <w:pPr>
              <w:pStyle w:val="12"/>
            </w:pPr>
            <w:r>
              <w:t>控制在预算内</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服务覆盖范围</w:t>
            </w:r>
          </w:p>
        </w:tc>
        <w:tc>
          <w:tcPr>
            <w:tcW w:w="5386" w:type="dxa"/>
            <w:vAlign w:val="center"/>
          </w:tcPr>
          <w:p>
            <w:pPr>
              <w:pStyle w:val="12"/>
            </w:pPr>
            <w:r>
              <w:t>涉及范围行政村</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建立长效机制</w:t>
            </w:r>
          </w:p>
        </w:tc>
        <w:tc>
          <w:tcPr>
            <w:tcW w:w="1276" w:type="dxa"/>
            <w:vAlign w:val="center"/>
          </w:tcPr>
          <w:p>
            <w:pPr>
              <w:pStyle w:val="12"/>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w:t>
            </w:r>
          </w:p>
        </w:tc>
        <w:tc>
          <w:tcPr>
            <w:tcW w:w="5386" w:type="dxa"/>
            <w:vAlign w:val="center"/>
          </w:tcPr>
          <w:p>
            <w:pPr>
              <w:pStyle w:val="12"/>
            </w:pPr>
            <w:r>
              <w:t>促进生态文明建设，推动绿色发展和绿色生活方式</w:t>
            </w:r>
          </w:p>
        </w:tc>
        <w:tc>
          <w:tcPr>
            <w:tcW w:w="2268" w:type="dxa"/>
            <w:vAlign w:val="center"/>
          </w:tcPr>
          <w:p>
            <w:pPr>
              <w:pStyle w:val="12"/>
            </w:pPr>
            <w:r>
              <w:t>推动绿色生活方式的养成，建设美丽宜居的新型农村</w:t>
            </w:r>
          </w:p>
        </w:tc>
        <w:tc>
          <w:tcPr>
            <w:tcW w:w="1276" w:type="dxa"/>
            <w:vAlign w:val="center"/>
          </w:tcPr>
          <w:p>
            <w:pPr>
              <w:pStyle w:val="12"/>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有效提升服务水平</w:t>
            </w:r>
          </w:p>
        </w:tc>
        <w:tc>
          <w:tcPr>
            <w:tcW w:w="1276" w:type="dxa"/>
            <w:vAlign w:val="center"/>
          </w:tcPr>
          <w:p>
            <w:pPr>
              <w:pStyle w:val="12"/>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≥95%</w:t>
            </w:r>
          </w:p>
        </w:tc>
        <w:tc>
          <w:tcPr>
            <w:tcW w:w="1276" w:type="dxa"/>
            <w:vAlign w:val="center"/>
          </w:tcPr>
          <w:p>
            <w:pPr>
              <w:pStyle w:val="12"/>
            </w:pPr>
            <w:r>
              <w:t xml:space="preserve">目标计划值 </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3、农村事务经费绩效目标表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13031324P00880510386B</w:t>
            </w:r>
          </w:p>
        </w:tc>
        <w:tc>
          <w:tcPr>
            <w:tcW w:w="2835" w:type="dxa"/>
            <w:vAlign w:val="center"/>
          </w:tcPr>
          <w:p>
            <w:pPr>
              <w:pStyle w:val="10"/>
            </w:pPr>
            <w:r>
              <w:t>项目名称</w:t>
            </w:r>
          </w:p>
        </w:tc>
        <w:tc>
          <w:tcPr>
            <w:tcW w:w="6094" w:type="dxa"/>
            <w:gridSpan w:val="3"/>
            <w:vAlign w:val="center"/>
          </w:tcPr>
          <w:p>
            <w:pPr>
              <w:pStyle w:val="12"/>
            </w:pPr>
            <w:r>
              <w:t>农村事务经费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用于辖区内十三个村农村事务等相关支出，包括完成防火工作、宣传工作等，推进服务和民生工作、完善公共服务。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1.目标内容1提高辖区内农村群众生活水平、完善公共服务</w:t>
            </w:r>
            <w:r>
              <w:tab/>
            </w:r>
            <w:r>
              <w:tab/>
            </w:r>
            <w:r>
              <w:tab/>
            </w:r>
            <w:r>
              <w:tab/>
            </w:r>
            <w:r>
              <w:tab/>
            </w:r>
            <w:r>
              <w:tab/>
            </w:r>
          </w:p>
          <w:p>
            <w:pPr>
              <w:pStyle w:val="12"/>
            </w:pPr>
          </w:p>
          <w:p>
            <w:pPr>
              <w:pStyle w:val="12"/>
            </w:pPr>
            <w:r>
              <w:t>2.目标内容2加强辖区内农村环境建设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保障涉及范围</w:t>
            </w:r>
          </w:p>
        </w:tc>
        <w:tc>
          <w:tcPr>
            <w:tcW w:w="5386" w:type="dxa"/>
            <w:vAlign w:val="center"/>
          </w:tcPr>
          <w:p>
            <w:pPr>
              <w:pStyle w:val="12"/>
            </w:pPr>
            <w:r>
              <w:t>保障涉及范围十三个行政村</w:t>
            </w:r>
          </w:p>
        </w:tc>
        <w:tc>
          <w:tcPr>
            <w:tcW w:w="2268" w:type="dxa"/>
            <w:vAlign w:val="center"/>
          </w:tcPr>
          <w:p>
            <w:pPr>
              <w:pStyle w:val="12"/>
            </w:pPr>
            <w:r>
              <w:t>≤13个</w:t>
            </w:r>
          </w:p>
        </w:tc>
        <w:tc>
          <w:tcPr>
            <w:tcW w:w="1276" w:type="dxa"/>
            <w:vAlign w:val="center"/>
          </w:tcPr>
          <w:p>
            <w:pPr>
              <w:pStyle w:val="12"/>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各项费用支付的及时率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完成目标所需要资金支出</w:t>
            </w:r>
          </w:p>
        </w:tc>
        <w:tc>
          <w:tcPr>
            <w:tcW w:w="5386" w:type="dxa"/>
            <w:vAlign w:val="center"/>
          </w:tcPr>
          <w:p>
            <w:pPr>
              <w:pStyle w:val="12"/>
            </w:pPr>
            <w:r>
              <w:t>完成年度工作需要防火相关工作经费35万元，人居环境整治需20万元，宣传工作等需15万元，聘用律师需2万元，其他杂类28万元。</w:t>
            </w:r>
          </w:p>
        </w:tc>
        <w:tc>
          <w:tcPr>
            <w:tcW w:w="2268" w:type="dxa"/>
            <w:vAlign w:val="center"/>
          </w:tcPr>
          <w:p>
            <w:pPr>
              <w:pStyle w:val="12"/>
            </w:pPr>
            <w:r>
              <w:t>≤100万元</w:t>
            </w:r>
          </w:p>
        </w:tc>
        <w:tc>
          <w:tcPr>
            <w:tcW w:w="1276" w:type="dxa"/>
            <w:vAlign w:val="center"/>
          </w:tcPr>
          <w:p>
            <w:pPr>
              <w:pStyle w:val="12"/>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日常工作持续有效开展</w:t>
            </w:r>
          </w:p>
        </w:tc>
        <w:tc>
          <w:tcPr>
            <w:tcW w:w="1276" w:type="dxa"/>
            <w:vAlign w:val="center"/>
          </w:tcPr>
          <w:p>
            <w:pPr>
              <w:pStyle w:val="12"/>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持续完善公共服务</w:t>
            </w:r>
          </w:p>
        </w:tc>
        <w:tc>
          <w:tcPr>
            <w:tcW w:w="1276" w:type="dxa"/>
            <w:vAlign w:val="center"/>
          </w:tcPr>
          <w:p>
            <w:pPr>
              <w:pStyle w:val="12"/>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满足生态环保要求</w:t>
            </w:r>
          </w:p>
        </w:tc>
        <w:tc>
          <w:tcPr>
            <w:tcW w:w="2268" w:type="dxa"/>
            <w:vAlign w:val="center"/>
          </w:tcPr>
          <w:p>
            <w:pPr>
              <w:pStyle w:val="12"/>
            </w:pPr>
            <w:r>
              <w:t>美化生活环境</w:t>
            </w:r>
          </w:p>
        </w:tc>
        <w:tc>
          <w:tcPr>
            <w:tcW w:w="1276" w:type="dxa"/>
            <w:vAlign w:val="center"/>
          </w:tcPr>
          <w:p>
            <w:pPr>
              <w:pStyle w:val="12"/>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群众满意度比率</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13031324P008805102572</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60.02</w:t>
            </w:r>
          </w:p>
        </w:tc>
        <w:tc>
          <w:tcPr>
            <w:tcW w:w="2835" w:type="dxa"/>
            <w:vAlign w:val="center"/>
          </w:tcPr>
          <w:p>
            <w:pPr>
              <w:pStyle w:val="10"/>
            </w:pPr>
            <w:r>
              <w:t>其中：财政    资金</w:t>
            </w:r>
          </w:p>
        </w:tc>
        <w:tc>
          <w:tcPr>
            <w:tcW w:w="2551" w:type="dxa"/>
            <w:vAlign w:val="center"/>
          </w:tcPr>
          <w:p>
            <w:pPr>
              <w:pStyle w:val="12"/>
            </w:pPr>
            <w:r>
              <w:t>60.02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用于发放人事代理人员工资缴纳各项保险、补贴等，促进人事代理人员队伍稳定发展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≥4人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≤60.02万元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5、信访稳定经费绩效目标表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13031324P008805103748</w:t>
            </w:r>
          </w:p>
        </w:tc>
        <w:tc>
          <w:tcPr>
            <w:tcW w:w="2835" w:type="dxa"/>
            <w:vAlign w:val="center"/>
          </w:tcPr>
          <w:p>
            <w:pPr>
              <w:pStyle w:val="10"/>
            </w:pPr>
            <w:r>
              <w:t>项目名称</w:t>
            </w:r>
          </w:p>
        </w:tc>
        <w:tc>
          <w:tcPr>
            <w:tcW w:w="6094" w:type="dxa"/>
            <w:gridSpan w:val="3"/>
            <w:vAlign w:val="center"/>
          </w:tcPr>
          <w:p>
            <w:pPr>
              <w:pStyle w:val="12"/>
            </w:pPr>
            <w:r>
              <w:t>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资金用于及时、有效处理矛盾纠纷，化解信访不稳定因素等相关支出。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1.目标内容1及时、有效处理矛盾纠纷，化解信访不稳定因素。</w:t>
            </w:r>
          </w:p>
          <w:p>
            <w:pPr>
              <w:pStyle w:val="12"/>
            </w:pPr>
            <w:r>
              <w:t>2.目标内容2严格按照有关规定要求合理使用资金，专款专用，切实加快资金支出进度。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登记接待信防案件数量</w:t>
            </w:r>
          </w:p>
        </w:tc>
        <w:tc>
          <w:tcPr>
            <w:tcW w:w="5386" w:type="dxa"/>
            <w:vAlign w:val="center"/>
          </w:tcPr>
          <w:p>
            <w:pPr>
              <w:pStyle w:val="12"/>
            </w:pPr>
            <w:r>
              <w:t>登记接待信防案件19件</w:t>
            </w:r>
          </w:p>
        </w:tc>
        <w:tc>
          <w:tcPr>
            <w:tcW w:w="2268" w:type="dxa"/>
            <w:vAlign w:val="center"/>
          </w:tcPr>
          <w:p>
            <w:pPr>
              <w:pStyle w:val="12"/>
            </w:pPr>
            <w:r>
              <w:t>≥19件</w:t>
            </w:r>
          </w:p>
        </w:tc>
        <w:tc>
          <w:tcPr>
            <w:tcW w:w="1276" w:type="dxa"/>
            <w:vAlign w:val="center"/>
          </w:tcPr>
          <w:p>
            <w:pPr>
              <w:pStyle w:val="12"/>
            </w:pPr>
            <w:r>
              <w:t>目标计划值、秦皇岛市信访工作联席会议办公室关于做好市“两会”期间信访值班工作的通知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综合事务管理工作完成率</w:t>
            </w:r>
          </w:p>
        </w:tc>
        <w:tc>
          <w:tcPr>
            <w:tcW w:w="5386" w:type="dxa"/>
            <w:vAlign w:val="center"/>
          </w:tcPr>
          <w:p>
            <w:pPr>
              <w:pStyle w:val="12"/>
            </w:pPr>
            <w:r>
              <w:t>综合事务管理工作完成率</w:t>
            </w:r>
          </w:p>
        </w:tc>
        <w:tc>
          <w:tcPr>
            <w:tcW w:w="2268" w:type="dxa"/>
            <w:vAlign w:val="center"/>
          </w:tcPr>
          <w:p>
            <w:pPr>
              <w:pStyle w:val="12"/>
            </w:pPr>
            <w:r>
              <w:t>≥95%</w:t>
            </w:r>
          </w:p>
        </w:tc>
        <w:tc>
          <w:tcPr>
            <w:tcW w:w="1276" w:type="dxa"/>
            <w:vAlign w:val="center"/>
          </w:tcPr>
          <w:p>
            <w:pPr>
              <w:pStyle w:val="12"/>
            </w:pPr>
            <w:r>
              <w:t>目标计划值、秦皇岛市信访工作联席会议办公室关于做好市“两会”期间信访值班工作的通知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各项任务完成及时限</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目标计划值、秦皇岛市信访工作联席会议办公室关于做好市“两会”期间信访值班工作的通知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信访稳定工作支出</w:t>
            </w:r>
          </w:p>
        </w:tc>
        <w:tc>
          <w:tcPr>
            <w:tcW w:w="5386" w:type="dxa"/>
            <w:vAlign w:val="center"/>
          </w:tcPr>
          <w:p>
            <w:pPr>
              <w:pStyle w:val="12"/>
            </w:pPr>
            <w:r>
              <w:t>信访稳定工作支出13万元</w:t>
            </w:r>
          </w:p>
        </w:tc>
        <w:tc>
          <w:tcPr>
            <w:tcW w:w="2268" w:type="dxa"/>
            <w:vAlign w:val="center"/>
          </w:tcPr>
          <w:p>
            <w:pPr>
              <w:pStyle w:val="12"/>
            </w:pPr>
            <w:r>
              <w:t>≤13万元</w:t>
            </w:r>
          </w:p>
        </w:tc>
        <w:tc>
          <w:tcPr>
            <w:tcW w:w="1276" w:type="dxa"/>
            <w:vAlign w:val="center"/>
          </w:tcPr>
          <w:p>
            <w:pPr>
              <w:pStyle w:val="12"/>
            </w:pPr>
            <w:r>
              <w:t>目标计划值、秦皇岛市信访工作联席会议办公室关于做好市“两会”期间信访值班工作的通知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w:t>
            </w:r>
          </w:p>
        </w:tc>
        <w:tc>
          <w:tcPr>
            <w:tcW w:w="2268" w:type="dxa"/>
            <w:vAlign w:val="center"/>
          </w:tcPr>
          <w:p>
            <w:pPr>
              <w:pStyle w:val="12"/>
            </w:pPr>
            <w:r>
              <w:t>日常工作持续有效运转</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维护农村和谐和稳定</w:t>
            </w:r>
          </w:p>
        </w:tc>
        <w:tc>
          <w:tcPr>
            <w:tcW w:w="5386" w:type="dxa"/>
            <w:vAlign w:val="center"/>
          </w:tcPr>
          <w:p>
            <w:pPr>
              <w:pStyle w:val="12"/>
            </w:pPr>
            <w:r>
              <w:t>维护农村和谐和稳定。</w:t>
            </w:r>
          </w:p>
        </w:tc>
        <w:tc>
          <w:tcPr>
            <w:tcW w:w="2268" w:type="dxa"/>
            <w:vAlign w:val="center"/>
          </w:tcPr>
          <w:p>
            <w:pPr>
              <w:pStyle w:val="12"/>
            </w:pPr>
            <w:r>
              <w:t>建设和谐稳定的社会主义新农村</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6、2024年村级组织运转经费市级补助资金（村党组织活动经费）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13031324P00535810960C</w:t>
            </w:r>
          </w:p>
        </w:tc>
        <w:tc>
          <w:tcPr>
            <w:tcW w:w="2835" w:type="dxa"/>
            <w:vAlign w:val="center"/>
          </w:tcPr>
          <w:p>
            <w:pPr>
              <w:pStyle w:val="10"/>
            </w:pPr>
            <w:r>
              <w:t>项目名称</w:t>
            </w:r>
          </w:p>
        </w:tc>
        <w:tc>
          <w:tcPr>
            <w:tcW w:w="6094" w:type="dxa"/>
            <w:gridSpan w:val="3"/>
            <w:vAlign w:val="center"/>
          </w:tcPr>
          <w:p>
            <w:pPr>
              <w:pStyle w:val="12"/>
            </w:pPr>
            <w:r>
              <w:t>2024年村级组织运转经费市级补助资金（村党组织活动经费）</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w:t>
            </w:r>
          </w:p>
        </w:tc>
        <w:tc>
          <w:tcPr>
            <w:tcW w:w="2835" w:type="dxa"/>
            <w:vAlign w:val="center"/>
          </w:tcPr>
          <w:p>
            <w:pPr>
              <w:pStyle w:val="10"/>
            </w:pPr>
            <w:r>
              <w:t>其中：财政    资金</w:t>
            </w:r>
          </w:p>
        </w:tc>
        <w:tc>
          <w:tcPr>
            <w:tcW w:w="2551" w:type="dxa"/>
            <w:vAlign w:val="center"/>
          </w:tcPr>
          <w:p>
            <w:pPr>
              <w:pStyle w:val="12"/>
            </w:pPr>
            <w:r>
              <w:t>2.60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此项资金用于村党组织活动的支出，维护基层组织正常运转。严格按照有关规定要求合理使用资金，专款专用，切实加快资金支出进度。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1.目标内容1此项资金用于村党组织活动的支出，维护基层组织正常运转。</w:t>
            </w:r>
            <w:r>
              <w:tab/>
            </w:r>
            <w:r>
              <w:tab/>
            </w:r>
            <w:r>
              <w:tab/>
            </w:r>
            <w:r>
              <w:tab/>
            </w:r>
            <w:r>
              <w:tab/>
            </w:r>
            <w:r>
              <w:tab/>
            </w:r>
          </w:p>
          <w:p>
            <w:pPr>
              <w:pStyle w:val="12"/>
            </w:pPr>
          </w:p>
          <w:p>
            <w:pPr>
              <w:pStyle w:val="12"/>
            </w:pPr>
            <w:r>
              <w:t>2.目标内容2严格按照有关规定要求合理使用资金，专款专用，切实加快资金支出进度。</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发放数据的准确性</w:t>
            </w:r>
          </w:p>
        </w:tc>
        <w:tc>
          <w:tcPr>
            <w:tcW w:w="5386" w:type="dxa"/>
            <w:vAlign w:val="center"/>
          </w:tcPr>
          <w:p>
            <w:pPr>
              <w:pStyle w:val="12"/>
            </w:pPr>
            <w:r>
              <w:t>发放数据的准确性</w:t>
            </w:r>
          </w:p>
        </w:tc>
        <w:tc>
          <w:tcPr>
            <w:tcW w:w="2268" w:type="dxa"/>
            <w:vAlign w:val="center"/>
          </w:tcPr>
          <w:p>
            <w:pPr>
              <w:pStyle w:val="12"/>
            </w:pPr>
            <w:r>
              <w:t>100%</w:t>
            </w:r>
          </w:p>
        </w:tc>
        <w:tc>
          <w:tcPr>
            <w:tcW w:w="1276" w:type="dxa"/>
            <w:vAlign w:val="center"/>
          </w:tcPr>
          <w:p>
            <w:pPr>
              <w:pStyle w:val="12"/>
            </w:pPr>
            <w:r>
              <w:t>准确发放资金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及时对村内拨付经费</w:t>
            </w:r>
          </w:p>
        </w:tc>
        <w:tc>
          <w:tcPr>
            <w:tcW w:w="2268" w:type="dxa"/>
            <w:vAlign w:val="center"/>
          </w:tcPr>
          <w:p>
            <w:pPr>
              <w:pStyle w:val="12"/>
            </w:pPr>
            <w:r>
              <w:t>大于、等于90%为优，80%-89%为良，60%-79%为中，小于60%为差</w:t>
            </w:r>
          </w:p>
        </w:tc>
        <w:tc>
          <w:tcPr>
            <w:tcW w:w="1276" w:type="dxa"/>
            <w:vAlign w:val="center"/>
          </w:tcPr>
          <w:p>
            <w:pPr>
              <w:pStyle w:val="12"/>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≤2.6万元</w:t>
            </w:r>
          </w:p>
        </w:tc>
        <w:tc>
          <w:tcPr>
            <w:tcW w:w="1276" w:type="dxa"/>
            <w:vAlign w:val="center"/>
          </w:tcPr>
          <w:p>
            <w:pPr>
              <w:pStyle w:val="12"/>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行政村保障经费数量</w:t>
            </w:r>
          </w:p>
        </w:tc>
        <w:tc>
          <w:tcPr>
            <w:tcW w:w="5386" w:type="dxa"/>
            <w:vAlign w:val="center"/>
          </w:tcPr>
          <w:p>
            <w:pPr>
              <w:pStyle w:val="12"/>
            </w:pPr>
            <w:r>
              <w:t>涉及范围十三个行政村</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w:t>
            </w:r>
          </w:p>
        </w:tc>
        <w:tc>
          <w:tcPr>
            <w:tcW w:w="5386" w:type="dxa"/>
            <w:vAlign w:val="center"/>
          </w:tcPr>
          <w:p>
            <w:pPr>
              <w:pStyle w:val="12"/>
            </w:pPr>
            <w:r>
              <w:t>促进生态文明建设，推动绿色发展和绿色生活方式</w:t>
            </w:r>
          </w:p>
        </w:tc>
        <w:tc>
          <w:tcPr>
            <w:tcW w:w="2268" w:type="dxa"/>
            <w:vAlign w:val="center"/>
          </w:tcPr>
          <w:p>
            <w:pPr>
              <w:pStyle w:val="12"/>
            </w:pPr>
            <w:r>
              <w:t>推动绿色生活方式的养成，建设美丽宜居的新型农村</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大于、等于90%为优，80%-89%为良，60%-79%为中，小于60%为差</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7、化工大学项目清表费用绩效目标表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13031324P00880110798W</w:t>
            </w:r>
          </w:p>
        </w:tc>
        <w:tc>
          <w:tcPr>
            <w:tcW w:w="2835" w:type="dxa"/>
            <w:vAlign w:val="center"/>
          </w:tcPr>
          <w:p>
            <w:pPr>
              <w:pStyle w:val="10"/>
            </w:pPr>
            <w:r>
              <w:t>项目名称</w:t>
            </w:r>
          </w:p>
        </w:tc>
        <w:tc>
          <w:tcPr>
            <w:tcW w:w="6094" w:type="dxa"/>
            <w:gridSpan w:val="3"/>
            <w:vAlign w:val="center"/>
          </w:tcPr>
          <w:p>
            <w:pPr>
              <w:pStyle w:val="12"/>
            </w:pPr>
            <w:r>
              <w:t>化工大学项目清表费用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57.56</w:t>
            </w:r>
          </w:p>
        </w:tc>
        <w:tc>
          <w:tcPr>
            <w:tcW w:w="2835" w:type="dxa"/>
            <w:vAlign w:val="center"/>
          </w:tcPr>
          <w:p>
            <w:pPr>
              <w:pStyle w:val="10"/>
            </w:pPr>
            <w:r>
              <w:t>其中：财政    资金</w:t>
            </w:r>
          </w:p>
        </w:tc>
        <w:tc>
          <w:tcPr>
            <w:tcW w:w="2551" w:type="dxa"/>
            <w:vAlign w:val="center"/>
          </w:tcPr>
          <w:p>
            <w:pPr>
              <w:pStyle w:val="12"/>
            </w:pPr>
            <w:r>
              <w:t>57.56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用于辖区内化工大学地块清表费用，推进工作进展。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1.目标内容1用于辖区内化工大学地块清表费用，推进工作进展。</w:t>
            </w:r>
          </w:p>
          <w:p>
            <w:pPr>
              <w:pStyle w:val="12"/>
            </w:pPr>
            <w:r>
              <w:t>2.目标内容2严格遵守规章制度，公平公正、一视同仁、确保社会稳定。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工程结算审核报告</w:t>
            </w:r>
          </w:p>
        </w:tc>
        <w:tc>
          <w:tcPr>
            <w:tcW w:w="5386" w:type="dxa"/>
            <w:vAlign w:val="center"/>
          </w:tcPr>
          <w:p>
            <w:pPr>
              <w:pStyle w:val="12"/>
            </w:pPr>
            <w:r>
              <w:t>工程结算审核报告</w:t>
            </w:r>
          </w:p>
        </w:tc>
        <w:tc>
          <w:tcPr>
            <w:tcW w:w="2268" w:type="dxa"/>
            <w:vAlign w:val="center"/>
          </w:tcPr>
          <w:p>
            <w:pPr>
              <w:pStyle w:val="12"/>
            </w:pPr>
            <w:r>
              <w:t>≥1份</w:t>
            </w:r>
          </w:p>
        </w:tc>
        <w:tc>
          <w:tcPr>
            <w:tcW w:w="1276" w:type="dxa"/>
            <w:vAlign w:val="center"/>
          </w:tcPr>
          <w:p>
            <w:pPr>
              <w:pStyle w:val="12"/>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推进化工大学项目清表工作进展</w:t>
            </w:r>
          </w:p>
        </w:tc>
        <w:tc>
          <w:tcPr>
            <w:tcW w:w="5386" w:type="dxa"/>
            <w:vAlign w:val="center"/>
          </w:tcPr>
          <w:p>
            <w:pPr>
              <w:pStyle w:val="12"/>
            </w:pPr>
            <w:r>
              <w:t>各项工作有序推进，运转正常</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w:t>
            </w:r>
          </w:p>
        </w:tc>
        <w:tc>
          <w:tcPr>
            <w:tcW w:w="5386" w:type="dxa"/>
            <w:vAlign w:val="center"/>
          </w:tcPr>
          <w:p>
            <w:pPr>
              <w:pStyle w:val="12"/>
            </w:pPr>
            <w:r>
              <w:t>按照工程结算审核报告控制在预算资金内</w:t>
            </w:r>
          </w:p>
        </w:tc>
        <w:tc>
          <w:tcPr>
            <w:tcW w:w="2268" w:type="dxa"/>
            <w:vAlign w:val="center"/>
          </w:tcPr>
          <w:p>
            <w:pPr>
              <w:pStyle w:val="12"/>
            </w:pPr>
            <w:r>
              <w:t>≤57.56万元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有效提高</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有效保证项目顺利开展</w:t>
            </w:r>
          </w:p>
        </w:tc>
        <w:tc>
          <w:tcPr>
            <w:tcW w:w="2268" w:type="dxa"/>
            <w:vAlign w:val="center"/>
          </w:tcPr>
          <w:p>
            <w:pPr>
              <w:pStyle w:val="12"/>
            </w:pPr>
            <w:r>
              <w:t>顺利开展</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改善人民生活环境</w:t>
            </w:r>
          </w:p>
        </w:tc>
        <w:tc>
          <w:tcPr>
            <w:tcW w:w="5386" w:type="dxa"/>
            <w:vAlign w:val="center"/>
          </w:tcPr>
          <w:p>
            <w:pPr>
              <w:pStyle w:val="12"/>
            </w:pPr>
            <w:r>
              <w:t>改善人民生活环境</w:t>
            </w:r>
          </w:p>
        </w:tc>
        <w:tc>
          <w:tcPr>
            <w:tcW w:w="2268" w:type="dxa"/>
            <w:vAlign w:val="center"/>
          </w:tcPr>
          <w:p>
            <w:pPr>
              <w:pStyle w:val="12"/>
            </w:pPr>
            <w:r>
              <w:t>有效改善</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提供可持续性服务</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8、农村人居环境整治（农村环卫保洁）（河道保洁）项目资金绩效目标表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13031324P00880110755J</w:t>
            </w:r>
          </w:p>
        </w:tc>
        <w:tc>
          <w:tcPr>
            <w:tcW w:w="2835" w:type="dxa"/>
            <w:vAlign w:val="center"/>
          </w:tcPr>
          <w:p>
            <w:pPr>
              <w:pStyle w:val="10"/>
            </w:pPr>
            <w:r>
              <w:t>项目名称</w:t>
            </w:r>
          </w:p>
        </w:tc>
        <w:tc>
          <w:tcPr>
            <w:tcW w:w="6094" w:type="dxa"/>
            <w:gridSpan w:val="3"/>
            <w:vAlign w:val="center"/>
          </w:tcPr>
          <w:p>
            <w:pPr>
              <w:pStyle w:val="12"/>
            </w:pPr>
            <w:r>
              <w:t>农村人居环境整治（农村环卫保洁）（河道保洁）项目资金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171.00</w:t>
            </w:r>
          </w:p>
        </w:tc>
        <w:tc>
          <w:tcPr>
            <w:tcW w:w="2835" w:type="dxa"/>
            <w:vAlign w:val="center"/>
          </w:tcPr>
          <w:p>
            <w:pPr>
              <w:pStyle w:val="10"/>
            </w:pPr>
            <w:r>
              <w:t>其中：财政    资金</w:t>
            </w:r>
          </w:p>
        </w:tc>
        <w:tc>
          <w:tcPr>
            <w:tcW w:w="2551" w:type="dxa"/>
            <w:vAlign w:val="center"/>
          </w:tcPr>
          <w:p>
            <w:pPr>
              <w:pStyle w:val="12"/>
            </w:pPr>
            <w:r>
              <w:t>171.00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资金用于进一步加强我辖区农村环境卫生整治，切实改善人居环境。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1.目标内容1为进一步加强我辖区农村环境卫生整治，切实改善人居环境。</w:t>
            </w:r>
          </w:p>
          <w:p>
            <w:pPr>
              <w:pStyle w:val="12"/>
            </w:pPr>
            <w:r>
              <w:t>2.目标内容2建立长效机制，严格按照有关规定要求合理使用资金，专款专用，切实加快资金支出进度。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农村环卫保洁涉及范围</w:t>
            </w:r>
          </w:p>
        </w:tc>
        <w:tc>
          <w:tcPr>
            <w:tcW w:w="5386" w:type="dxa"/>
            <w:vAlign w:val="center"/>
          </w:tcPr>
          <w:p>
            <w:pPr>
              <w:pStyle w:val="12"/>
            </w:pPr>
            <w:r>
              <w:t>农村环卫保洁涉及范围十三个行政村</w:t>
            </w:r>
          </w:p>
        </w:tc>
        <w:tc>
          <w:tcPr>
            <w:tcW w:w="2268" w:type="dxa"/>
            <w:vAlign w:val="center"/>
          </w:tcPr>
          <w:p>
            <w:pPr>
              <w:pStyle w:val="12"/>
            </w:pPr>
            <w:r>
              <w:t>≤13个</w:t>
            </w:r>
          </w:p>
        </w:tc>
        <w:tc>
          <w:tcPr>
            <w:tcW w:w="1276" w:type="dxa"/>
            <w:vAlign w:val="center"/>
          </w:tcPr>
          <w:p>
            <w:pPr>
              <w:pStyle w:val="12"/>
            </w:pPr>
            <w:r>
              <w:t>目标计划值、合同、秦皇岛北戴河新区社会发展局秦皇岛北戴河新区城市管理和交通局关于农村垃圾治理工作的相关说明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治理成效</w:t>
            </w:r>
          </w:p>
        </w:tc>
        <w:tc>
          <w:tcPr>
            <w:tcW w:w="5386" w:type="dxa"/>
            <w:vAlign w:val="center"/>
          </w:tcPr>
          <w:p>
            <w:pPr>
              <w:pStyle w:val="12"/>
            </w:pPr>
            <w:r>
              <w:t>农村环卫保洁服务质量</w:t>
            </w:r>
          </w:p>
        </w:tc>
        <w:tc>
          <w:tcPr>
            <w:tcW w:w="2268" w:type="dxa"/>
            <w:vAlign w:val="center"/>
          </w:tcPr>
          <w:p>
            <w:pPr>
              <w:pStyle w:val="12"/>
            </w:pPr>
            <w:r>
              <w:t>不低于合同约定标准</w:t>
            </w:r>
          </w:p>
        </w:tc>
        <w:tc>
          <w:tcPr>
            <w:tcW w:w="1276" w:type="dxa"/>
            <w:vAlign w:val="center"/>
          </w:tcPr>
          <w:p>
            <w:pPr>
              <w:pStyle w:val="12"/>
            </w:pPr>
            <w:r>
              <w:t>目标计划值、合同、秦皇岛北戴河新区社会发展局秦皇岛北戴河新区城市管理和交通局关于农村垃圾治理工作的相关说明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及时对村内环境卫生进行清理</w:t>
            </w:r>
          </w:p>
        </w:tc>
        <w:tc>
          <w:tcPr>
            <w:tcW w:w="2268" w:type="dxa"/>
            <w:vAlign w:val="center"/>
          </w:tcPr>
          <w:p>
            <w:pPr>
              <w:pStyle w:val="12"/>
            </w:pPr>
            <w:r>
              <w:t>日产日清</w:t>
            </w:r>
          </w:p>
        </w:tc>
        <w:tc>
          <w:tcPr>
            <w:tcW w:w="1276" w:type="dxa"/>
            <w:vAlign w:val="center"/>
          </w:tcPr>
          <w:p>
            <w:pPr>
              <w:pStyle w:val="12"/>
            </w:pPr>
            <w:r>
              <w:t>目标计划值、合同、秦皇岛北戴河新区社会发展局秦皇岛北戴河新区城市管理和交通局关于农村垃圾治理工作的相关说明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农村环卫保洁支出</w:t>
            </w:r>
          </w:p>
        </w:tc>
        <w:tc>
          <w:tcPr>
            <w:tcW w:w="5386" w:type="dxa"/>
            <w:vAlign w:val="center"/>
          </w:tcPr>
          <w:p>
            <w:pPr>
              <w:pStyle w:val="12"/>
            </w:pPr>
            <w:r>
              <w:t>农村环卫保洁项目支出171万元</w:t>
            </w:r>
          </w:p>
        </w:tc>
        <w:tc>
          <w:tcPr>
            <w:tcW w:w="2268" w:type="dxa"/>
            <w:vAlign w:val="center"/>
          </w:tcPr>
          <w:p>
            <w:pPr>
              <w:pStyle w:val="12"/>
            </w:pPr>
            <w:r>
              <w:t>≤171万元</w:t>
            </w:r>
          </w:p>
        </w:tc>
        <w:tc>
          <w:tcPr>
            <w:tcW w:w="1276" w:type="dxa"/>
            <w:vAlign w:val="center"/>
          </w:tcPr>
          <w:p>
            <w:pPr>
              <w:pStyle w:val="12"/>
            </w:pPr>
            <w:r>
              <w:t>合同、秦皇岛北戴河新区社会发展局秦皇岛北戴河新区城市管理和交通局关于农村垃圾治理工作的相关说明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持续美化人居环境，建立长效机制</w:t>
            </w:r>
          </w:p>
        </w:tc>
        <w:tc>
          <w:tcPr>
            <w:tcW w:w="1276" w:type="dxa"/>
            <w:vAlign w:val="center"/>
          </w:tcPr>
          <w:p>
            <w:pPr>
              <w:pStyle w:val="12"/>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保持环境整洁</w:t>
            </w:r>
          </w:p>
        </w:tc>
        <w:tc>
          <w:tcPr>
            <w:tcW w:w="5386" w:type="dxa"/>
            <w:vAlign w:val="center"/>
          </w:tcPr>
          <w:p>
            <w:pPr>
              <w:pStyle w:val="12"/>
            </w:pPr>
            <w:r>
              <w:t>长效保持人居环境整洁</w:t>
            </w:r>
          </w:p>
        </w:tc>
        <w:tc>
          <w:tcPr>
            <w:tcW w:w="2268" w:type="dxa"/>
            <w:vAlign w:val="center"/>
          </w:tcPr>
          <w:p>
            <w:pPr>
              <w:pStyle w:val="12"/>
            </w:pPr>
            <w:r>
              <w:t>≥90%</w:t>
            </w:r>
          </w:p>
        </w:tc>
        <w:tc>
          <w:tcPr>
            <w:tcW w:w="1276" w:type="dxa"/>
            <w:vAlign w:val="center"/>
          </w:tcPr>
          <w:p>
            <w:pPr>
              <w:pStyle w:val="12"/>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w:t>
            </w:r>
          </w:p>
        </w:tc>
        <w:tc>
          <w:tcPr>
            <w:tcW w:w="5386" w:type="dxa"/>
            <w:vAlign w:val="center"/>
          </w:tcPr>
          <w:p>
            <w:pPr>
              <w:pStyle w:val="12"/>
            </w:pPr>
            <w:r>
              <w:t>促进生态文明建设，推动绿色发展和绿色生活方式</w:t>
            </w:r>
          </w:p>
        </w:tc>
        <w:tc>
          <w:tcPr>
            <w:tcW w:w="2268" w:type="dxa"/>
            <w:vAlign w:val="center"/>
          </w:tcPr>
          <w:p>
            <w:pPr>
              <w:pStyle w:val="12"/>
            </w:pPr>
            <w:r>
              <w:t>推动绿色生活方式的养成，建设美丽宜居的新型农村</w:t>
            </w:r>
          </w:p>
          <w:p>
            <w:pPr>
              <w:pStyle w:val="12"/>
            </w:pPr>
          </w:p>
        </w:tc>
        <w:tc>
          <w:tcPr>
            <w:tcW w:w="1276" w:type="dxa"/>
            <w:vAlign w:val="center"/>
          </w:tcPr>
          <w:p>
            <w:pPr>
              <w:pStyle w:val="12"/>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受益人员满意数量占总数的比例</w:t>
            </w:r>
          </w:p>
        </w:tc>
        <w:tc>
          <w:tcPr>
            <w:tcW w:w="2268" w:type="dxa"/>
            <w:vAlign w:val="center"/>
          </w:tcPr>
          <w:p>
            <w:pPr>
              <w:pStyle w:val="12"/>
            </w:pPr>
            <w:r>
              <w:t>≥90%</w:t>
            </w:r>
          </w:p>
        </w:tc>
        <w:tc>
          <w:tcPr>
            <w:tcW w:w="1276" w:type="dxa"/>
            <w:vAlign w:val="center"/>
          </w:tcPr>
          <w:p>
            <w:pPr>
              <w:pStyle w:val="12"/>
            </w:pPr>
            <w:r>
              <w:t xml:space="preserve">目标计划值 </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9、秦财社【2023】739号提前下达2024年省级城乡居民社会保险代办员补助资金绩效目标表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13031324P005358108294</w:t>
            </w:r>
          </w:p>
        </w:tc>
        <w:tc>
          <w:tcPr>
            <w:tcW w:w="2835" w:type="dxa"/>
            <w:vAlign w:val="center"/>
          </w:tcPr>
          <w:p>
            <w:pPr>
              <w:pStyle w:val="10"/>
            </w:pPr>
            <w:r>
              <w:t>项目名称</w:t>
            </w:r>
          </w:p>
        </w:tc>
        <w:tc>
          <w:tcPr>
            <w:tcW w:w="6094" w:type="dxa"/>
            <w:gridSpan w:val="3"/>
            <w:vAlign w:val="center"/>
          </w:tcPr>
          <w:p>
            <w:pPr>
              <w:pStyle w:val="12"/>
            </w:pPr>
            <w:r>
              <w:t>秦财社【2023】739号提前下达2024年省级城乡居民社会保险代办员补助资金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0.23</w:t>
            </w:r>
          </w:p>
        </w:tc>
        <w:tc>
          <w:tcPr>
            <w:tcW w:w="2835" w:type="dxa"/>
            <w:vAlign w:val="center"/>
          </w:tcPr>
          <w:p>
            <w:pPr>
              <w:pStyle w:val="10"/>
            </w:pPr>
            <w:r>
              <w:t>其中：财政    资金</w:t>
            </w:r>
          </w:p>
        </w:tc>
        <w:tc>
          <w:tcPr>
            <w:tcW w:w="2551" w:type="dxa"/>
            <w:vAlign w:val="center"/>
          </w:tcPr>
          <w:p>
            <w:pPr>
              <w:pStyle w:val="12"/>
            </w:pPr>
            <w:r>
              <w:t>0.23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保障每个行政村都有专人负责城乡居民社会保险经办服务</w:t>
            </w:r>
            <w:r>
              <w:tab/>
            </w:r>
            <w:r>
              <w:t>；保障城乡居民社会保险代办员综合素质和服务能力提升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1.目标内容1保障每个行政村都有专人负责城乡居民社会保险经办服务</w:t>
            </w:r>
            <w:r>
              <w:tab/>
            </w:r>
            <w:r>
              <w:tab/>
            </w:r>
            <w:r>
              <w:tab/>
            </w:r>
            <w:r>
              <w:tab/>
            </w:r>
            <w:r>
              <w:tab/>
            </w:r>
            <w:r>
              <w:tab/>
            </w:r>
          </w:p>
          <w:p>
            <w:pPr>
              <w:pStyle w:val="12"/>
            </w:pPr>
          </w:p>
          <w:p>
            <w:pPr>
              <w:pStyle w:val="12"/>
            </w:pPr>
            <w:r>
              <w:t>2.目标内容2保障城乡居民社会保险代办员综合素质和服务能力提升</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城乡居民基本养老保险参保人数</w:t>
            </w:r>
          </w:p>
        </w:tc>
        <w:tc>
          <w:tcPr>
            <w:tcW w:w="5386" w:type="dxa"/>
            <w:vAlign w:val="center"/>
          </w:tcPr>
          <w:p>
            <w:pPr>
              <w:pStyle w:val="12"/>
            </w:pPr>
            <w:r>
              <w:t>城乡居民基本养老保险参保人数</w:t>
            </w:r>
          </w:p>
        </w:tc>
        <w:tc>
          <w:tcPr>
            <w:tcW w:w="2268" w:type="dxa"/>
            <w:vAlign w:val="center"/>
          </w:tcPr>
          <w:p>
            <w:pPr>
              <w:pStyle w:val="12"/>
            </w:pPr>
            <w:r>
              <w:t>大于、等于90%为优，80%-89%为良，60%-79%为中，小于60%为差</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村级代办员配备情况</w:t>
            </w:r>
          </w:p>
        </w:tc>
        <w:tc>
          <w:tcPr>
            <w:tcW w:w="5386" w:type="dxa"/>
            <w:vAlign w:val="center"/>
          </w:tcPr>
          <w:p>
            <w:pPr>
              <w:pStyle w:val="12"/>
            </w:pPr>
            <w:r>
              <w:t>村民委员会配备代办员的比例</w:t>
            </w:r>
          </w:p>
        </w:tc>
        <w:tc>
          <w:tcPr>
            <w:tcW w:w="2268" w:type="dxa"/>
            <w:vAlign w:val="center"/>
          </w:tcPr>
          <w:p>
            <w:pPr>
              <w:pStyle w:val="12"/>
            </w:pPr>
            <w:r>
              <w:t>100%</w:t>
            </w:r>
          </w:p>
        </w:tc>
        <w:tc>
          <w:tcPr>
            <w:tcW w:w="1276" w:type="dxa"/>
            <w:vAlign w:val="center"/>
          </w:tcPr>
          <w:p>
            <w:pPr>
              <w:pStyle w:val="12"/>
            </w:pPr>
            <w:r>
              <w:t>及时完成资金发放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财政资金到位时间</w:t>
            </w:r>
          </w:p>
        </w:tc>
        <w:tc>
          <w:tcPr>
            <w:tcW w:w="5386" w:type="dxa"/>
            <w:vAlign w:val="center"/>
          </w:tcPr>
          <w:p>
            <w:pPr>
              <w:pStyle w:val="12"/>
            </w:pPr>
            <w:r>
              <w:t>实际下拨资金的及时性</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财政资金到位金额</w:t>
            </w:r>
          </w:p>
        </w:tc>
        <w:tc>
          <w:tcPr>
            <w:tcW w:w="5386" w:type="dxa"/>
            <w:vAlign w:val="center"/>
          </w:tcPr>
          <w:p>
            <w:pPr>
              <w:pStyle w:val="12"/>
            </w:pPr>
            <w:r>
              <w:t>实际下拨资金的金额</w:t>
            </w:r>
          </w:p>
        </w:tc>
        <w:tc>
          <w:tcPr>
            <w:tcW w:w="2268" w:type="dxa"/>
            <w:vAlign w:val="center"/>
          </w:tcPr>
          <w:p>
            <w:pPr>
              <w:pStyle w:val="12"/>
            </w:pPr>
            <w:r>
              <w:t>≤0.24万元</w:t>
            </w:r>
          </w:p>
        </w:tc>
        <w:tc>
          <w:tcPr>
            <w:tcW w:w="1276" w:type="dxa"/>
            <w:vAlign w:val="center"/>
          </w:tcPr>
          <w:p>
            <w:pPr>
              <w:pStyle w:val="12"/>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经办服务</w:t>
            </w:r>
          </w:p>
        </w:tc>
        <w:tc>
          <w:tcPr>
            <w:tcW w:w="5386" w:type="dxa"/>
            <w:vAlign w:val="center"/>
          </w:tcPr>
          <w:p>
            <w:pPr>
              <w:pStyle w:val="12"/>
            </w:pPr>
            <w:r>
              <w:t>推进国家和省重点工作落实，提升办理和服务水平。</w:t>
            </w:r>
          </w:p>
        </w:tc>
        <w:tc>
          <w:tcPr>
            <w:tcW w:w="2268" w:type="dxa"/>
            <w:vAlign w:val="center"/>
          </w:tcPr>
          <w:p>
            <w:pPr>
              <w:pStyle w:val="12"/>
            </w:pPr>
            <w:r>
              <w:t>有效提升</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协办员生活水平有所提高</w:t>
            </w:r>
          </w:p>
        </w:tc>
        <w:tc>
          <w:tcPr>
            <w:tcW w:w="5386" w:type="dxa"/>
            <w:vAlign w:val="center"/>
          </w:tcPr>
          <w:p>
            <w:pPr>
              <w:pStyle w:val="12"/>
            </w:pPr>
            <w:r>
              <w:t>协办员生活水平有所提高</w:t>
            </w:r>
          </w:p>
        </w:tc>
        <w:tc>
          <w:tcPr>
            <w:tcW w:w="2268" w:type="dxa"/>
            <w:vAlign w:val="center"/>
          </w:tcPr>
          <w:p>
            <w:pPr>
              <w:pStyle w:val="12"/>
            </w:pPr>
            <w:r>
              <w:t>有所提高</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群众对城乡居民养老保险、就业公共服务村级代办员服务满意程度</w:t>
            </w:r>
          </w:p>
        </w:tc>
        <w:tc>
          <w:tcPr>
            <w:tcW w:w="2268" w:type="dxa"/>
            <w:vAlign w:val="center"/>
          </w:tcPr>
          <w:p>
            <w:pPr>
              <w:pStyle w:val="12"/>
            </w:pPr>
            <w:r>
              <w:t>大于、等于90%为优，80%-89%为良，60%-79%为中，小于60%为差</w:t>
            </w:r>
          </w:p>
        </w:tc>
        <w:tc>
          <w:tcPr>
            <w:tcW w:w="1276" w:type="dxa"/>
            <w:vAlign w:val="center"/>
          </w:tcPr>
          <w:p>
            <w:pPr>
              <w:pStyle w:val="12"/>
            </w:pPr>
            <w:r>
              <w:t>受益群众达到满意</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10、提前下达2024年“三馆一站”免费开放市级配套资金绩效目标表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13031324P00535810890N</w:t>
            </w:r>
          </w:p>
        </w:tc>
        <w:tc>
          <w:tcPr>
            <w:tcW w:w="2835" w:type="dxa"/>
            <w:vAlign w:val="center"/>
          </w:tcPr>
          <w:p>
            <w:pPr>
              <w:pStyle w:val="10"/>
            </w:pPr>
            <w:r>
              <w:t>项目名称</w:t>
            </w:r>
          </w:p>
        </w:tc>
        <w:tc>
          <w:tcPr>
            <w:tcW w:w="6094" w:type="dxa"/>
            <w:gridSpan w:val="3"/>
            <w:vAlign w:val="center"/>
          </w:tcPr>
          <w:p>
            <w:pPr>
              <w:pStyle w:val="12"/>
            </w:pPr>
            <w:r>
              <w:t>提前下达2024年“三馆一站”免费开放市级配套资金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用于"三馆一站“免费开放等支出，提升公共文化服务质量。严格按照有关规定要求合理使用资金，专款专用，切实加快资金支出进度。</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1.目标内容1用于"三馆一站“免费开放等支出，提升公共文化服务质量。</w:t>
            </w:r>
          </w:p>
          <w:p>
            <w:pPr>
              <w:pStyle w:val="12"/>
            </w:pPr>
          </w:p>
          <w:p>
            <w:pPr>
              <w:pStyle w:val="12"/>
            </w:pPr>
            <w:r>
              <w:t>2.目标内容2目标内容2严格按照有关规定要求合理使用资金，专款专用，切实加快资金支出进度。</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保障工作有效进行</w:t>
            </w:r>
          </w:p>
        </w:tc>
        <w:tc>
          <w:tcPr>
            <w:tcW w:w="5386" w:type="dxa"/>
            <w:vAlign w:val="center"/>
          </w:tcPr>
          <w:p>
            <w:pPr>
              <w:pStyle w:val="12"/>
            </w:pPr>
            <w:r>
              <w:t>保障工作有效进行</w:t>
            </w:r>
          </w:p>
        </w:tc>
        <w:tc>
          <w:tcPr>
            <w:tcW w:w="2268" w:type="dxa"/>
            <w:vAlign w:val="center"/>
          </w:tcPr>
          <w:p>
            <w:pPr>
              <w:pStyle w:val="12"/>
            </w:pPr>
            <w:r>
              <w:t>保障工作</w:t>
            </w:r>
          </w:p>
        </w:tc>
        <w:tc>
          <w:tcPr>
            <w:tcW w:w="1276"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及时拨付经费</w:t>
            </w:r>
          </w:p>
        </w:tc>
        <w:tc>
          <w:tcPr>
            <w:tcW w:w="2268" w:type="dxa"/>
            <w:vAlign w:val="center"/>
          </w:tcPr>
          <w:p>
            <w:pPr>
              <w:pStyle w:val="12"/>
            </w:pPr>
            <w:r>
              <w:t>100%</w:t>
            </w:r>
          </w:p>
        </w:tc>
        <w:tc>
          <w:tcPr>
            <w:tcW w:w="1276" w:type="dxa"/>
            <w:vAlign w:val="center"/>
          </w:tcPr>
          <w:p>
            <w:pPr>
              <w:pStyle w:val="12"/>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≤0.5万元</w:t>
            </w:r>
          </w:p>
        </w:tc>
        <w:tc>
          <w:tcPr>
            <w:tcW w:w="1276" w:type="dxa"/>
            <w:vAlign w:val="center"/>
          </w:tcPr>
          <w:p>
            <w:pPr>
              <w:pStyle w:val="12"/>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文化演出场次</w:t>
            </w:r>
          </w:p>
        </w:tc>
        <w:tc>
          <w:tcPr>
            <w:tcW w:w="5386" w:type="dxa"/>
            <w:vAlign w:val="center"/>
          </w:tcPr>
          <w:p>
            <w:pPr>
              <w:pStyle w:val="12"/>
            </w:pPr>
            <w:r>
              <w:t>文化演出场次</w:t>
            </w:r>
          </w:p>
        </w:tc>
        <w:tc>
          <w:tcPr>
            <w:tcW w:w="2268" w:type="dxa"/>
            <w:vAlign w:val="center"/>
          </w:tcPr>
          <w:p>
            <w:pPr>
              <w:pStyle w:val="12"/>
            </w:pPr>
            <w:r>
              <w:t>≥1场</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免费开放文化场馆（站）正常运转</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带动其它相关消费项目增收情况</w:t>
            </w:r>
          </w:p>
          <w:p>
            <w:pPr>
              <w:pStyle w:val="12"/>
            </w:pPr>
          </w:p>
        </w:tc>
        <w:tc>
          <w:tcPr>
            <w:tcW w:w="5386" w:type="dxa"/>
            <w:vAlign w:val="center"/>
          </w:tcPr>
          <w:p>
            <w:pPr>
              <w:pStyle w:val="12"/>
            </w:pPr>
            <w:r>
              <w:t>带动其它相关消费项目增收情况</w:t>
            </w:r>
          </w:p>
        </w:tc>
        <w:tc>
          <w:tcPr>
            <w:tcW w:w="2268" w:type="dxa"/>
            <w:vAlign w:val="center"/>
          </w:tcPr>
          <w:p>
            <w:pPr>
              <w:pStyle w:val="12"/>
            </w:pPr>
            <w:r>
              <w:t>提升精神文化质量，丰富业余生活</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5386" w:type="dxa"/>
            <w:vAlign w:val="center"/>
          </w:tcPr>
          <w:p>
            <w:pPr>
              <w:pStyle w:val="12"/>
            </w:pPr>
            <w:r>
              <w:t>免费开放服务水平稳步提升</w:t>
            </w:r>
          </w:p>
        </w:tc>
        <w:tc>
          <w:tcPr>
            <w:tcW w:w="2268" w:type="dxa"/>
            <w:vAlign w:val="center"/>
          </w:tcPr>
          <w:p>
            <w:pPr>
              <w:pStyle w:val="12"/>
            </w:pPr>
            <w:r>
              <w:t>长期</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受益群众对免费开放场馆（站）服务的满意度</w:t>
            </w:r>
          </w:p>
        </w:tc>
        <w:tc>
          <w:tcPr>
            <w:tcW w:w="5386" w:type="dxa"/>
            <w:vAlign w:val="center"/>
          </w:tcPr>
          <w:p>
            <w:pPr>
              <w:pStyle w:val="12"/>
            </w:pPr>
            <w:r>
              <w:t>受益群众对免费开放场馆（站）服务的满意度</w:t>
            </w:r>
          </w:p>
        </w:tc>
        <w:tc>
          <w:tcPr>
            <w:tcW w:w="2268" w:type="dxa"/>
            <w:vAlign w:val="center"/>
          </w:tcPr>
          <w:p>
            <w:pPr>
              <w:pStyle w:val="12"/>
            </w:pPr>
            <w:r>
              <w:t>≥90%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11、提前下达2024年基层“三馆一站”免费开放省级补助资金绩效目标表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13031324P00535810886G</w:t>
            </w:r>
          </w:p>
        </w:tc>
        <w:tc>
          <w:tcPr>
            <w:tcW w:w="2835" w:type="dxa"/>
            <w:vAlign w:val="center"/>
          </w:tcPr>
          <w:p>
            <w:pPr>
              <w:pStyle w:val="10"/>
            </w:pPr>
            <w:r>
              <w:t>项目名称</w:t>
            </w:r>
          </w:p>
        </w:tc>
        <w:tc>
          <w:tcPr>
            <w:tcW w:w="6094" w:type="dxa"/>
            <w:gridSpan w:val="3"/>
            <w:vAlign w:val="center"/>
          </w:tcPr>
          <w:p>
            <w:pPr>
              <w:pStyle w:val="12"/>
            </w:pPr>
            <w:r>
              <w:t>提前下达2024年基层“三馆一站”免费开放省级补助资金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用于"三馆一站“免费开放等支出，提升公共文化服务质量。严格按照有关规定要求合理使用资金，专款专用，切实加快资金支出进度。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1.目标内容1用于"三馆一站“免费开放等支出，提升公共文化服务质量。</w:t>
            </w:r>
            <w:r>
              <w:tab/>
            </w:r>
            <w:r>
              <w:tab/>
            </w:r>
          </w:p>
          <w:p>
            <w:pPr>
              <w:pStyle w:val="12"/>
            </w:pPr>
          </w:p>
          <w:p>
            <w:pPr>
              <w:pStyle w:val="12"/>
            </w:pPr>
            <w:r>
              <w:t>2.目标内容2严格按照有关规定要求合理使用资金，专款专用，切实加快资金支出进度。</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保障工作有效进行</w:t>
            </w:r>
          </w:p>
        </w:tc>
        <w:tc>
          <w:tcPr>
            <w:tcW w:w="5386" w:type="dxa"/>
            <w:vAlign w:val="center"/>
          </w:tcPr>
          <w:p>
            <w:pPr>
              <w:pStyle w:val="12"/>
            </w:pPr>
            <w:r>
              <w:t>保障工作有效进行</w:t>
            </w:r>
          </w:p>
        </w:tc>
        <w:tc>
          <w:tcPr>
            <w:tcW w:w="2268" w:type="dxa"/>
            <w:vAlign w:val="center"/>
          </w:tcPr>
          <w:p>
            <w:pPr>
              <w:pStyle w:val="12"/>
            </w:pPr>
            <w:r>
              <w:t>保障工作</w:t>
            </w:r>
          </w:p>
        </w:tc>
        <w:tc>
          <w:tcPr>
            <w:tcW w:w="1276"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及时拨付经费</w:t>
            </w:r>
          </w:p>
        </w:tc>
        <w:tc>
          <w:tcPr>
            <w:tcW w:w="2268" w:type="dxa"/>
            <w:vAlign w:val="center"/>
          </w:tcPr>
          <w:p>
            <w:pPr>
              <w:pStyle w:val="12"/>
            </w:pPr>
            <w:r>
              <w:t>100%</w:t>
            </w:r>
          </w:p>
        </w:tc>
        <w:tc>
          <w:tcPr>
            <w:tcW w:w="1276" w:type="dxa"/>
            <w:vAlign w:val="center"/>
          </w:tcPr>
          <w:p>
            <w:pPr>
              <w:pStyle w:val="12"/>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≤0.5万元</w:t>
            </w:r>
          </w:p>
        </w:tc>
        <w:tc>
          <w:tcPr>
            <w:tcW w:w="1276" w:type="dxa"/>
            <w:vAlign w:val="center"/>
          </w:tcPr>
          <w:p>
            <w:pPr>
              <w:pStyle w:val="12"/>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文化演出场次</w:t>
            </w:r>
          </w:p>
        </w:tc>
        <w:tc>
          <w:tcPr>
            <w:tcW w:w="5386" w:type="dxa"/>
            <w:vAlign w:val="center"/>
          </w:tcPr>
          <w:p>
            <w:pPr>
              <w:pStyle w:val="12"/>
            </w:pPr>
            <w:r>
              <w:t>文化演出场次</w:t>
            </w:r>
          </w:p>
        </w:tc>
        <w:tc>
          <w:tcPr>
            <w:tcW w:w="2268" w:type="dxa"/>
            <w:vAlign w:val="center"/>
          </w:tcPr>
          <w:p>
            <w:pPr>
              <w:pStyle w:val="12"/>
            </w:pPr>
            <w:r>
              <w:t>≥1场</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免费开放文化场馆（站）正常运转</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带动其它相关消费项目增收情况</w:t>
            </w:r>
          </w:p>
          <w:p>
            <w:pPr>
              <w:pStyle w:val="12"/>
            </w:pPr>
          </w:p>
        </w:tc>
        <w:tc>
          <w:tcPr>
            <w:tcW w:w="5386" w:type="dxa"/>
            <w:vAlign w:val="center"/>
          </w:tcPr>
          <w:p>
            <w:pPr>
              <w:pStyle w:val="12"/>
            </w:pPr>
            <w:r>
              <w:t>带动其它相关消费项目增收情况</w:t>
            </w:r>
          </w:p>
        </w:tc>
        <w:tc>
          <w:tcPr>
            <w:tcW w:w="2268" w:type="dxa"/>
            <w:vAlign w:val="center"/>
          </w:tcPr>
          <w:p>
            <w:pPr>
              <w:pStyle w:val="12"/>
            </w:pPr>
            <w:r>
              <w:t>提升精神文化质量，丰富业余生活</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5386" w:type="dxa"/>
            <w:vAlign w:val="center"/>
          </w:tcPr>
          <w:p>
            <w:pPr>
              <w:pStyle w:val="12"/>
            </w:pPr>
            <w:r>
              <w:t>免费开放服务水平稳步提升</w:t>
            </w:r>
          </w:p>
        </w:tc>
        <w:tc>
          <w:tcPr>
            <w:tcW w:w="2268" w:type="dxa"/>
            <w:vAlign w:val="center"/>
          </w:tcPr>
          <w:p>
            <w:pPr>
              <w:pStyle w:val="12"/>
            </w:pPr>
            <w:r>
              <w:t>长期</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受益群众对免费开放场馆（站）服务的满意度</w:t>
            </w:r>
          </w:p>
        </w:tc>
        <w:tc>
          <w:tcPr>
            <w:tcW w:w="5386" w:type="dxa"/>
            <w:vAlign w:val="center"/>
          </w:tcPr>
          <w:p>
            <w:pPr>
              <w:pStyle w:val="12"/>
            </w:pPr>
            <w:r>
              <w:t>受益群众对免费开放场馆（站）服务的满意度</w:t>
            </w:r>
          </w:p>
        </w:tc>
        <w:tc>
          <w:tcPr>
            <w:tcW w:w="2268" w:type="dxa"/>
            <w:vAlign w:val="center"/>
          </w:tcPr>
          <w:p>
            <w:pPr>
              <w:pStyle w:val="12"/>
            </w:pPr>
            <w:r>
              <w:t>≥90%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12、提前下达2024年中央补助地方美术馆 公共图书馆 文化馆（站）免费开放专项资金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13031324P00535810885W</w:t>
            </w:r>
          </w:p>
        </w:tc>
        <w:tc>
          <w:tcPr>
            <w:tcW w:w="2835" w:type="dxa"/>
            <w:vAlign w:val="center"/>
          </w:tcPr>
          <w:p>
            <w:pPr>
              <w:pStyle w:val="10"/>
            </w:pPr>
            <w:r>
              <w:t>项目名称</w:t>
            </w:r>
          </w:p>
        </w:tc>
        <w:tc>
          <w:tcPr>
            <w:tcW w:w="6094" w:type="dxa"/>
            <w:gridSpan w:val="3"/>
            <w:vAlign w:val="center"/>
          </w:tcPr>
          <w:p>
            <w:pPr>
              <w:pStyle w:val="12"/>
            </w:pPr>
            <w:r>
              <w:t>提前下达2024年中央补助地方美术馆 公共图书馆 文化馆（站）免费开放专项资金</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2.75</w:t>
            </w:r>
          </w:p>
        </w:tc>
        <w:tc>
          <w:tcPr>
            <w:tcW w:w="2835" w:type="dxa"/>
            <w:vAlign w:val="center"/>
          </w:tcPr>
          <w:p>
            <w:pPr>
              <w:pStyle w:val="10"/>
            </w:pPr>
            <w:r>
              <w:t>其中：财政    资金</w:t>
            </w:r>
          </w:p>
        </w:tc>
        <w:tc>
          <w:tcPr>
            <w:tcW w:w="2551" w:type="dxa"/>
            <w:vAlign w:val="center"/>
          </w:tcPr>
          <w:p>
            <w:pPr>
              <w:pStyle w:val="12"/>
            </w:pPr>
            <w:r>
              <w:t>2.75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用于"三馆一站“免费开放等支出，提升公共文化服务质量。严格按照有关规定要求合理使用资金，专款专用，切实加快资金支出进度。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1.目标内容1用于"三馆一站“免费开放等支出，提升公共文化服务质量。</w:t>
            </w:r>
            <w:r>
              <w:tab/>
            </w:r>
            <w:r>
              <w:tab/>
            </w:r>
            <w:r>
              <w:tab/>
            </w:r>
            <w:r>
              <w:tab/>
            </w:r>
            <w:r>
              <w:tab/>
            </w:r>
          </w:p>
          <w:p>
            <w:pPr>
              <w:pStyle w:val="12"/>
            </w:pPr>
            <w:r>
              <w:tab/>
            </w:r>
            <w:r>
              <w:tab/>
            </w:r>
            <w:r>
              <w:tab/>
            </w:r>
          </w:p>
          <w:p>
            <w:pPr>
              <w:pStyle w:val="12"/>
            </w:pPr>
          </w:p>
          <w:p>
            <w:pPr>
              <w:pStyle w:val="12"/>
            </w:pPr>
            <w:r>
              <w:t>2.目标内容2严格按照有关规定要求合理使用资金，专款专用，切实加快资金支出进度。</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保障工作有效进行</w:t>
            </w:r>
          </w:p>
        </w:tc>
        <w:tc>
          <w:tcPr>
            <w:tcW w:w="5386" w:type="dxa"/>
            <w:vAlign w:val="center"/>
          </w:tcPr>
          <w:p>
            <w:pPr>
              <w:pStyle w:val="12"/>
            </w:pPr>
            <w:r>
              <w:t>保障工作有效进行</w:t>
            </w:r>
          </w:p>
        </w:tc>
        <w:tc>
          <w:tcPr>
            <w:tcW w:w="2268" w:type="dxa"/>
            <w:vAlign w:val="center"/>
          </w:tcPr>
          <w:p>
            <w:pPr>
              <w:pStyle w:val="12"/>
            </w:pPr>
            <w:r>
              <w:t>保障工作</w:t>
            </w:r>
          </w:p>
        </w:tc>
        <w:tc>
          <w:tcPr>
            <w:tcW w:w="1276"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及时拨付经费</w:t>
            </w:r>
          </w:p>
        </w:tc>
        <w:tc>
          <w:tcPr>
            <w:tcW w:w="2268" w:type="dxa"/>
            <w:vAlign w:val="center"/>
          </w:tcPr>
          <w:p>
            <w:pPr>
              <w:pStyle w:val="12"/>
            </w:pPr>
            <w:r>
              <w:t>100%</w:t>
            </w:r>
          </w:p>
        </w:tc>
        <w:tc>
          <w:tcPr>
            <w:tcW w:w="1276" w:type="dxa"/>
            <w:vAlign w:val="center"/>
          </w:tcPr>
          <w:p>
            <w:pPr>
              <w:pStyle w:val="12"/>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≥2.75万元</w:t>
            </w:r>
          </w:p>
        </w:tc>
        <w:tc>
          <w:tcPr>
            <w:tcW w:w="1276" w:type="dxa"/>
            <w:vAlign w:val="center"/>
          </w:tcPr>
          <w:p>
            <w:pPr>
              <w:pStyle w:val="12"/>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文化演出场次</w:t>
            </w:r>
          </w:p>
        </w:tc>
        <w:tc>
          <w:tcPr>
            <w:tcW w:w="5386" w:type="dxa"/>
            <w:vAlign w:val="center"/>
          </w:tcPr>
          <w:p>
            <w:pPr>
              <w:pStyle w:val="12"/>
            </w:pPr>
            <w:r>
              <w:t>文化演出场次</w:t>
            </w:r>
          </w:p>
        </w:tc>
        <w:tc>
          <w:tcPr>
            <w:tcW w:w="2268" w:type="dxa"/>
            <w:vAlign w:val="center"/>
          </w:tcPr>
          <w:p>
            <w:pPr>
              <w:pStyle w:val="12"/>
            </w:pPr>
            <w:r>
              <w:t>≥5场</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免费开放文化场馆（站）正常运转</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带动其它相关消费项目增收情况</w:t>
            </w:r>
          </w:p>
          <w:p>
            <w:pPr>
              <w:pStyle w:val="12"/>
            </w:pPr>
          </w:p>
        </w:tc>
        <w:tc>
          <w:tcPr>
            <w:tcW w:w="5386" w:type="dxa"/>
            <w:vAlign w:val="center"/>
          </w:tcPr>
          <w:p>
            <w:pPr>
              <w:pStyle w:val="12"/>
            </w:pPr>
            <w:r>
              <w:t>带动其它相关消费项目增收情况</w:t>
            </w:r>
          </w:p>
        </w:tc>
        <w:tc>
          <w:tcPr>
            <w:tcW w:w="2268" w:type="dxa"/>
            <w:vAlign w:val="center"/>
          </w:tcPr>
          <w:p>
            <w:pPr>
              <w:pStyle w:val="12"/>
            </w:pPr>
            <w:r>
              <w:t>提升精神文化质量，丰富业余生活</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5386" w:type="dxa"/>
            <w:vAlign w:val="center"/>
          </w:tcPr>
          <w:p>
            <w:pPr>
              <w:pStyle w:val="12"/>
            </w:pPr>
            <w:r>
              <w:t>免费开放服务水平稳步提升</w:t>
            </w:r>
          </w:p>
        </w:tc>
        <w:tc>
          <w:tcPr>
            <w:tcW w:w="2268" w:type="dxa"/>
            <w:vAlign w:val="center"/>
          </w:tcPr>
          <w:p>
            <w:pPr>
              <w:pStyle w:val="12"/>
            </w:pPr>
            <w:r>
              <w:t>长期</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受益群众对免费开放场馆（站）服务的满意度</w:t>
            </w:r>
          </w:p>
        </w:tc>
        <w:tc>
          <w:tcPr>
            <w:tcW w:w="5386" w:type="dxa"/>
            <w:vAlign w:val="center"/>
          </w:tcPr>
          <w:p>
            <w:pPr>
              <w:pStyle w:val="12"/>
            </w:pPr>
            <w:r>
              <w:t>受益群众对免费开放场馆（站）服务的满意度</w:t>
            </w:r>
          </w:p>
        </w:tc>
        <w:tc>
          <w:tcPr>
            <w:tcW w:w="2268" w:type="dxa"/>
            <w:vAlign w:val="center"/>
          </w:tcPr>
          <w:p>
            <w:pPr>
              <w:pStyle w:val="12"/>
            </w:pPr>
            <w:r>
              <w:t>≥90%</w:t>
            </w:r>
          </w:p>
        </w:tc>
        <w:tc>
          <w:tcPr>
            <w:tcW w:w="1276" w:type="dxa"/>
            <w:vAlign w:val="center"/>
          </w:tcPr>
          <w:p>
            <w:pPr>
              <w:pStyle w:val="12"/>
            </w:pPr>
            <w:r>
              <w:t>对群众服务达到满意</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13、下达2023年中央财政衔接推进乡村振兴补助资金（西河南便民市场）绩效目标表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13031323P005358107513</w:t>
            </w:r>
          </w:p>
        </w:tc>
        <w:tc>
          <w:tcPr>
            <w:tcW w:w="2835" w:type="dxa"/>
            <w:vAlign w:val="center"/>
          </w:tcPr>
          <w:p>
            <w:pPr>
              <w:pStyle w:val="10"/>
            </w:pPr>
            <w:r>
              <w:t>项目名称</w:t>
            </w:r>
          </w:p>
        </w:tc>
        <w:tc>
          <w:tcPr>
            <w:tcW w:w="6094" w:type="dxa"/>
            <w:gridSpan w:val="3"/>
            <w:vAlign w:val="center"/>
          </w:tcPr>
          <w:p>
            <w:pPr>
              <w:pStyle w:val="12"/>
            </w:pPr>
            <w:r>
              <w:t>下达2023年中央财政衔接推进乡村振兴补助资金（西河南便民市场）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w:t>
            </w:r>
          </w:p>
        </w:tc>
        <w:tc>
          <w:tcPr>
            <w:tcW w:w="2835" w:type="dxa"/>
            <w:vAlign w:val="center"/>
          </w:tcPr>
          <w:p>
            <w:pPr>
              <w:pStyle w:val="10"/>
            </w:pPr>
            <w:r>
              <w:t>其中：财政    资金</w:t>
            </w:r>
          </w:p>
        </w:tc>
        <w:tc>
          <w:tcPr>
            <w:tcW w:w="2551" w:type="dxa"/>
            <w:vAlign w:val="center"/>
          </w:tcPr>
          <w:p>
            <w:pPr>
              <w:pStyle w:val="12"/>
            </w:pPr>
            <w:r>
              <w:t>1.48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资金用于西河南便民市场建设资金，增加村庄就业岗位，缓解剩余劳动力的就业压力，带动地方产业发展，拓展农民持续增收的渠道。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1.目标内容1资金用于西河南便民市场建设资金，增加村庄就业岗位，缓解剩余劳动力的就业压力，带动地方产业发展，拓展农民持续增收的渠道。</w:t>
            </w:r>
          </w:p>
          <w:p>
            <w:pPr>
              <w:pStyle w:val="12"/>
            </w:pPr>
            <w:r>
              <w:t>2.目标内容2严格按照有关规定要求合理使用资金，专款专用，切实加快资金支出进度。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建门市房</w:t>
            </w:r>
          </w:p>
        </w:tc>
        <w:tc>
          <w:tcPr>
            <w:tcW w:w="5386" w:type="dxa"/>
            <w:vAlign w:val="center"/>
          </w:tcPr>
          <w:p>
            <w:pPr>
              <w:pStyle w:val="12"/>
            </w:pPr>
            <w:r>
              <w:t>建门市房</w:t>
            </w:r>
          </w:p>
        </w:tc>
        <w:tc>
          <w:tcPr>
            <w:tcW w:w="2268" w:type="dxa"/>
            <w:vAlign w:val="center"/>
          </w:tcPr>
          <w:p>
            <w:pPr>
              <w:pStyle w:val="12"/>
            </w:pPr>
            <w:r>
              <w:t>6间</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通过验收的工程量占建设、改造、修缮总量的比率</w:t>
            </w:r>
          </w:p>
        </w:tc>
        <w:tc>
          <w:tcPr>
            <w:tcW w:w="2268" w:type="dxa"/>
            <w:vAlign w:val="center"/>
          </w:tcPr>
          <w:p>
            <w:pPr>
              <w:pStyle w:val="12"/>
            </w:pPr>
            <w:r>
              <w:t>大于、等于90%为优，80%-89%为良，60%-79%</w:t>
            </w:r>
          </w:p>
          <w:p>
            <w:pPr>
              <w:pStyle w:val="12"/>
            </w:pPr>
            <w:r>
              <w:t>为中</w:t>
            </w:r>
          </w:p>
          <w:p>
            <w:pPr>
              <w:pStyle w:val="12"/>
            </w:pPr>
          </w:p>
        </w:tc>
        <w:tc>
          <w:tcPr>
            <w:tcW w:w="1276" w:type="dxa"/>
            <w:vAlign w:val="center"/>
          </w:tcPr>
          <w:p>
            <w:pPr>
              <w:pStyle w:val="12"/>
            </w:pPr>
            <w:r>
              <w:t>便民市场改造验收合格率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大于、等于90%为优，80%-89%为良，60%-79%为中</w:t>
            </w:r>
          </w:p>
        </w:tc>
        <w:tc>
          <w:tcPr>
            <w:tcW w:w="1276"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w:t>
            </w:r>
          </w:p>
        </w:tc>
        <w:tc>
          <w:tcPr>
            <w:tcW w:w="5386" w:type="dxa"/>
            <w:vAlign w:val="center"/>
          </w:tcPr>
          <w:p>
            <w:pPr>
              <w:pStyle w:val="12"/>
            </w:pPr>
            <w:r>
              <w:t>按协议控制在预算内支付</w:t>
            </w:r>
          </w:p>
        </w:tc>
        <w:tc>
          <w:tcPr>
            <w:tcW w:w="2268" w:type="dxa"/>
            <w:vAlign w:val="center"/>
          </w:tcPr>
          <w:p>
            <w:pPr>
              <w:pStyle w:val="12"/>
            </w:pPr>
            <w:r>
              <w:t>≤50万元</w:t>
            </w:r>
          </w:p>
        </w:tc>
        <w:tc>
          <w:tcPr>
            <w:tcW w:w="1276"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综合利用率</w:t>
            </w:r>
          </w:p>
        </w:tc>
        <w:tc>
          <w:tcPr>
            <w:tcW w:w="5386" w:type="dxa"/>
            <w:vAlign w:val="center"/>
          </w:tcPr>
          <w:p>
            <w:pPr>
              <w:pStyle w:val="12"/>
            </w:pPr>
            <w:r>
              <w:t>基础设施建成后的利用、使用情况</w:t>
            </w:r>
          </w:p>
        </w:tc>
        <w:tc>
          <w:tcPr>
            <w:tcW w:w="2268" w:type="dxa"/>
            <w:vAlign w:val="center"/>
          </w:tcPr>
          <w:p>
            <w:pPr>
              <w:pStyle w:val="12"/>
            </w:pPr>
            <w:r>
              <w:t>大于、等于90%为优，80%-89%为良，60%-79%</w:t>
            </w:r>
          </w:p>
          <w:p>
            <w:pPr>
              <w:pStyle w:val="12"/>
            </w:pPr>
            <w:r>
              <w:t>为中</w:t>
            </w:r>
          </w:p>
        </w:tc>
        <w:tc>
          <w:tcPr>
            <w:tcW w:w="1276" w:type="dxa"/>
            <w:vAlign w:val="center"/>
          </w:tcPr>
          <w:p>
            <w:pPr>
              <w:pStyle w:val="12"/>
            </w:pPr>
            <w:r>
              <w:t>便民市场建成后有效利用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拓展农民持续增收的渠道</w:t>
            </w:r>
          </w:p>
        </w:tc>
        <w:tc>
          <w:tcPr>
            <w:tcW w:w="5386" w:type="dxa"/>
            <w:vAlign w:val="center"/>
          </w:tcPr>
          <w:p>
            <w:pPr>
              <w:pStyle w:val="12"/>
            </w:pPr>
            <w:r>
              <w:t>拓展农民持续增收的渠道</w:t>
            </w:r>
          </w:p>
        </w:tc>
        <w:tc>
          <w:tcPr>
            <w:tcW w:w="2268" w:type="dxa"/>
            <w:vAlign w:val="center"/>
          </w:tcPr>
          <w:p>
            <w:pPr>
              <w:pStyle w:val="12"/>
            </w:pPr>
            <w:r>
              <w:t>促进农村二三产业融合发展，带动地方产业发展</w:t>
            </w:r>
          </w:p>
        </w:tc>
        <w:tc>
          <w:tcPr>
            <w:tcW w:w="1276" w:type="dxa"/>
            <w:vAlign w:val="center"/>
          </w:tcPr>
          <w:p>
            <w:pPr>
              <w:pStyle w:val="12"/>
            </w:pPr>
            <w:r>
              <w:t>拓宽农民持续增收的渠道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大于、等于90%为优，80%-89%为良，60%-79%为中，</w:t>
            </w:r>
          </w:p>
        </w:tc>
        <w:tc>
          <w:tcPr>
            <w:tcW w:w="1276" w:type="dxa"/>
            <w:vAlign w:val="center"/>
          </w:tcPr>
          <w:p>
            <w:pPr>
              <w:pStyle w:val="12"/>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p>
            <w:pPr>
              <w:pStyle w:val="12"/>
            </w:pPr>
          </w:p>
        </w:tc>
        <w:tc>
          <w:tcPr>
            <w:tcW w:w="5386" w:type="dxa"/>
            <w:vAlign w:val="center"/>
          </w:tcPr>
          <w:p>
            <w:pPr>
              <w:pStyle w:val="12"/>
            </w:pPr>
            <w:r>
              <w:t>群众满意度</w:t>
            </w:r>
          </w:p>
          <w:p>
            <w:pPr>
              <w:pStyle w:val="12"/>
            </w:pPr>
          </w:p>
          <w:p>
            <w:pPr>
              <w:pStyle w:val="12"/>
            </w:pPr>
          </w:p>
        </w:tc>
        <w:tc>
          <w:tcPr>
            <w:tcW w:w="2268" w:type="dxa"/>
            <w:vAlign w:val="center"/>
          </w:tcPr>
          <w:p>
            <w:pPr>
              <w:pStyle w:val="12"/>
            </w:pPr>
            <w:r>
              <w:t>≥90%</w:t>
            </w:r>
          </w:p>
        </w:tc>
        <w:tc>
          <w:tcPr>
            <w:tcW w:w="1276" w:type="dxa"/>
            <w:vAlign w:val="center"/>
          </w:tcPr>
          <w:p>
            <w:pPr>
              <w:pStyle w:val="12"/>
            </w:pPr>
            <w:r>
              <w:t>服务对象达到满意</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14、下达2023年中央农村综合改革转移支付资金（南丁义庄村）绩效目标表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13031323P00535810822C</w:t>
            </w:r>
          </w:p>
        </w:tc>
        <w:tc>
          <w:tcPr>
            <w:tcW w:w="2835" w:type="dxa"/>
            <w:vAlign w:val="center"/>
          </w:tcPr>
          <w:p>
            <w:pPr>
              <w:pStyle w:val="10"/>
            </w:pPr>
            <w:r>
              <w:t>项目名称</w:t>
            </w:r>
          </w:p>
        </w:tc>
        <w:tc>
          <w:tcPr>
            <w:tcW w:w="6094" w:type="dxa"/>
            <w:gridSpan w:val="3"/>
            <w:vAlign w:val="center"/>
          </w:tcPr>
          <w:p>
            <w:pPr>
              <w:pStyle w:val="12"/>
            </w:pPr>
            <w:r>
              <w:t>下达2023年中央农村综合改革转移支付资金（南丁义庄村）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9.05</w:t>
            </w:r>
          </w:p>
        </w:tc>
        <w:tc>
          <w:tcPr>
            <w:tcW w:w="2835" w:type="dxa"/>
            <w:vAlign w:val="center"/>
          </w:tcPr>
          <w:p>
            <w:pPr>
              <w:pStyle w:val="10"/>
            </w:pPr>
            <w:r>
              <w:t>其中：财政    资金</w:t>
            </w:r>
          </w:p>
        </w:tc>
        <w:tc>
          <w:tcPr>
            <w:tcW w:w="2551" w:type="dxa"/>
            <w:vAlign w:val="center"/>
          </w:tcPr>
          <w:p>
            <w:pPr>
              <w:pStyle w:val="12"/>
            </w:pPr>
            <w:r>
              <w:t>9.05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完成南丁义庄村一事一议安装太阳能项目，提高村民出行便利性。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1.目标内容1完成南丁义庄村一事一议安装太阳能项目，提高村民出行便利性。</w:t>
            </w:r>
          </w:p>
          <w:p>
            <w:pPr>
              <w:pStyle w:val="12"/>
            </w:pPr>
            <w:r>
              <w:t>2.目标内容2美化村内环境，及时支付工程款。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安装太阳能路灯数量</w:t>
            </w:r>
          </w:p>
        </w:tc>
        <w:tc>
          <w:tcPr>
            <w:tcW w:w="5386" w:type="dxa"/>
            <w:vAlign w:val="center"/>
          </w:tcPr>
          <w:p>
            <w:pPr>
              <w:pStyle w:val="12"/>
            </w:pPr>
            <w:r>
              <w:t>安装太阳能路灯数量</w:t>
            </w:r>
          </w:p>
        </w:tc>
        <w:tc>
          <w:tcPr>
            <w:tcW w:w="2268" w:type="dxa"/>
            <w:vAlign w:val="center"/>
          </w:tcPr>
          <w:p>
            <w:pPr>
              <w:pStyle w:val="12"/>
            </w:pPr>
            <w:r>
              <w:t>67盏</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资金到位后及时支付</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成本控制情况</w:t>
            </w:r>
          </w:p>
        </w:tc>
        <w:tc>
          <w:tcPr>
            <w:tcW w:w="2268" w:type="dxa"/>
            <w:vAlign w:val="center"/>
          </w:tcPr>
          <w:p>
            <w:pPr>
              <w:pStyle w:val="12"/>
            </w:pPr>
            <w:r>
              <w:t>≤12.93万元</w:t>
            </w:r>
          </w:p>
        </w:tc>
        <w:tc>
          <w:tcPr>
            <w:tcW w:w="1276" w:type="dxa"/>
            <w:vAlign w:val="center"/>
          </w:tcPr>
          <w:p>
            <w:pPr>
              <w:pStyle w:val="12"/>
            </w:pPr>
            <w:r>
              <w:t>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美化村内环境</w:t>
            </w:r>
          </w:p>
        </w:tc>
        <w:tc>
          <w:tcPr>
            <w:tcW w:w="5386" w:type="dxa"/>
            <w:vAlign w:val="center"/>
          </w:tcPr>
          <w:p>
            <w:pPr>
              <w:pStyle w:val="12"/>
            </w:pPr>
            <w:r>
              <w:t>美化村内环境</w:t>
            </w:r>
          </w:p>
        </w:tc>
        <w:tc>
          <w:tcPr>
            <w:tcW w:w="2268" w:type="dxa"/>
            <w:vAlign w:val="center"/>
          </w:tcPr>
          <w:p>
            <w:pPr>
              <w:pStyle w:val="12"/>
            </w:pPr>
            <w:r>
              <w:t>有效美化村内环境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改善居民出行道路情况，提高居民生活便利性</w:t>
            </w:r>
          </w:p>
        </w:tc>
        <w:tc>
          <w:tcPr>
            <w:tcW w:w="5386" w:type="dxa"/>
            <w:vAlign w:val="center"/>
          </w:tcPr>
          <w:p>
            <w:pPr>
              <w:pStyle w:val="12"/>
            </w:pPr>
            <w:r>
              <w:t>改善居民出行道路情况，提高居民生活便利性</w:t>
            </w:r>
          </w:p>
        </w:tc>
        <w:tc>
          <w:tcPr>
            <w:tcW w:w="2268" w:type="dxa"/>
            <w:vAlign w:val="center"/>
          </w:tcPr>
          <w:p>
            <w:pPr>
              <w:pStyle w:val="12"/>
            </w:pPr>
            <w:r>
              <w:t>效果显著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大于、等于90%为优，80%-89%为良，60%-79%为中，小于60%为差</w:t>
            </w:r>
          </w:p>
        </w:tc>
        <w:tc>
          <w:tcPr>
            <w:tcW w:w="1276" w:type="dxa"/>
            <w:vAlign w:val="center"/>
          </w:tcPr>
          <w:p>
            <w:pPr>
              <w:pStyle w:val="12"/>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周边群众满意度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15、下达2023年中央农村综合改革转移支付资金（南李庄村）绩效目标表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13031323P00535810821Q</w:t>
            </w:r>
          </w:p>
        </w:tc>
        <w:tc>
          <w:tcPr>
            <w:tcW w:w="2835" w:type="dxa"/>
            <w:vAlign w:val="center"/>
          </w:tcPr>
          <w:p>
            <w:pPr>
              <w:pStyle w:val="10"/>
            </w:pPr>
            <w:r>
              <w:t>项目名称</w:t>
            </w:r>
          </w:p>
        </w:tc>
        <w:tc>
          <w:tcPr>
            <w:tcW w:w="6094" w:type="dxa"/>
            <w:gridSpan w:val="3"/>
            <w:vAlign w:val="center"/>
          </w:tcPr>
          <w:p>
            <w:pPr>
              <w:pStyle w:val="12"/>
            </w:pPr>
            <w:r>
              <w:t>下达2023年中央农村综合改革转移支付资金（南李庄村）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8.72</w:t>
            </w:r>
          </w:p>
        </w:tc>
        <w:tc>
          <w:tcPr>
            <w:tcW w:w="2835" w:type="dxa"/>
            <w:vAlign w:val="center"/>
          </w:tcPr>
          <w:p>
            <w:pPr>
              <w:pStyle w:val="10"/>
            </w:pPr>
            <w:r>
              <w:t>其中：财政    资金</w:t>
            </w:r>
          </w:p>
        </w:tc>
        <w:tc>
          <w:tcPr>
            <w:tcW w:w="2551" w:type="dxa"/>
            <w:vAlign w:val="center"/>
          </w:tcPr>
          <w:p>
            <w:pPr>
              <w:pStyle w:val="12"/>
            </w:pPr>
            <w:r>
              <w:t>8.72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完成南李庄村安装太阳能路灯项目，提高村民出行便利性。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1.目标内容1完成南李庄村安装太阳能路灯项目，提高村民出行便利性。</w:t>
            </w:r>
          </w:p>
          <w:p>
            <w:pPr>
              <w:pStyle w:val="12"/>
            </w:pPr>
            <w:r>
              <w:t>2.目标内容2美化村内环境，及时支付工程款。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安装太阳能路灯数量</w:t>
            </w:r>
          </w:p>
        </w:tc>
        <w:tc>
          <w:tcPr>
            <w:tcW w:w="5386" w:type="dxa"/>
            <w:vAlign w:val="center"/>
          </w:tcPr>
          <w:p>
            <w:pPr>
              <w:pStyle w:val="12"/>
            </w:pPr>
            <w:r>
              <w:t>安装太阳能路灯数量</w:t>
            </w:r>
          </w:p>
        </w:tc>
        <w:tc>
          <w:tcPr>
            <w:tcW w:w="2268" w:type="dxa"/>
            <w:vAlign w:val="center"/>
          </w:tcPr>
          <w:p>
            <w:pPr>
              <w:pStyle w:val="12"/>
            </w:pPr>
            <w:r>
              <w:t>94盏</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资金到位后及时支付</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成本控制情况</w:t>
            </w:r>
          </w:p>
        </w:tc>
        <w:tc>
          <w:tcPr>
            <w:tcW w:w="2268" w:type="dxa"/>
            <w:vAlign w:val="center"/>
          </w:tcPr>
          <w:p>
            <w:pPr>
              <w:pStyle w:val="12"/>
            </w:pPr>
            <w:r>
              <w:t>≤12.46万元</w:t>
            </w:r>
          </w:p>
        </w:tc>
        <w:tc>
          <w:tcPr>
            <w:tcW w:w="1276" w:type="dxa"/>
            <w:vAlign w:val="center"/>
          </w:tcPr>
          <w:p>
            <w:pPr>
              <w:pStyle w:val="12"/>
            </w:pPr>
            <w:r>
              <w:t>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美化村内环境</w:t>
            </w:r>
          </w:p>
        </w:tc>
        <w:tc>
          <w:tcPr>
            <w:tcW w:w="5386" w:type="dxa"/>
            <w:vAlign w:val="center"/>
          </w:tcPr>
          <w:p>
            <w:pPr>
              <w:pStyle w:val="12"/>
            </w:pPr>
            <w:r>
              <w:t>美化村内环境</w:t>
            </w:r>
          </w:p>
        </w:tc>
        <w:tc>
          <w:tcPr>
            <w:tcW w:w="2268" w:type="dxa"/>
            <w:vAlign w:val="center"/>
          </w:tcPr>
          <w:p>
            <w:pPr>
              <w:pStyle w:val="12"/>
            </w:pPr>
            <w:r>
              <w:t>有效美化村内环境</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改善居民出行道路情况，提高居民生活便利性</w:t>
            </w:r>
          </w:p>
        </w:tc>
        <w:tc>
          <w:tcPr>
            <w:tcW w:w="5386" w:type="dxa"/>
            <w:vAlign w:val="center"/>
          </w:tcPr>
          <w:p>
            <w:pPr>
              <w:pStyle w:val="12"/>
            </w:pPr>
            <w:r>
              <w:t>改善居民出行道路情况，提高居民生活便利性</w:t>
            </w:r>
          </w:p>
        </w:tc>
        <w:tc>
          <w:tcPr>
            <w:tcW w:w="2268" w:type="dxa"/>
            <w:vAlign w:val="center"/>
          </w:tcPr>
          <w:p>
            <w:pPr>
              <w:pStyle w:val="12"/>
            </w:pPr>
            <w:r>
              <w:t>效果显著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大于、等于90%为优，80%-89%为良，60%-79%为中，小于60%为差</w:t>
            </w:r>
          </w:p>
        </w:tc>
        <w:tc>
          <w:tcPr>
            <w:tcW w:w="1276" w:type="dxa"/>
            <w:vAlign w:val="center"/>
          </w:tcPr>
          <w:p>
            <w:pPr>
              <w:pStyle w:val="12"/>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周边群众满意度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16、下达2023年中央农村综合改革转移支付资金（水沿庄村1）绩效目标表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13031323P00535810819R</w:t>
            </w:r>
          </w:p>
        </w:tc>
        <w:tc>
          <w:tcPr>
            <w:tcW w:w="2835" w:type="dxa"/>
            <w:vAlign w:val="center"/>
          </w:tcPr>
          <w:p>
            <w:pPr>
              <w:pStyle w:val="10"/>
            </w:pPr>
            <w:r>
              <w:t>项目名称</w:t>
            </w:r>
          </w:p>
        </w:tc>
        <w:tc>
          <w:tcPr>
            <w:tcW w:w="6094" w:type="dxa"/>
            <w:gridSpan w:val="3"/>
            <w:vAlign w:val="center"/>
          </w:tcPr>
          <w:p>
            <w:pPr>
              <w:pStyle w:val="12"/>
            </w:pPr>
            <w:r>
              <w:t>下达2023年中央农村综合改革转移支付资金（水沿庄村1）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10.37</w:t>
            </w:r>
          </w:p>
        </w:tc>
        <w:tc>
          <w:tcPr>
            <w:tcW w:w="2835" w:type="dxa"/>
            <w:vAlign w:val="center"/>
          </w:tcPr>
          <w:p>
            <w:pPr>
              <w:pStyle w:val="10"/>
            </w:pPr>
            <w:r>
              <w:t>其中：财政    资金</w:t>
            </w:r>
          </w:p>
        </w:tc>
        <w:tc>
          <w:tcPr>
            <w:tcW w:w="2551" w:type="dxa"/>
            <w:vAlign w:val="center"/>
          </w:tcPr>
          <w:p>
            <w:pPr>
              <w:pStyle w:val="12"/>
            </w:pPr>
            <w:r>
              <w:t>10.37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完成水沿庄重修村内排水渠，改善村民生产生活条件，美化村内环境。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1.目标内容1完成水沿庄重修村内排水渠，改善村民生产生活条件，美化村内环境。</w:t>
            </w:r>
          </w:p>
          <w:p>
            <w:pPr>
              <w:pStyle w:val="12"/>
            </w:pPr>
            <w:r>
              <w:t>2.目标内容2严格按照有关规定要求合理使用资金，专款专用，切实加快资金支出进度。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重修村内排水渠数量</w:t>
            </w:r>
          </w:p>
        </w:tc>
        <w:tc>
          <w:tcPr>
            <w:tcW w:w="5386" w:type="dxa"/>
            <w:vAlign w:val="center"/>
          </w:tcPr>
          <w:p>
            <w:pPr>
              <w:pStyle w:val="12"/>
            </w:pPr>
            <w:r>
              <w:t>重修村内排水渠数量</w:t>
            </w:r>
          </w:p>
        </w:tc>
        <w:tc>
          <w:tcPr>
            <w:tcW w:w="2268" w:type="dxa"/>
            <w:vAlign w:val="center"/>
          </w:tcPr>
          <w:p>
            <w:pPr>
              <w:pStyle w:val="12"/>
            </w:pPr>
            <w:r>
              <w:t>5条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资金到位后及时支付</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成本控制情况</w:t>
            </w:r>
          </w:p>
        </w:tc>
        <w:tc>
          <w:tcPr>
            <w:tcW w:w="2268" w:type="dxa"/>
            <w:vAlign w:val="center"/>
          </w:tcPr>
          <w:p>
            <w:pPr>
              <w:pStyle w:val="12"/>
            </w:pPr>
            <w:r>
              <w:t>≤14.81万元</w:t>
            </w:r>
          </w:p>
        </w:tc>
        <w:tc>
          <w:tcPr>
            <w:tcW w:w="1276" w:type="dxa"/>
            <w:vAlign w:val="center"/>
          </w:tcPr>
          <w:p>
            <w:pPr>
              <w:pStyle w:val="12"/>
            </w:pPr>
            <w:r>
              <w:t>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美化村内环境</w:t>
            </w:r>
          </w:p>
        </w:tc>
        <w:tc>
          <w:tcPr>
            <w:tcW w:w="5386" w:type="dxa"/>
            <w:vAlign w:val="center"/>
          </w:tcPr>
          <w:p>
            <w:pPr>
              <w:pStyle w:val="12"/>
            </w:pPr>
            <w:r>
              <w:t>美化村内环境</w:t>
            </w:r>
          </w:p>
        </w:tc>
        <w:tc>
          <w:tcPr>
            <w:tcW w:w="2268" w:type="dxa"/>
            <w:vAlign w:val="center"/>
          </w:tcPr>
          <w:p>
            <w:pPr>
              <w:pStyle w:val="12"/>
            </w:pPr>
            <w:r>
              <w:t>效果显著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综合利用率</w:t>
            </w:r>
          </w:p>
        </w:tc>
        <w:tc>
          <w:tcPr>
            <w:tcW w:w="5386" w:type="dxa"/>
            <w:vAlign w:val="center"/>
          </w:tcPr>
          <w:p>
            <w:pPr>
              <w:pStyle w:val="12"/>
            </w:pPr>
            <w:r>
              <w:t>建成后的利用、使用情况</w:t>
            </w:r>
          </w:p>
        </w:tc>
        <w:tc>
          <w:tcPr>
            <w:tcW w:w="2268" w:type="dxa"/>
            <w:vAlign w:val="center"/>
          </w:tcPr>
          <w:p>
            <w:pPr>
              <w:pStyle w:val="12"/>
            </w:pPr>
            <w:r>
              <w:t>建成后得到有效利用与使用</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大于、等于90%为优，80%-89%为良，60%-79%为中，小于60%为差</w:t>
            </w:r>
          </w:p>
        </w:tc>
        <w:tc>
          <w:tcPr>
            <w:tcW w:w="1276" w:type="dxa"/>
            <w:vAlign w:val="center"/>
          </w:tcPr>
          <w:p>
            <w:pPr>
              <w:pStyle w:val="12"/>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周边群众满意度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17、下达2023年中央农村综合改革转移支付资金（水沿庄村2）绩效目标表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13031323P005358108205</w:t>
            </w:r>
          </w:p>
        </w:tc>
        <w:tc>
          <w:tcPr>
            <w:tcW w:w="2835" w:type="dxa"/>
            <w:vAlign w:val="center"/>
          </w:tcPr>
          <w:p>
            <w:pPr>
              <w:pStyle w:val="10"/>
            </w:pPr>
            <w:r>
              <w:t>项目名称</w:t>
            </w:r>
          </w:p>
        </w:tc>
        <w:tc>
          <w:tcPr>
            <w:tcW w:w="6094" w:type="dxa"/>
            <w:gridSpan w:val="3"/>
            <w:vAlign w:val="center"/>
          </w:tcPr>
          <w:p>
            <w:pPr>
              <w:pStyle w:val="12"/>
            </w:pPr>
            <w:r>
              <w:t>下达2023年中央农村综合改革转移支付资金（水沿庄村2）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21.29</w:t>
            </w:r>
          </w:p>
        </w:tc>
        <w:tc>
          <w:tcPr>
            <w:tcW w:w="2835" w:type="dxa"/>
            <w:vAlign w:val="center"/>
          </w:tcPr>
          <w:p>
            <w:pPr>
              <w:pStyle w:val="10"/>
            </w:pPr>
            <w:r>
              <w:t>其中：财政    资金</w:t>
            </w:r>
          </w:p>
        </w:tc>
        <w:tc>
          <w:tcPr>
            <w:tcW w:w="2551" w:type="dxa"/>
            <w:vAlign w:val="center"/>
          </w:tcPr>
          <w:p>
            <w:pPr>
              <w:pStyle w:val="12"/>
            </w:pPr>
            <w:r>
              <w:t>21.29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完成水沿庄重修村内排水渠，改善村民生产生活条件，美化村内环境。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1.目标内容1完成水沿庄重修村内排水渠，改善村民生产生活条件，美化村内环境。</w:t>
            </w:r>
          </w:p>
          <w:p>
            <w:pPr>
              <w:pStyle w:val="12"/>
            </w:pPr>
            <w:r>
              <w:t>2.目标内容2严格按照有关规定要求合理使用资金，专款专用，切实加快资金支出进度。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重修村内排水渠数量</w:t>
            </w:r>
          </w:p>
        </w:tc>
        <w:tc>
          <w:tcPr>
            <w:tcW w:w="5386" w:type="dxa"/>
            <w:vAlign w:val="center"/>
          </w:tcPr>
          <w:p>
            <w:pPr>
              <w:pStyle w:val="12"/>
            </w:pPr>
            <w:r>
              <w:t>重修村内排水渠数量</w:t>
            </w:r>
          </w:p>
        </w:tc>
        <w:tc>
          <w:tcPr>
            <w:tcW w:w="2268" w:type="dxa"/>
            <w:vAlign w:val="center"/>
          </w:tcPr>
          <w:p>
            <w:pPr>
              <w:pStyle w:val="12"/>
            </w:pPr>
            <w:r>
              <w:t>5条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资金到位后及时支付</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成本控制情况</w:t>
            </w:r>
          </w:p>
        </w:tc>
        <w:tc>
          <w:tcPr>
            <w:tcW w:w="2268" w:type="dxa"/>
            <w:vAlign w:val="center"/>
          </w:tcPr>
          <w:p>
            <w:pPr>
              <w:pStyle w:val="12"/>
            </w:pPr>
            <w:r>
              <w:t>≤30.42万元</w:t>
            </w:r>
          </w:p>
        </w:tc>
        <w:tc>
          <w:tcPr>
            <w:tcW w:w="1276" w:type="dxa"/>
            <w:vAlign w:val="center"/>
          </w:tcPr>
          <w:p>
            <w:pPr>
              <w:pStyle w:val="12"/>
            </w:pPr>
            <w:r>
              <w:t>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美化村内环境</w:t>
            </w:r>
          </w:p>
        </w:tc>
        <w:tc>
          <w:tcPr>
            <w:tcW w:w="5386" w:type="dxa"/>
            <w:vAlign w:val="center"/>
          </w:tcPr>
          <w:p>
            <w:pPr>
              <w:pStyle w:val="12"/>
            </w:pPr>
            <w:r>
              <w:t>美化村内环境</w:t>
            </w:r>
          </w:p>
        </w:tc>
        <w:tc>
          <w:tcPr>
            <w:tcW w:w="2268" w:type="dxa"/>
            <w:vAlign w:val="center"/>
          </w:tcPr>
          <w:p>
            <w:pPr>
              <w:pStyle w:val="12"/>
            </w:pPr>
            <w:r>
              <w:t>效果显著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综合利用率</w:t>
            </w:r>
          </w:p>
        </w:tc>
        <w:tc>
          <w:tcPr>
            <w:tcW w:w="5386" w:type="dxa"/>
            <w:vAlign w:val="center"/>
          </w:tcPr>
          <w:p>
            <w:pPr>
              <w:pStyle w:val="12"/>
            </w:pPr>
            <w:r>
              <w:t>建成后的利用、使用情况</w:t>
            </w:r>
          </w:p>
        </w:tc>
        <w:tc>
          <w:tcPr>
            <w:tcW w:w="2268" w:type="dxa"/>
            <w:vAlign w:val="center"/>
          </w:tcPr>
          <w:p>
            <w:pPr>
              <w:pStyle w:val="12"/>
            </w:pPr>
            <w:r>
              <w:t>建成后得到有效利用与使用</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大于、等于90%为优，80%-89%为良，60%-79%为中，小于60%为差</w:t>
            </w:r>
          </w:p>
        </w:tc>
        <w:tc>
          <w:tcPr>
            <w:tcW w:w="1276" w:type="dxa"/>
            <w:vAlign w:val="center"/>
          </w:tcPr>
          <w:p>
            <w:pPr>
              <w:pStyle w:val="12"/>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周边群众满意度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18、洋河两岸建筑物拆除补偿款绩效目标表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13031324P00880410231Y</w:t>
            </w:r>
          </w:p>
        </w:tc>
        <w:tc>
          <w:tcPr>
            <w:tcW w:w="2835" w:type="dxa"/>
            <w:vAlign w:val="center"/>
          </w:tcPr>
          <w:p>
            <w:pPr>
              <w:pStyle w:val="10"/>
            </w:pPr>
            <w:r>
              <w:t>项目名称</w:t>
            </w:r>
          </w:p>
        </w:tc>
        <w:tc>
          <w:tcPr>
            <w:tcW w:w="6094" w:type="dxa"/>
            <w:gridSpan w:val="3"/>
            <w:vAlign w:val="center"/>
          </w:tcPr>
          <w:p>
            <w:pPr>
              <w:pStyle w:val="12"/>
            </w:pPr>
            <w:r>
              <w:t>洋河两岸建筑物拆除补偿款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44.00</w:t>
            </w:r>
          </w:p>
        </w:tc>
        <w:tc>
          <w:tcPr>
            <w:tcW w:w="2835" w:type="dxa"/>
            <w:vAlign w:val="center"/>
          </w:tcPr>
          <w:p>
            <w:pPr>
              <w:pStyle w:val="10"/>
            </w:pPr>
            <w:r>
              <w:t>其中：财政    资金</w:t>
            </w:r>
          </w:p>
        </w:tc>
        <w:tc>
          <w:tcPr>
            <w:tcW w:w="2551" w:type="dxa"/>
            <w:vAlign w:val="center"/>
          </w:tcPr>
          <w:p>
            <w:pPr>
              <w:pStyle w:val="12"/>
            </w:pPr>
            <w:r>
              <w:t>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用于辖区洋河两岸建筑物拆除项目，推进各项工作进展，提升服务质量。</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1.目标内容1用于辖区洋河两岸建筑物拆除项目，推进各项工作进展，提升服务质量。</w:t>
            </w:r>
            <w:r>
              <w:tab/>
            </w:r>
            <w:r>
              <w:tab/>
            </w:r>
            <w:r>
              <w:tab/>
            </w:r>
            <w:r>
              <w:tab/>
            </w:r>
            <w:r>
              <w:tab/>
            </w:r>
            <w:r>
              <w:tab/>
            </w:r>
          </w:p>
          <w:p>
            <w:pPr>
              <w:pStyle w:val="12"/>
            </w:pPr>
          </w:p>
          <w:p>
            <w:pPr>
              <w:pStyle w:val="12"/>
            </w:pPr>
            <w:r>
              <w:t>2.目标内容2通过科学编制预算，严格遵守各项规章制度，提高财政资金的使用效率，做到公平公正、一视同仁，确保社会稳定。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评估报告数量</w:t>
            </w:r>
          </w:p>
        </w:tc>
        <w:tc>
          <w:tcPr>
            <w:tcW w:w="5386" w:type="dxa"/>
            <w:vAlign w:val="center"/>
          </w:tcPr>
          <w:p>
            <w:pPr>
              <w:pStyle w:val="12"/>
            </w:pPr>
            <w:r>
              <w:t>评估报告数量</w:t>
            </w:r>
          </w:p>
        </w:tc>
        <w:tc>
          <w:tcPr>
            <w:tcW w:w="2268" w:type="dxa"/>
            <w:vAlign w:val="center"/>
          </w:tcPr>
          <w:p>
            <w:pPr>
              <w:pStyle w:val="12"/>
            </w:pPr>
            <w:r>
              <w:t>≤1份</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推进洋河两岸建筑物拆除项目工作进展，确保社会稳定</w:t>
            </w:r>
          </w:p>
        </w:tc>
        <w:tc>
          <w:tcPr>
            <w:tcW w:w="5386" w:type="dxa"/>
            <w:vAlign w:val="center"/>
          </w:tcPr>
          <w:p>
            <w:pPr>
              <w:pStyle w:val="12"/>
            </w:pPr>
            <w:r>
              <w:t>各项工作有序推进，运转正常</w:t>
            </w:r>
          </w:p>
        </w:tc>
        <w:tc>
          <w:tcPr>
            <w:tcW w:w="2268" w:type="dxa"/>
            <w:vAlign w:val="center"/>
          </w:tcPr>
          <w:p>
            <w:pPr>
              <w:pStyle w:val="12"/>
            </w:pPr>
            <w:r>
              <w:t>大于、等于90%为优，80%-89%为良，60%-79%为中，小于60%为差</w:t>
            </w:r>
          </w:p>
        </w:tc>
        <w:tc>
          <w:tcPr>
            <w:tcW w:w="1276" w:type="dxa"/>
            <w:vAlign w:val="center"/>
          </w:tcPr>
          <w:p>
            <w:pPr>
              <w:pStyle w:val="12"/>
            </w:pPr>
            <w:r>
              <w:t>目标计划值、协议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大于、等于90%为优，80%-89%为良，60%-79%为中，小于60%为差</w:t>
            </w:r>
          </w:p>
        </w:tc>
        <w:tc>
          <w:tcPr>
            <w:tcW w:w="1276"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w:t>
            </w:r>
          </w:p>
        </w:tc>
        <w:tc>
          <w:tcPr>
            <w:tcW w:w="5386" w:type="dxa"/>
            <w:vAlign w:val="center"/>
          </w:tcPr>
          <w:p>
            <w:pPr>
              <w:pStyle w:val="12"/>
            </w:pPr>
            <w:r>
              <w:t>按协议控制在预算内支付</w:t>
            </w:r>
          </w:p>
        </w:tc>
        <w:tc>
          <w:tcPr>
            <w:tcW w:w="2268" w:type="dxa"/>
            <w:vAlign w:val="center"/>
          </w:tcPr>
          <w:p>
            <w:pPr>
              <w:pStyle w:val="12"/>
            </w:pPr>
            <w:r>
              <w:t>≤44万元</w:t>
            </w:r>
          </w:p>
        </w:tc>
        <w:tc>
          <w:tcPr>
            <w:tcW w:w="1276"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工作持续有效运转</w:t>
            </w:r>
          </w:p>
        </w:tc>
        <w:tc>
          <w:tcPr>
            <w:tcW w:w="1276" w:type="dxa"/>
            <w:vAlign w:val="center"/>
          </w:tcPr>
          <w:p>
            <w:pPr>
              <w:pStyle w:val="12"/>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效率有效提高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大于、等于90%为优，80%-89%为良，60%-79%为中，小于60%为差</w:t>
            </w:r>
          </w:p>
        </w:tc>
        <w:tc>
          <w:tcPr>
            <w:tcW w:w="1276" w:type="dxa"/>
            <w:vAlign w:val="center"/>
          </w:tcPr>
          <w:p>
            <w:pPr>
              <w:pStyle w:val="12"/>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改善人民生活环境</w:t>
            </w:r>
          </w:p>
        </w:tc>
        <w:tc>
          <w:tcPr>
            <w:tcW w:w="5386" w:type="dxa"/>
            <w:vAlign w:val="center"/>
          </w:tcPr>
          <w:p>
            <w:pPr>
              <w:pStyle w:val="12"/>
            </w:pPr>
            <w:r>
              <w:t>改善人民生活环境</w:t>
            </w:r>
          </w:p>
        </w:tc>
        <w:tc>
          <w:tcPr>
            <w:tcW w:w="2268" w:type="dxa"/>
            <w:vAlign w:val="center"/>
          </w:tcPr>
          <w:p>
            <w:pPr>
              <w:pStyle w:val="12"/>
            </w:pPr>
            <w:r>
              <w:t>有效改善</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服务对象达到满意</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19、宗杨村东广场提升改造项目绩效目标表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13031324P008804102484</w:t>
            </w:r>
          </w:p>
        </w:tc>
        <w:tc>
          <w:tcPr>
            <w:tcW w:w="2835" w:type="dxa"/>
            <w:vAlign w:val="center"/>
          </w:tcPr>
          <w:p>
            <w:pPr>
              <w:pStyle w:val="10"/>
            </w:pPr>
            <w:r>
              <w:t>项目名称</w:t>
            </w:r>
          </w:p>
        </w:tc>
        <w:tc>
          <w:tcPr>
            <w:tcW w:w="6094" w:type="dxa"/>
            <w:gridSpan w:val="3"/>
            <w:vAlign w:val="center"/>
          </w:tcPr>
          <w:p>
            <w:pPr>
              <w:pStyle w:val="12"/>
            </w:pPr>
            <w:r>
              <w:t>宗杨村东广场提升改造项目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19.31</w:t>
            </w:r>
          </w:p>
        </w:tc>
        <w:tc>
          <w:tcPr>
            <w:tcW w:w="2835" w:type="dxa"/>
            <w:vAlign w:val="center"/>
          </w:tcPr>
          <w:p>
            <w:pPr>
              <w:pStyle w:val="10"/>
            </w:pPr>
            <w:r>
              <w:t>其中：财政    资金</w:t>
            </w:r>
          </w:p>
        </w:tc>
        <w:tc>
          <w:tcPr>
            <w:tcW w:w="2551" w:type="dxa"/>
            <w:vAlign w:val="center"/>
          </w:tcPr>
          <w:p>
            <w:pPr>
              <w:pStyle w:val="12"/>
            </w:pPr>
            <w:r>
              <w:t>19.31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资金用于宗杨村东广场提升改造项目，质量通过验收，方便百姓生活，带动地方产业发展</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1.目标内容1宗杨村东广场提升改造项目，质量通过验收，方便百姓生活，带动地方产业发展</w:t>
            </w:r>
            <w:r>
              <w:tab/>
            </w:r>
            <w:r>
              <w:tab/>
            </w:r>
            <w:r>
              <w:tab/>
            </w:r>
            <w:r>
              <w:tab/>
            </w:r>
            <w:r>
              <w:tab/>
            </w:r>
            <w:r>
              <w:tab/>
            </w:r>
          </w:p>
          <w:p>
            <w:pPr>
              <w:pStyle w:val="12"/>
            </w:pPr>
          </w:p>
          <w:p>
            <w:pPr>
              <w:pStyle w:val="12"/>
            </w:pPr>
            <w:r>
              <w:t>2.目标内容2严格按照有关规定要求合理使用资金，专款专用，切实加快资金支出进度。</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路面硬化</w:t>
            </w:r>
          </w:p>
        </w:tc>
        <w:tc>
          <w:tcPr>
            <w:tcW w:w="5386" w:type="dxa"/>
            <w:vAlign w:val="center"/>
          </w:tcPr>
          <w:p>
            <w:pPr>
              <w:pStyle w:val="12"/>
            </w:pPr>
            <w:r>
              <w:t>路面硬化</w:t>
            </w:r>
          </w:p>
        </w:tc>
        <w:tc>
          <w:tcPr>
            <w:tcW w:w="2268" w:type="dxa"/>
            <w:vAlign w:val="center"/>
          </w:tcPr>
          <w:p>
            <w:pPr>
              <w:pStyle w:val="12"/>
            </w:pPr>
            <w:r>
              <w:t>342平方米</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合格的工程数量占工程完工总量的比例</w:t>
            </w:r>
          </w:p>
        </w:tc>
        <w:tc>
          <w:tcPr>
            <w:tcW w:w="2268" w:type="dxa"/>
            <w:vAlign w:val="center"/>
          </w:tcPr>
          <w:p>
            <w:pPr>
              <w:pStyle w:val="12"/>
            </w:pPr>
            <w:r>
              <w:t>100%</w:t>
            </w:r>
          </w:p>
        </w:tc>
        <w:tc>
          <w:tcPr>
            <w:tcW w:w="1276" w:type="dxa"/>
            <w:vAlign w:val="center"/>
          </w:tcPr>
          <w:p>
            <w:pPr>
              <w:pStyle w:val="12"/>
            </w:pPr>
            <w:r>
              <w:t>便民市场改造验收合格率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项目按计划完工率</w:t>
            </w:r>
          </w:p>
        </w:tc>
        <w:tc>
          <w:tcPr>
            <w:tcW w:w="5386" w:type="dxa"/>
            <w:vAlign w:val="center"/>
          </w:tcPr>
          <w:p>
            <w:pPr>
              <w:pStyle w:val="12"/>
            </w:pPr>
            <w:r>
              <w:t>项目按计划完工情况</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工程单位建设成本支出</w:t>
            </w:r>
          </w:p>
        </w:tc>
        <w:tc>
          <w:tcPr>
            <w:tcW w:w="5386" w:type="dxa"/>
            <w:vAlign w:val="center"/>
          </w:tcPr>
          <w:p>
            <w:pPr>
              <w:pStyle w:val="12"/>
            </w:pPr>
            <w:r>
              <w:t>宗杨村东广场提升改造项目成本支出需</w:t>
            </w:r>
          </w:p>
        </w:tc>
        <w:tc>
          <w:tcPr>
            <w:tcW w:w="2268" w:type="dxa"/>
            <w:vAlign w:val="center"/>
          </w:tcPr>
          <w:p>
            <w:pPr>
              <w:pStyle w:val="12"/>
            </w:pPr>
            <w:r>
              <w:t>≤19.31万元</w:t>
            </w:r>
          </w:p>
        </w:tc>
        <w:tc>
          <w:tcPr>
            <w:tcW w:w="1276" w:type="dxa"/>
            <w:vAlign w:val="center"/>
          </w:tcPr>
          <w:p>
            <w:pPr>
              <w:pStyle w:val="12"/>
            </w:pPr>
            <w:r>
              <w:t>工程结算备案书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综合利用率</w:t>
            </w:r>
          </w:p>
        </w:tc>
        <w:tc>
          <w:tcPr>
            <w:tcW w:w="5386" w:type="dxa"/>
            <w:vAlign w:val="center"/>
          </w:tcPr>
          <w:p>
            <w:pPr>
              <w:pStyle w:val="12"/>
            </w:pPr>
            <w:r>
              <w:t>基础设施建成后的利用、使用情况</w:t>
            </w:r>
          </w:p>
        </w:tc>
        <w:tc>
          <w:tcPr>
            <w:tcW w:w="2268" w:type="dxa"/>
            <w:vAlign w:val="center"/>
          </w:tcPr>
          <w:p>
            <w:pPr>
              <w:pStyle w:val="12"/>
            </w:pPr>
            <w:r>
              <w:t>大于、等于90%为优，80%-89%为良，60%-79%</w:t>
            </w:r>
          </w:p>
          <w:p>
            <w:pPr>
              <w:pStyle w:val="12"/>
            </w:pPr>
            <w:r>
              <w:t>为中，小于60%为差</w:t>
            </w:r>
          </w:p>
        </w:tc>
        <w:tc>
          <w:tcPr>
            <w:tcW w:w="1276" w:type="dxa"/>
            <w:vAlign w:val="center"/>
          </w:tcPr>
          <w:p>
            <w:pPr>
              <w:pStyle w:val="12"/>
            </w:pPr>
            <w:r>
              <w:t>建成后集贸市场得到有效利用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拓展农民持续增收的渠道</w:t>
            </w:r>
          </w:p>
        </w:tc>
        <w:tc>
          <w:tcPr>
            <w:tcW w:w="5386" w:type="dxa"/>
            <w:vAlign w:val="center"/>
          </w:tcPr>
          <w:p>
            <w:pPr>
              <w:pStyle w:val="12"/>
            </w:pPr>
            <w:r>
              <w:t>拓展农民持续增收的渠道</w:t>
            </w:r>
          </w:p>
        </w:tc>
        <w:tc>
          <w:tcPr>
            <w:tcW w:w="2268" w:type="dxa"/>
            <w:vAlign w:val="center"/>
          </w:tcPr>
          <w:p>
            <w:pPr>
              <w:pStyle w:val="12"/>
            </w:pPr>
            <w:r>
              <w:t>促进农村二三产业融合发展，带动地方产业发展</w:t>
            </w:r>
          </w:p>
        </w:tc>
        <w:tc>
          <w:tcPr>
            <w:tcW w:w="1276" w:type="dxa"/>
            <w:vAlign w:val="center"/>
          </w:tcPr>
          <w:p>
            <w:pPr>
              <w:pStyle w:val="12"/>
            </w:pPr>
            <w:r>
              <w:t>拓宽农民持续增收的渠道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大于、等于90%为优，80%-89%为良，60%-79%为中，小于60%为差</w:t>
            </w:r>
          </w:p>
        </w:tc>
        <w:tc>
          <w:tcPr>
            <w:tcW w:w="1276" w:type="dxa"/>
            <w:vAlign w:val="center"/>
          </w:tcPr>
          <w:p>
            <w:pPr>
              <w:pStyle w:val="12"/>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≥95%</w:t>
            </w:r>
          </w:p>
        </w:tc>
        <w:tc>
          <w:tcPr>
            <w:tcW w:w="1276" w:type="dxa"/>
            <w:vAlign w:val="center"/>
          </w:tcPr>
          <w:p>
            <w:pPr>
              <w:pStyle w:val="12"/>
            </w:pPr>
            <w:r>
              <w:t>服务对象达到满意</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213.60</w:t>
            </w:r>
          </w:p>
        </w:tc>
        <w:tc>
          <w:tcPr>
            <w:tcW w:w="964" w:type="dxa"/>
            <w:vAlign w:val="center"/>
          </w:tcPr>
          <w:p>
            <w:pPr>
              <w:pStyle w:val="15"/>
            </w:pPr>
            <w:r>
              <w:t>213.60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秦皇岛北戴河新区留守营管理处本级小计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213.60</w:t>
            </w:r>
          </w:p>
        </w:tc>
        <w:tc>
          <w:tcPr>
            <w:tcW w:w="964" w:type="dxa"/>
            <w:vAlign w:val="center"/>
          </w:tcPr>
          <w:p>
            <w:pPr>
              <w:pStyle w:val="15"/>
            </w:pPr>
            <w:r>
              <w:t>213.60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27.68</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60.30</w:t>
            </w:r>
          </w:p>
        </w:tc>
        <w:tc>
          <w:tcPr>
            <w:tcW w:w="1134" w:type="dxa"/>
            <w:vAlign w:val="center"/>
          </w:tcPr>
          <w:p>
            <w:pPr>
              <w:pStyle w:val="12"/>
            </w:pPr>
            <w:r>
              <w:t>其他电能</w:t>
            </w:r>
          </w:p>
        </w:tc>
        <w:tc>
          <w:tcPr>
            <w:tcW w:w="1134" w:type="dxa"/>
            <w:vAlign w:val="center"/>
          </w:tcPr>
          <w:p>
            <w:pPr>
              <w:pStyle w:val="12"/>
            </w:pPr>
            <w:r>
              <w:t>A07050199</w:t>
            </w:r>
          </w:p>
        </w:tc>
        <w:tc>
          <w:tcPr>
            <w:tcW w:w="709" w:type="dxa"/>
            <w:vAlign w:val="center"/>
          </w:tcPr>
          <w:p>
            <w:pPr>
              <w:pStyle w:val="13"/>
            </w:pPr>
            <w:r>
              <w:t>年</w:t>
            </w:r>
          </w:p>
        </w:tc>
        <w:tc>
          <w:tcPr>
            <w:tcW w:w="850" w:type="dxa"/>
            <w:vAlign w:val="center"/>
          </w:tcPr>
          <w:p>
            <w:pPr>
              <w:pStyle w:val="11"/>
            </w:pPr>
            <w:r>
              <w:t>6</w:t>
            </w:r>
          </w:p>
        </w:tc>
        <w:tc>
          <w:tcPr>
            <w:tcW w:w="850" w:type="dxa"/>
            <w:vAlign w:val="center"/>
          </w:tcPr>
          <w:p>
            <w:pPr>
              <w:pStyle w:val="11"/>
            </w:pPr>
            <w:r>
              <w:t>1.00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60.30</w:t>
            </w:r>
          </w:p>
        </w:tc>
        <w:tc>
          <w:tcPr>
            <w:tcW w:w="1134" w:type="dxa"/>
            <w:vAlign w:val="center"/>
          </w:tcPr>
          <w:p>
            <w:pPr>
              <w:pStyle w:val="12"/>
            </w:pPr>
            <w:r>
              <w:t>其他煤气、水煤气、发生炉煤气和类似的可燃气</w:t>
            </w:r>
          </w:p>
        </w:tc>
        <w:tc>
          <w:tcPr>
            <w:tcW w:w="1134" w:type="dxa"/>
            <w:vAlign w:val="center"/>
          </w:tcPr>
          <w:p>
            <w:pPr>
              <w:pStyle w:val="12"/>
            </w:pPr>
            <w:r>
              <w:t>A07050299</w:t>
            </w:r>
          </w:p>
        </w:tc>
        <w:tc>
          <w:tcPr>
            <w:tcW w:w="709" w:type="dxa"/>
            <w:vAlign w:val="center"/>
          </w:tcPr>
          <w:p>
            <w:pPr>
              <w:pStyle w:val="13"/>
            </w:pPr>
            <w:r>
              <w:t>年</w:t>
            </w:r>
          </w:p>
        </w:tc>
        <w:tc>
          <w:tcPr>
            <w:tcW w:w="850" w:type="dxa"/>
            <w:vAlign w:val="center"/>
          </w:tcPr>
          <w:p>
            <w:pPr>
              <w:pStyle w:val="11"/>
            </w:pPr>
            <w:r>
              <w:t>22</w:t>
            </w:r>
          </w:p>
        </w:tc>
        <w:tc>
          <w:tcPr>
            <w:tcW w:w="850" w:type="dxa"/>
            <w:vAlign w:val="center"/>
          </w:tcPr>
          <w:p>
            <w:pPr>
              <w:pStyle w:val="11"/>
            </w:pPr>
            <w:r>
              <w:t>1.00</w:t>
            </w:r>
          </w:p>
        </w:tc>
        <w:tc>
          <w:tcPr>
            <w:tcW w:w="964" w:type="dxa"/>
            <w:vAlign w:val="center"/>
          </w:tcPr>
          <w:p>
            <w:pPr>
              <w:pStyle w:val="11"/>
            </w:pPr>
            <w:r>
              <w:t>22.00</w:t>
            </w:r>
          </w:p>
        </w:tc>
        <w:tc>
          <w:tcPr>
            <w:tcW w:w="964" w:type="dxa"/>
            <w:vAlign w:val="center"/>
          </w:tcPr>
          <w:p>
            <w:pPr>
              <w:pStyle w:val="11"/>
            </w:pPr>
            <w:r>
              <w:t>22.00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60.30</w:t>
            </w:r>
          </w:p>
        </w:tc>
        <w:tc>
          <w:tcPr>
            <w:tcW w:w="1134" w:type="dxa"/>
            <w:vAlign w:val="center"/>
          </w:tcPr>
          <w:p>
            <w:pPr>
              <w:pStyle w:val="12"/>
            </w:pPr>
            <w:r>
              <w:t>商业饮用水</w:t>
            </w:r>
          </w:p>
        </w:tc>
        <w:tc>
          <w:tcPr>
            <w:tcW w:w="1134" w:type="dxa"/>
            <w:vAlign w:val="center"/>
          </w:tcPr>
          <w:p>
            <w:pPr>
              <w:pStyle w:val="12"/>
            </w:pPr>
            <w:r>
              <w:t>A07050502</w:t>
            </w:r>
          </w:p>
        </w:tc>
        <w:tc>
          <w:tcPr>
            <w:tcW w:w="709" w:type="dxa"/>
            <w:vAlign w:val="center"/>
          </w:tcPr>
          <w:p>
            <w:pPr>
              <w:pStyle w:val="13"/>
            </w:pPr>
            <w:r>
              <w:t>年</w:t>
            </w:r>
          </w:p>
        </w:tc>
        <w:tc>
          <w:tcPr>
            <w:tcW w:w="850" w:type="dxa"/>
            <w:vAlign w:val="center"/>
          </w:tcPr>
          <w:p>
            <w:pPr>
              <w:pStyle w:val="11"/>
            </w:pPr>
            <w:r>
              <w:t>8</w:t>
            </w:r>
          </w:p>
        </w:tc>
        <w:tc>
          <w:tcPr>
            <w:tcW w:w="850" w:type="dxa"/>
            <w:vAlign w:val="center"/>
          </w:tcPr>
          <w:p>
            <w:pPr>
              <w:pStyle w:val="11"/>
            </w:pPr>
            <w:r>
              <w:t>1.00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60.30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1.8</w:t>
            </w:r>
          </w:p>
        </w:tc>
        <w:tc>
          <w:tcPr>
            <w:tcW w:w="850" w:type="dxa"/>
            <w:vAlign w:val="center"/>
          </w:tcPr>
          <w:p>
            <w:pPr>
              <w:pStyle w:val="11"/>
            </w:pPr>
            <w:r>
              <w:t>1.00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农村人居环境整治（农村环卫保洁）（河道保洁）项目资金</w:t>
            </w:r>
          </w:p>
        </w:tc>
        <w:tc>
          <w:tcPr>
            <w:tcW w:w="964" w:type="dxa"/>
            <w:vAlign w:val="center"/>
          </w:tcPr>
          <w:p>
            <w:pPr>
              <w:pStyle w:val="11"/>
            </w:pPr>
            <w:r>
              <w:t>171.00</w:t>
            </w:r>
          </w:p>
        </w:tc>
        <w:tc>
          <w:tcPr>
            <w:tcW w:w="1134" w:type="dxa"/>
            <w:vAlign w:val="center"/>
          </w:tcPr>
          <w:p>
            <w:pPr>
              <w:pStyle w:val="12"/>
            </w:pPr>
            <w:r>
              <w:t>清扫服务</w:t>
            </w:r>
          </w:p>
        </w:tc>
        <w:tc>
          <w:tcPr>
            <w:tcW w:w="1134" w:type="dxa"/>
            <w:vAlign w:val="center"/>
          </w:tcPr>
          <w:p>
            <w:pPr>
              <w:pStyle w:val="12"/>
            </w:pPr>
            <w:r>
              <w:t>C13050100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171.00</w:t>
            </w:r>
          </w:p>
        </w:tc>
        <w:tc>
          <w:tcPr>
            <w:tcW w:w="964" w:type="dxa"/>
            <w:vAlign w:val="center"/>
          </w:tcPr>
          <w:p>
            <w:pPr>
              <w:pStyle w:val="11"/>
            </w:pPr>
            <w:r>
              <w:t>171.00</w:t>
            </w:r>
          </w:p>
        </w:tc>
        <w:tc>
          <w:tcPr>
            <w:tcW w:w="964" w:type="dxa"/>
            <w:vAlign w:val="center"/>
          </w:tcPr>
          <w:p>
            <w:pPr>
              <w:pStyle w:val="11"/>
            </w:pPr>
            <w:r>
              <w:t>171.00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秦皇岛北戴河新区留守营管理处本级上年末固定资产金额为394.75万元（详见下表）。本年度拟购置固定资产总额为0.00万元，已按要求列入政府采购预算，详见政府采购预算表。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336001秦皇岛北戴河新区留守营管理处本级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r>
              <w:rPr>
                <w:rFonts w:hint="eastAsia"/>
                <w:lang w:val="en-US" w:eastAsia="zh-CN"/>
              </w:rPr>
              <w:t>375</w:t>
            </w:r>
          </w:p>
        </w:tc>
        <w:tc>
          <w:tcPr>
            <w:tcW w:w="2835" w:type="dxa"/>
            <w:vAlign w:val="center"/>
          </w:tcPr>
          <w:p>
            <w:pPr>
              <w:pStyle w:val="11"/>
            </w:pPr>
            <w:r>
              <w:rPr>
                <w:rFonts w:ascii="Times New Roman" w:hAnsi="Times New Roman" w:eastAsia="方正仿宋_GBK" w:cs="Times New Roman"/>
                <w:b w:val="0"/>
                <w:color w:val="000000"/>
                <w:sz w:val="28"/>
              </w:rPr>
              <w:t>394.75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rPr>
                <w:rFonts w:hint="eastAsia"/>
                <w:lang w:val="en-US" w:eastAsia="zh-CN"/>
              </w:rPr>
              <w:t>252.16</w:t>
            </w:r>
          </w:p>
        </w:tc>
        <w:tc>
          <w:tcPr>
            <w:tcW w:w="2835" w:type="dxa"/>
            <w:vAlign w:val="center"/>
          </w:tcPr>
          <w:p>
            <w:pPr>
              <w:pStyle w:val="11"/>
            </w:pPr>
            <w:r>
              <w:rPr>
                <w:rFonts w:hint="eastAsia"/>
                <w:lang w:val="en-US" w:eastAsia="zh-CN"/>
              </w:rPr>
              <w:t>48.52</w:t>
            </w:r>
            <w:bookmarkStart w:id="1" w:name="_GoBack"/>
            <w:bookmarkEnd w:id="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373</w:t>
            </w:r>
          </w:p>
        </w:tc>
        <w:tc>
          <w:tcPr>
            <w:tcW w:w="2835" w:type="dxa"/>
            <w:vAlign w:val="center"/>
          </w:tcPr>
          <w:p>
            <w:pPr>
              <w:pStyle w:val="11"/>
            </w:pPr>
            <w:r>
              <w:t>365.77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E57A6"/>
    <w:rsid w:val="18665102"/>
    <w:rsid w:val="35E1268A"/>
    <w:rsid w:val="3AA506E1"/>
    <w:rsid w:val="40965C3F"/>
    <w:rsid w:val="526E4C36"/>
    <w:rsid w:val="55C10D64"/>
    <w:rsid w:val="735117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1" Type="http://schemas.openxmlformats.org/officeDocument/2006/relationships/fontTable" Target="fontTable.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2024-02-28T16:23:31Z</dcterms:created>
  <dcterms:modified xsi:type="dcterms:W3CDTF">2024-02-28T08:23:31Z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2024-02-28T16:23:31Z</dcterms:created>
  <dcterms:modified xsi:type="dcterms:W3CDTF">2024-02-28T08:23:31Z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2024-02-28T16:23:31Z</dcterms:created>
  <dcterms:modified xsi:type="dcterms:W3CDTF">2024-02-28T08:23:31Z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2024-02-28T16:23:31Z</dcterms:created>
  <dcterms:modified xsi:type="dcterms:W3CDTF">2024-02-28T08:23:31Z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2024-02-28T16:23:31Z</dcterms:created>
  <dcterms:modified xsi:type="dcterms:W3CDTF">2024-02-28T08:23:31Z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2024-02-28T16:23:29Z</dcterms:created>
  <dcterms:modified xsi:type="dcterms:W3CDTF">2024-02-28T08:23:29Z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2024-02-28T16:23:31Z</dcterms:created>
  <dcterms:modified xsi:type="dcterms:W3CDTF">2024-02-28T08:23:31Z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2024-02-28T16:23:25Z</dcterms:created>
  <dcterms:modified xsi:type="dcterms:W3CDTF">2024-02-28T08:23:25Z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2024-02-28T16:23:30Z</dcterms:created>
  <dcterms:modified xsi:type="dcterms:W3CDTF">2024-02-28T08:23:30Z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2024-02-28T16:23:30Z</dcterms:created>
  <dcterms:modified xsi:type="dcterms:W3CDTF">2024-02-28T08:23:30Z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2024-02-28T16:23:30Z</dcterms:created>
  <dcterms:modified xsi:type="dcterms:W3CDTF">2024-02-28T08:23:30Z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2024-02-28T16:23:30Z</dcterms:created>
  <dcterms:modified xsi:type="dcterms:W3CDTF">2024-02-28T08:23:30Z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2024-02-28T16:23:30Z</dcterms:created>
  <dcterms:modified xsi:type="dcterms:W3CDTF">2024-02-28T08:23:30Z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2024-02-28T16:23:29Z</dcterms:created>
  <dcterms:modified xsi:type="dcterms:W3CDTF">2024-02-28T08:23:29Z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2024-02-28T16:23:29Z</dcterms:created>
  <dcterms:modified xsi:type="dcterms:W3CDTF">2024-02-28T08:23:29Z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2024-02-28T16:23:29Z</dcterms:created>
  <dcterms:modified xsi:type="dcterms:W3CDTF">2024-02-28T08:23:29Z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2024-02-28T16:23:28Z</dcterms:created>
  <dcterms:modified xsi:type="dcterms:W3CDTF">2024-02-28T08:23:28Z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2024-02-28T16:23:29Z</dcterms:created>
  <dcterms:modified xsi:type="dcterms:W3CDTF">2024-02-28T08:23:29Z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2024-02-28T16:23:29Z</dcterms:created>
  <dcterms:modified xsi:type="dcterms:W3CDTF">2024-02-28T08:23:29Z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2024-02-28T16:23:21Z</dcterms:created>
  <dcterms:modified xsi:type="dcterms:W3CDTF">2024-02-28T08:23:21Z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2024-02-28T16:23:28Z</dcterms:created>
  <dcterms:modified xsi:type="dcterms:W3CDTF">2024-02-28T08:23:28Z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2024-02-28T16:23:32Z</dcterms:created>
  <dcterms:modified xsi:type="dcterms:W3CDTF">2024-02-28T08:23:32Z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5890c9d-cb7f-43dc-a580-9ff9349dddee}">
  <ds:schemaRefs/>
</ds:datastoreItem>
</file>

<file path=customXml/itemProps11.xml><?xml version="1.0" encoding="utf-8"?>
<ds:datastoreItem xmlns:ds="http://schemas.openxmlformats.org/officeDocument/2006/customXml" ds:itemID="{95b084dc-bd20-483a-b7e2-9b27d5deded4}">
  <ds:schemaRefs/>
</ds:datastoreItem>
</file>

<file path=customXml/itemProps12.xml><?xml version="1.0" encoding="utf-8"?>
<ds:datastoreItem xmlns:ds="http://schemas.openxmlformats.org/officeDocument/2006/customXml" ds:itemID="{61c40c4f-868c-48d9-b08b-daa8019eba7f}">
  <ds:schemaRefs/>
</ds:datastoreItem>
</file>

<file path=customXml/itemProps13.xml><?xml version="1.0" encoding="utf-8"?>
<ds:datastoreItem xmlns:ds="http://schemas.openxmlformats.org/officeDocument/2006/customXml" ds:itemID="{fbc4cab0-9b0e-45c4-b33b-bc815dae123b}">
  <ds:schemaRefs/>
</ds:datastoreItem>
</file>

<file path=customXml/itemProps14.xml><?xml version="1.0" encoding="utf-8"?>
<ds:datastoreItem xmlns:ds="http://schemas.openxmlformats.org/officeDocument/2006/customXml" ds:itemID="{0e4c5876-764c-445a-a9d8-b5f74c955483}">
  <ds:schemaRefs/>
</ds:datastoreItem>
</file>

<file path=customXml/itemProps15.xml><?xml version="1.0" encoding="utf-8"?>
<ds:datastoreItem xmlns:ds="http://schemas.openxmlformats.org/officeDocument/2006/customXml" ds:itemID="{b658985d-3f49-411f-a6c6-31bd4f4dd058}">
  <ds:schemaRefs/>
</ds:datastoreItem>
</file>

<file path=customXml/itemProps16.xml><?xml version="1.0" encoding="utf-8"?>
<ds:datastoreItem xmlns:ds="http://schemas.openxmlformats.org/officeDocument/2006/customXml" ds:itemID="{1287293b-550b-4c06-8023-9cc0c16082db}">
  <ds:schemaRefs/>
</ds:datastoreItem>
</file>

<file path=customXml/itemProps17.xml><?xml version="1.0" encoding="utf-8"?>
<ds:datastoreItem xmlns:ds="http://schemas.openxmlformats.org/officeDocument/2006/customXml" ds:itemID="{81d19be4-b220-4737-9afd-11175b4e6e5f}">
  <ds:schemaRefs/>
</ds:datastoreItem>
</file>

<file path=customXml/itemProps18.xml><?xml version="1.0" encoding="utf-8"?>
<ds:datastoreItem xmlns:ds="http://schemas.openxmlformats.org/officeDocument/2006/customXml" ds:itemID="{ea94c3c6-fbaf-47c3-8a7a-1d842ebeeb30}">
  <ds:schemaRefs/>
</ds:datastoreItem>
</file>

<file path=customXml/itemProps19.xml><?xml version="1.0" encoding="utf-8"?>
<ds:datastoreItem xmlns:ds="http://schemas.openxmlformats.org/officeDocument/2006/customXml" ds:itemID="{76d2b8c2-0da4-46a4-908c-b949f7cf6e6b}">
  <ds:schemaRefs/>
</ds:datastoreItem>
</file>

<file path=customXml/itemProps2.xml><?xml version="1.0" encoding="utf-8"?>
<ds:datastoreItem xmlns:ds="http://schemas.openxmlformats.org/officeDocument/2006/customXml" ds:itemID="{27f128ff-b136-45d4-8008-be59f73855a8}">
  <ds:schemaRefs/>
</ds:datastoreItem>
</file>

<file path=customXml/itemProps20.xml><?xml version="1.0" encoding="utf-8"?>
<ds:datastoreItem xmlns:ds="http://schemas.openxmlformats.org/officeDocument/2006/customXml" ds:itemID="{5c7842d0-320e-4ad0-8c20-15c7b26614ef}">
  <ds:schemaRefs/>
</ds:datastoreItem>
</file>

<file path=customXml/itemProps21.xml><?xml version="1.0" encoding="utf-8"?>
<ds:datastoreItem xmlns:ds="http://schemas.openxmlformats.org/officeDocument/2006/customXml" ds:itemID="{fddcab20-0af4-40d7-bc25-bf467086f062}">
  <ds:schemaRefs/>
</ds:datastoreItem>
</file>

<file path=customXml/itemProps22.xml><?xml version="1.0" encoding="utf-8"?>
<ds:datastoreItem xmlns:ds="http://schemas.openxmlformats.org/officeDocument/2006/customXml" ds:itemID="{1193c392-71f1-458f-bb78-09601f471595}">
  <ds:schemaRefs/>
</ds:datastoreItem>
</file>

<file path=customXml/itemProps23.xml><?xml version="1.0" encoding="utf-8"?>
<ds:datastoreItem xmlns:ds="http://schemas.openxmlformats.org/officeDocument/2006/customXml" ds:itemID="{c84e756c-8f88-4c3b-84db-464750396281}">
  <ds:schemaRefs/>
</ds:datastoreItem>
</file>

<file path=customXml/itemProps24.xml><?xml version="1.0" encoding="utf-8"?>
<ds:datastoreItem xmlns:ds="http://schemas.openxmlformats.org/officeDocument/2006/customXml" ds:itemID="{dac8edcc-2a38-491c-b792-0cecce3fc2b7}">
  <ds:schemaRefs/>
</ds:datastoreItem>
</file>

<file path=customXml/itemProps25.xml><?xml version="1.0" encoding="utf-8"?>
<ds:datastoreItem xmlns:ds="http://schemas.openxmlformats.org/officeDocument/2006/customXml" ds:itemID="{bac53af3-2041-45d9-877a-ed44adb3d94a}">
  <ds:schemaRefs/>
</ds:datastoreItem>
</file>

<file path=customXml/itemProps26.xml><?xml version="1.0" encoding="utf-8"?>
<ds:datastoreItem xmlns:ds="http://schemas.openxmlformats.org/officeDocument/2006/customXml" ds:itemID="{6d16ac56-c830-47c9-acd9-7857a76981be}">
  <ds:schemaRefs/>
</ds:datastoreItem>
</file>

<file path=customXml/itemProps27.xml><?xml version="1.0" encoding="utf-8"?>
<ds:datastoreItem xmlns:ds="http://schemas.openxmlformats.org/officeDocument/2006/customXml" ds:itemID="{88dcebc3-045f-4839-9e60-245a84cfe402}">
  <ds:schemaRefs/>
</ds:datastoreItem>
</file>

<file path=customXml/itemProps28.xml><?xml version="1.0" encoding="utf-8"?>
<ds:datastoreItem xmlns:ds="http://schemas.openxmlformats.org/officeDocument/2006/customXml" ds:itemID="{2a065494-d926-4169-97a1-46201de7750a}">
  <ds:schemaRefs/>
</ds:datastoreItem>
</file>

<file path=customXml/itemProps29.xml><?xml version="1.0" encoding="utf-8"?>
<ds:datastoreItem xmlns:ds="http://schemas.openxmlformats.org/officeDocument/2006/customXml" ds:itemID="{a48d7c2f-4457-44a3-bc34-1cad117b40db}">
  <ds:schemaRefs/>
</ds:datastoreItem>
</file>

<file path=customXml/itemProps3.xml><?xml version="1.0" encoding="utf-8"?>
<ds:datastoreItem xmlns:ds="http://schemas.openxmlformats.org/officeDocument/2006/customXml" ds:itemID="{28e8471e-1818-4bba-9478-784e12dad492}">
  <ds:schemaRefs/>
</ds:datastoreItem>
</file>

<file path=customXml/itemProps30.xml><?xml version="1.0" encoding="utf-8"?>
<ds:datastoreItem xmlns:ds="http://schemas.openxmlformats.org/officeDocument/2006/customXml" ds:itemID="{7fccdd3f-19e0-4914-bb68-61cf5c03de82}">
  <ds:schemaRefs/>
</ds:datastoreItem>
</file>

<file path=customXml/itemProps31.xml><?xml version="1.0" encoding="utf-8"?>
<ds:datastoreItem xmlns:ds="http://schemas.openxmlformats.org/officeDocument/2006/customXml" ds:itemID="{ec6b4e27-8f32-40c9-92de-180dbd02d323}">
  <ds:schemaRefs/>
</ds:datastoreItem>
</file>

<file path=customXml/itemProps32.xml><?xml version="1.0" encoding="utf-8"?>
<ds:datastoreItem xmlns:ds="http://schemas.openxmlformats.org/officeDocument/2006/customXml" ds:itemID="{69dcba9f-2d76-41cf-bb5c-414bbaed8f3d}">
  <ds:schemaRefs/>
</ds:datastoreItem>
</file>

<file path=customXml/itemProps33.xml><?xml version="1.0" encoding="utf-8"?>
<ds:datastoreItem xmlns:ds="http://schemas.openxmlformats.org/officeDocument/2006/customXml" ds:itemID="{685e63f1-7c9f-44ea-a4f8-0de9f83e9a94}">
  <ds:schemaRefs/>
</ds:datastoreItem>
</file>

<file path=customXml/itemProps34.xml><?xml version="1.0" encoding="utf-8"?>
<ds:datastoreItem xmlns:ds="http://schemas.openxmlformats.org/officeDocument/2006/customXml" ds:itemID="{1d81f7f0-b96c-4844-aced-6090ee09fc5f}">
  <ds:schemaRefs/>
</ds:datastoreItem>
</file>

<file path=customXml/itemProps35.xml><?xml version="1.0" encoding="utf-8"?>
<ds:datastoreItem xmlns:ds="http://schemas.openxmlformats.org/officeDocument/2006/customXml" ds:itemID="{f3124ea1-d15a-49b0-9afb-ee37d97cb425}">
  <ds:schemaRefs/>
</ds:datastoreItem>
</file>

<file path=customXml/itemProps36.xml><?xml version="1.0" encoding="utf-8"?>
<ds:datastoreItem xmlns:ds="http://schemas.openxmlformats.org/officeDocument/2006/customXml" ds:itemID="{6a712101-84cf-4fc4-9641-5c4ba8264c46}">
  <ds:schemaRefs/>
</ds:datastoreItem>
</file>

<file path=customXml/itemProps37.xml><?xml version="1.0" encoding="utf-8"?>
<ds:datastoreItem xmlns:ds="http://schemas.openxmlformats.org/officeDocument/2006/customXml" ds:itemID="{42367678-5976-40e1-a3e9-7ce00cb68e6b}">
  <ds:schemaRefs/>
</ds:datastoreItem>
</file>

<file path=customXml/itemProps38.xml><?xml version="1.0" encoding="utf-8"?>
<ds:datastoreItem xmlns:ds="http://schemas.openxmlformats.org/officeDocument/2006/customXml" ds:itemID="{15459be8-634a-4637-9576-7d1f12d8d483}">
  <ds:schemaRefs/>
</ds:datastoreItem>
</file>

<file path=customXml/itemProps39.xml><?xml version="1.0" encoding="utf-8"?>
<ds:datastoreItem xmlns:ds="http://schemas.openxmlformats.org/officeDocument/2006/customXml" ds:itemID="{2b97d03b-e806-4939-9b0b-4ba7a3c30f1d}">
  <ds:schemaRefs/>
</ds:datastoreItem>
</file>

<file path=customXml/itemProps4.xml><?xml version="1.0" encoding="utf-8"?>
<ds:datastoreItem xmlns:ds="http://schemas.openxmlformats.org/officeDocument/2006/customXml" ds:itemID="{e94db53c-40e2-43d5-9dbe-5707b3f1ff5a}">
  <ds:schemaRefs/>
</ds:datastoreItem>
</file>

<file path=customXml/itemProps40.xml><?xml version="1.0" encoding="utf-8"?>
<ds:datastoreItem xmlns:ds="http://schemas.openxmlformats.org/officeDocument/2006/customXml" ds:itemID="{3791e348-0c55-406a-8cc8-76843782dc5e}">
  <ds:schemaRefs/>
</ds:datastoreItem>
</file>

<file path=customXml/itemProps41.xml><?xml version="1.0" encoding="utf-8"?>
<ds:datastoreItem xmlns:ds="http://schemas.openxmlformats.org/officeDocument/2006/customXml" ds:itemID="{995f7550-eb43-4f89-b42a-c71ea94eb0f3}">
  <ds:schemaRefs/>
</ds:datastoreItem>
</file>

<file path=customXml/itemProps42.xml><?xml version="1.0" encoding="utf-8"?>
<ds:datastoreItem xmlns:ds="http://schemas.openxmlformats.org/officeDocument/2006/customXml" ds:itemID="{a89cbd25-cb69-4f94-afa1-2e925f1efe3e}">
  <ds:schemaRefs/>
</ds:datastoreItem>
</file>

<file path=customXml/itemProps43.xml><?xml version="1.0" encoding="utf-8"?>
<ds:datastoreItem xmlns:ds="http://schemas.openxmlformats.org/officeDocument/2006/customXml" ds:itemID="{bac49eb1-f9ca-4223-9207-3d35bb64e889}">
  <ds:schemaRefs/>
</ds:datastoreItem>
</file>

<file path=customXml/itemProps44.xml><?xml version="1.0" encoding="utf-8"?>
<ds:datastoreItem xmlns:ds="http://schemas.openxmlformats.org/officeDocument/2006/customXml" ds:itemID="{d8a812b1-27fe-4e56-be47-ce7fe10b8d73}">
  <ds:schemaRefs/>
</ds:datastoreItem>
</file>

<file path=customXml/itemProps45.xml><?xml version="1.0" encoding="utf-8"?>
<ds:datastoreItem xmlns:ds="http://schemas.openxmlformats.org/officeDocument/2006/customXml" ds:itemID="{4a7fa80e-3215-494e-9bb4-7027d30d6744}">
  <ds:schemaRefs/>
</ds:datastoreItem>
</file>

<file path=customXml/itemProps5.xml><?xml version="1.0" encoding="utf-8"?>
<ds:datastoreItem xmlns:ds="http://schemas.openxmlformats.org/officeDocument/2006/customXml" ds:itemID="{52423453-6f68-4ac3-873e-9427fb197e31}">
  <ds:schemaRefs/>
</ds:datastoreItem>
</file>

<file path=customXml/itemProps6.xml><?xml version="1.0" encoding="utf-8"?>
<ds:datastoreItem xmlns:ds="http://schemas.openxmlformats.org/officeDocument/2006/customXml" ds:itemID="{c776c287-d24b-488a-b49b-4598b062dc42}">
  <ds:schemaRefs/>
</ds:datastoreItem>
</file>

<file path=customXml/itemProps7.xml><?xml version="1.0" encoding="utf-8"?>
<ds:datastoreItem xmlns:ds="http://schemas.openxmlformats.org/officeDocument/2006/customXml" ds:itemID="{db56ed74-7637-4d14-a1d3-996aa518ea2b}">
  <ds:schemaRefs/>
</ds:datastoreItem>
</file>

<file path=customXml/itemProps8.xml><?xml version="1.0" encoding="utf-8"?>
<ds:datastoreItem xmlns:ds="http://schemas.openxmlformats.org/officeDocument/2006/customXml" ds:itemID="{039b5be1-5cfb-4934-8f9e-59280e0454e1}">
  <ds:schemaRefs/>
</ds:datastoreItem>
</file>

<file path=customXml/itemProps9.xml><?xml version="1.0" encoding="utf-8"?>
<ds:datastoreItem xmlns:ds="http://schemas.openxmlformats.org/officeDocument/2006/customXml" ds:itemID="{f381e13e-4a15-4492-9eab-88dad1006b4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2024-02-28T16:23:00Z</dcterms:created>
  <dc:creator>ZYA</dc:creator>
  <cp:lastModifiedBy>ZYA</cp:lastModifiedBy>
  <dcterms:modified xsi:type="dcterms:W3CDTF">2024-08-13T07:03:16Z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