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一、秦皇岛北戴河新区大蒲河管理处本级收支预算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一、秦皇岛北戴河新区大蒲河管理处本级收支预算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1402.66</w:t>
            </w:r>
          </w:p>
        </w:tc>
        <w:tc>
          <w:tcPr>
            <w:tcW w:w="4535" w:type="dxa"/>
            <w:vAlign w:val="center"/>
          </w:tcPr>
          <w:p>
            <w:pPr>
              <w:pStyle w:val="12"/>
            </w:pPr>
            <w:r>
              <w:t>一、一般公共服务支出</w:t>
            </w:r>
          </w:p>
        </w:tc>
        <w:tc>
          <w:tcPr>
            <w:tcW w:w="2126" w:type="dxa"/>
            <w:vAlign w:val="center"/>
          </w:tcPr>
          <w:p>
            <w:pPr>
              <w:pStyle w:val="11"/>
            </w:pPr>
            <w:r>
              <w:t>748.41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143.20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143.20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388.86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1545.86</w:t>
            </w:r>
          </w:p>
        </w:tc>
        <w:tc>
          <w:tcPr>
            <w:tcW w:w="4535" w:type="dxa"/>
            <w:vAlign w:val="center"/>
          </w:tcPr>
          <w:p>
            <w:pPr>
              <w:pStyle w:val="14"/>
            </w:pPr>
            <w:r>
              <w:t>本年支出合计</w:t>
            </w:r>
          </w:p>
        </w:tc>
        <w:tc>
          <w:tcPr>
            <w:tcW w:w="2126" w:type="dxa"/>
            <w:vAlign w:val="center"/>
          </w:tcPr>
          <w:p>
            <w:pPr>
              <w:pStyle w:val="15"/>
            </w:pPr>
            <w:r>
              <w:t>1564.02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18.16</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1564.02</w:t>
            </w:r>
          </w:p>
        </w:tc>
        <w:tc>
          <w:tcPr>
            <w:tcW w:w="4535" w:type="dxa"/>
            <w:vAlign w:val="center"/>
          </w:tcPr>
          <w:p>
            <w:pPr>
              <w:pStyle w:val="14"/>
            </w:pPr>
            <w:r>
              <w:t>支出总计</w:t>
            </w:r>
          </w:p>
        </w:tc>
        <w:tc>
          <w:tcPr>
            <w:tcW w:w="2126" w:type="dxa"/>
            <w:vAlign w:val="center"/>
          </w:tcPr>
          <w:p>
            <w:pPr>
              <w:pStyle w:val="15"/>
            </w:pPr>
            <w:r>
              <w:t>1564.02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1564.02</w:t>
            </w:r>
          </w:p>
        </w:tc>
        <w:tc>
          <w:tcPr>
            <w:tcW w:w="1134" w:type="dxa"/>
            <w:vAlign w:val="center"/>
          </w:tcPr>
          <w:p>
            <w:pPr>
              <w:pStyle w:val="15"/>
            </w:pPr>
            <w:r>
              <w:t>1545.86</w:t>
            </w:r>
          </w:p>
        </w:tc>
        <w:tc>
          <w:tcPr>
            <w:tcW w:w="1134" w:type="dxa"/>
            <w:vAlign w:val="center"/>
          </w:tcPr>
          <w:p>
            <w:pPr>
              <w:pStyle w:val="15"/>
            </w:pPr>
            <w:r>
              <w:t>1545.86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748.41</w:t>
            </w:r>
          </w:p>
        </w:tc>
        <w:tc>
          <w:tcPr>
            <w:tcW w:w="1134" w:type="dxa"/>
            <w:vAlign w:val="center"/>
          </w:tcPr>
          <w:p>
            <w:pPr>
              <w:pStyle w:val="11"/>
            </w:pPr>
            <w:r>
              <w:t>748.41</w:t>
            </w:r>
          </w:p>
        </w:tc>
        <w:tc>
          <w:tcPr>
            <w:tcW w:w="1134" w:type="dxa"/>
            <w:vAlign w:val="center"/>
          </w:tcPr>
          <w:p>
            <w:pPr>
              <w:pStyle w:val="11"/>
            </w:pPr>
            <w:r>
              <w:t>748.41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735.41</w:t>
            </w:r>
          </w:p>
        </w:tc>
        <w:tc>
          <w:tcPr>
            <w:tcW w:w="1134" w:type="dxa"/>
            <w:vAlign w:val="center"/>
          </w:tcPr>
          <w:p>
            <w:pPr>
              <w:pStyle w:val="11"/>
            </w:pPr>
            <w:r>
              <w:t>735.41</w:t>
            </w:r>
          </w:p>
        </w:tc>
        <w:tc>
          <w:tcPr>
            <w:tcW w:w="1134" w:type="dxa"/>
            <w:vAlign w:val="center"/>
          </w:tcPr>
          <w:p>
            <w:pPr>
              <w:pStyle w:val="11"/>
            </w:pPr>
            <w:r>
              <w:t>735.41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735.41</w:t>
            </w:r>
          </w:p>
        </w:tc>
        <w:tc>
          <w:tcPr>
            <w:tcW w:w="1134" w:type="dxa"/>
            <w:vAlign w:val="center"/>
          </w:tcPr>
          <w:p>
            <w:pPr>
              <w:pStyle w:val="11"/>
            </w:pPr>
            <w:r>
              <w:t>735.41</w:t>
            </w:r>
          </w:p>
        </w:tc>
        <w:tc>
          <w:tcPr>
            <w:tcW w:w="1134" w:type="dxa"/>
            <w:vAlign w:val="center"/>
          </w:tcPr>
          <w:p>
            <w:pPr>
              <w:pStyle w:val="11"/>
            </w:pPr>
            <w:r>
              <w:t>735.41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3.75</w:t>
            </w:r>
          </w:p>
        </w:tc>
        <w:tc>
          <w:tcPr>
            <w:tcW w:w="1134" w:type="dxa"/>
            <w:vAlign w:val="center"/>
          </w:tcPr>
          <w:p>
            <w:pPr>
              <w:pStyle w:val="11"/>
            </w:pPr>
            <w:r>
              <w:t>3.75</w:t>
            </w:r>
          </w:p>
        </w:tc>
        <w:tc>
          <w:tcPr>
            <w:tcW w:w="1134" w:type="dxa"/>
            <w:vAlign w:val="center"/>
          </w:tcPr>
          <w:p>
            <w:pPr>
              <w:pStyle w:val="11"/>
            </w:pPr>
            <w:r>
              <w:t>3.75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3.25</w:t>
            </w:r>
          </w:p>
        </w:tc>
        <w:tc>
          <w:tcPr>
            <w:tcW w:w="1134" w:type="dxa"/>
            <w:vAlign w:val="center"/>
          </w:tcPr>
          <w:p>
            <w:pPr>
              <w:pStyle w:val="11"/>
            </w:pPr>
            <w:r>
              <w:t>3.25</w:t>
            </w:r>
          </w:p>
        </w:tc>
        <w:tc>
          <w:tcPr>
            <w:tcW w:w="1134" w:type="dxa"/>
            <w:vAlign w:val="center"/>
          </w:tcPr>
          <w:p>
            <w:pPr>
              <w:pStyle w:val="11"/>
            </w:pPr>
            <w:r>
              <w:t>3.25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3.25</w:t>
            </w:r>
          </w:p>
        </w:tc>
        <w:tc>
          <w:tcPr>
            <w:tcW w:w="1134" w:type="dxa"/>
            <w:vAlign w:val="center"/>
          </w:tcPr>
          <w:p>
            <w:pPr>
              <w:pStyle w:val="11"/>
            </w:pPr>
            <w:r>
              <w:t>3.25</w:t>
            </w:r>
          </w:p>
        </w:tc>
        <w:tc>
          <w:tcPr>
            <w:tcW w:w="1134" w:type="dxa"/>
            <w:vAlign w:val="center"/>
          </w:tcPr>
          <w:p>
            <w:pPr>
              <w:pStyle w:val="11"/>
            </w:pPr>
            <w:r>
              <w:t>3.25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156.95</w:t>
            </w:r>
          </w:p>
        </w:tc>
        <w:tc>
          <w:tcPr>
            <w:tcW w:w="1134" w:type="dxa"/>
            <w:vAlign w:val="center"/>
          </w:tcPr>
          <w:p>
            <w:pPr>
              <w:pStyle w:val="11"/>
            </w:pPr>
            <w:r>
              <w:t>156.95</w:t>
            </w:r>
          </w:p>
        </w:tc>
        <w:tc>
          <w:tcPr>
            <w:tcW w:w="1134" w:type="dxa"/>
            <w:vAlign w:val="center"/>
          </w:tcPr>
          <w:p>
            <w:pPr>
              <w:pStyle w:val="11"/>
            </w:pPr>
            <w:r>
              <w:t>156.95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0.23</w:t>
            </w:r>
          </w:p>
        </w:tc>
        <w:tc>
          <w:tcPr>
            <w:tcW w:w="1134" w:type="dxa"/>
            <w:vAlign w:val="center"/>
          </w:tcPr>
          <w:p>
            <w:pPr>
              <w:pStyle w:val="11"/>
            </w:pPr>
            <w:r>
              <w:t>0.23</w:t>
            </w:r>
          </w:p>
        </w:tc>
        <w:tc>
          <w:tcPr>
            <w:tcW w:w="1134" w:type="dxa"/>
            <w:vAlign w:val="center"/>
          </w:tcPr>
          <w:p>
            <w:pPr>
              <w:pStyle w:val="11"/>
            </w:pPr>
            <w:r>
              <w:t>0.23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0.23</w:t>
            </w:r>
          </w:p>
        </w:tc>
        <w:tc>
          <w:tcPr>
            <w:tcW w:w="1134" w:type="dxa"/>
            <w:vAlign w:val="center"/>
          </w:tcPr>
          <w:p>
            <w:pPr>
              <w:pStyle w:val="11"/>
            </w:pPr>
            <w:r>
              <w:t>0.23</w:t>
            </w:r>
          </w:p>
        </w:tc>
        <w:tc>
          <w:tcPr>
            <w:tcW w:w="1134" w:type="dxa"/>
            <w:vAlign w:val="center"/>
          </w:tcPr>
          <w:p>
            <w:pPr>
              <w:pStyle w:val="11"/>
            </w:pPr>
            <w:r>
              <w:t>0.23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142.31</w:t>
            </w:r>
          </w:p>
        </w:tc>
        <w:tc>
          <w:tcPr>
            <w:tcW w:w="1134" w:type="dxa"/>
            <w:vAlign w:val="center"/>
          </w:tcPr>
          <w:p>
            <w:pPr>
              <w:pStyle w:val="11"/>
            </w:pPr>
            <w:r>
              <w:t>142.31</w:t>
            </w:r>
          </w:p>
        </w:tc>
        <w:tc>
          <w:tcPr>
            <w:tcW w:w="1134" w:type="dxa"/>
            <w:vAlign w:val="center"/>
          </w:tcPr>
          <w:p>
            <w:pPr>
              <w:pStyle w:val="11"/>
            </w:pPr>
            <w:r>
              <w:t>142.31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41.59</w:t>
            </w:r>
          </w:p>
        </w:tc>
        <w:tc>
          <w:tcPr>
            <w:tcW w:w="1134" w:type="dxa"/>
            <w:vAlign w:val="center"/>
          </w:tcPr>
          <w:p>
            <w:pPr>
              <w:pStyle w:val="11"/>
            </w:pPr>
            <w:r>
              <w:t>41.59</w:t>
            </w:r>
          </w:p>
        </w:tc>
        <w:tc>
          <w:tcPr>
            <w:tcW w:w="1134" w:type="dxa"/>
            <w:vAlign w:val="center"/>
          </w:tcPr>
          <w:p>
            <w:pPr>
              <w:pStyle w:val="11"/>
            </w:pPr>
            <w:r>
              <w:t>41.59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72.40</w:t>
            </w:r>
          </w:p>
        </w:tc>
        <w:tc>
          <w:tcPr>
            <w:tcW w:w="1134" w:type="dxa"/>
            <w:vAlign w:val="center"/>
          </w:tcPr>
          <w:p>
            <w:pPr>
              <w:pStyle w:val="11"/>
            </w:pPr>
            <w:r>
              <w:t>72.40</w:t>
            </w:r>
          </w:p>
        </w:tc>
        <w:tc>
          <w:tcPr>
            <w:tcW w:w="1134" w:type="dxa"/>
            <w:vAlign w:val="center"/>
          </w:tcPr>
          <w:p>
            <w:pPr>
              <w:pStyle w:val="11"/>
            </w:pPr>
            <w:r>
              <w:t>72.40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28.32</w:t>
            </w:r>
          </w:p>
        </w:tc>
        <w:tc>
          <w:tcPr>
            <w:tcW w:w="1134" w:type="dxa"/>
            <w:vAlign w:val="center"/>
          </w:tcPr>
          <w:p>
            <w:pPr>
              <w:pStyle w:val="11"/>
            </w:pPr>
            <w:r>
              <w:t>28.32</w:t>
            </w:r>
          </w:p>
        </w:tc>
        <w:tc>
          <w:tcPr>
            <w:tcW w:w="1134" w:type="dxa"/>
            <w:vAlign w:val="center"/>
          </w:tcPr>
          <w:p>
            <w:pPr>
              <w:pStyle w:val="11"/>
            </w:pPr>
            <w:r>
              <w:t>28.32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63.63</w:t>
            </w:r>
          </w:p>
        </w:tc>
        <w:tc>
          <w:tcPr>
            <w:tcW w:w="1134" w:type="dxa"/>
            <w:vAlign w:val="center"/>
          </w:tcPr>
          <w:p>
            <w:pPr>
              <w:pStyle w:val="11"/>
            </w:pPr>
            <w:r>
              <w:t>63.63</w:t>
            </w:r>
          </w:p>
        </w:tc>
        <w:tc>
          <w:tcPr>
            <w:tcW w:w="1134" w:type="dxa"/>
            <w:vAlign w:val="center"/>
          </w:tcPr>
          <w:p>
            <w:pPr>
              <w:pStyle w:val="11"/>
            </w:pPr>
            <w:r>
              <w:t>63.63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63.63</w:t>
            </w:r>
          </w:p>
        </w:tc>
        <w:tc>
          <w:tcPr>
            <w:tcW w:w="1134" w:type="dxa"/>
            <w:vAlign w:val="center"/>
          </w:tcPr>
          <w:p>
            <w:pPr>
              <w:pStyle w:val="11"/>
            </w:pPr>
            <w:r>
              <w:t>63.63</w:t>
            </w:r>
          </w:p>
        </w:tc>
        <w:tc>
          <w:tcPr>
            <w:tcW w:w="1134" w:type="dxa"/>
            <w:vAlign w:val="center"/>
          </w:tcPr>
          <w:p>
            <w:pPr>
              <w:pStyle w:val="11"/>
            </w:pPr>
            <w:r>
              <w:t>63.63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63.63</w:t>
            </w:r>
          </w:p>
        </w:tc>
        <w:tc>
          <w:tcPr>
            <w:tcW w:w="1134" w:type="dxa"/>
            <w:vAlign w:val="center"/>
          </w:tcPr>
          <w:p>
            <w:pPr>
              <w:pStyle w:val="11"/>
            </w:pPr>
            <w:r>
              <w:t>63.63</w:t>
            </w:r>
          </w:p>
        </w:tc>
        <w:tc>
          <w:tcPr>
            <w:tcW w:w="1134" w:type="dxa"/>
            <w:vAlign w:val="center"/>
          </w:tcPr>
          <w:p>
            <w:pPr>
              <w:pStyle w:val="11"/>
            </w:pPr>
            <w:r>
              <w:t>63.63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143.20</w:t>
            </w:r>
          </w:p>
        </w:tc>
        <w:tc>
          <w:tcPr>
            <w:tcW w:w="1134" w:type="dxa"/>
            <w:vAlign w:val="center"/>
          </w:tcPr>
          <w:p>
            <w:pPr>
              <w:pStyle w:val="11"/>
            </w:pPr>
            <w:r>
              <w:t>143.20</w:t>
            </w:r>
          </w:p>
        </w:tc>
        <w:tc>
          <w:tcPr>
            <w:tcW w:w="1134" w:type="dxa"/>
            <w:vAlign w:val="center"/>
          </w:tcPr>
          <w:p>
            <w:pPr>
              <w:pStyle w:val="11"/>
            </w:pPr>
            <w:r>
              <w:t>143.20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143.20</w:t>
            </w:r>
          </w:p>
        </w:tc>
        <w:tc>
          <w:tcPr>
            <w:tcW w:w="1134" w:type="dxa"/>
            <w:vAlign w:val="center"/>
          </w:tcPr>
          <w:p>
            <w:pPr>
              <w:pStyle w:val="11"/>
            </w:pPr>
            <w:r>
              <w:t>143.20</w:t>
            </w:r>
          </w:p>
        </w:tc>
        <w:tc>
          <w:tcPr>
            <w:tcW w:w="1134" w:type="dxa"/>
            <w:vAlign w:val="center"/>
          </w:tcPr>
          <w:p>
            <w:pPr>
              <w:pStyle w:val="11"/>
            </w:pPr>
            <w:r>
              <w:t>143.20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2120804</w:t>
            </w:r>
          </w:p>
        </w:tc>
        <w:tc>
          <w:tcPr>
            <w:tcW w:w="1559" w:type="dxa"/>
            <w:vAlign w:val="center"/>
          </w:tcPr>
          <w:p>
            <w:pPr>
              <w:pStyle w:val="12"/>
            </w:pPr>
            <w:r>
              <w:t>农村基础设施建设支出</w:t>
            </w:r>
          </w:p>
        </w:tc>
        <w:tc>
          <w:tcPr>
            <w:tcW w:w="1134" w:type="dxa"/>
            <w:vAlign w:val="center"/>
          </w:tcPr>
          <w:p>
            <w:pPr>
              <w:pStyle w:val="11"/>
            </w:pPr>
            <w:r>
              <w:t>33.20</w:t>
            </w:r>
          </w:p>
        </w:tc>
        <w:tc>
          <w:tcPr>
            <w:tcW w:w="1134" w:type="dxa"/>
            <w:vAlign w:val="center"/>
          </w:tcPr>
          <w:p>
            <w:pPr>
              <w:pStyle w:val="11"/>
            </w:pPr>
            <w:r>
              <w:t>33.20</w:t>
            </w:r>
          </w:p>
        </w:tc>
        <w:tc>
          <w:tcPr>
            <w:tcW w:w="1134" w:type="dxa"/>
            <w:vAlign w:val="center"/>
          </w:tcPr>
          <w:p>
            <w:pPr>
              <w:pStyle w:val="11"/>
            </w:pPr>
            <w:r>
              <w:t>33.20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388.86</w:t>
            </w:r>
          </w:p>
        </w:tc>
        <w:tc>
          <w:tcPr>
            <w:tcW w:w="1134" w:type="dxa"/>
            <w:vAlign w:val="center"/>
          </w:tcPr>
          <w:p>
            <w:pPr>
              <w:pStyle w:val="11"/>
            </w:pPr>
            <w:r>
              <w:t>370.70</w:t>
            </w:r>
          </w:p>
        </w:tc>
        <w:tc>
          <w:tcPr>
            <w:tcW w:w="1134" w:type="dxa"/>
            <w:vAlign w:val="center"/>
          </w:tcPr>
          <w:p>
            <w:pPr>
              <w:pStyle w:val="11"/>
            </w:pPr>
            <w:r>
              <w:t>370.70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175.10</w:t>
            </w:r>
          </w:p>
        </w:tc>
        <w:tc>
          <w:tcPr>
            <w:tcW w:w="1134" w:type="dxa"/>
            <w:vAlign w:val="center"/>
          </w:tcPr>
          <w:p>
            <w:pPr>
              <w:pStyle w:val="11"/>
            </w:pPr>
            <w:r>
              <w:t>175.10</w:t>
            </w:r>
          </w:p>
        </w:tc>
        <w:tc>
          <w:tcPr>
            <w:tcW w:w="1134" w:type="dxa"/>
            <w:vAlign w:val="center"/>
          </w:tcPr>
          <w:p>
            <w:pPr>
              <w:pStyle w:val="11"/>
            </w:pPr>
            <w:r>
              <w:t>175.10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175.10</w:t>
            </w:r>
          </w:p>
        </w:tc>
        <w:tc>
          <w:tcPr>
            <w:tcW w:w="1134" w:type="dxa"/>
            <w:vAlign w:val="center"/>
          </w:tcPr>
          <w:p>
            <w:pPr>
              <w:pStyle w:val="11"/>
            </w:pPr>
            <w:r>
              <w:t>175.10</w:t>
            </w:r>
          </w:p>
        </w:tc>
        <w:tc>
          <w:tcPr>
            <w:tcW w:w="1134" w:type="dxa"/>
            <w:vAlign w:val="center"/>
          </w:tcPr>
          <w:p>
            <w:pPr>
              <w:pStyle w:val="11"/>
            </w:pPr>
            <w:r>
              <w:t>175.10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213.76</w:t>
            </w:r>
          </w:p>
        </w:tc>
        <w:tc>
          <w:tcPr>
            <w:tcW w:w="1134" w:type="dxa"/>
            <w:vAlign w:val="center"/>
          </w:tcPr>
          <w:p>
            <w:pPr>
              <w:pStyle w:val="11"/>
            </w:pPr>
            <w:r>
              <w:t>195.60</w:t>
            </w:r>
          </w:p>
        </w:tc>
        <w:tc>
          <w:tcPr>
            <w:tcW w:w="1134" w:type="dxa"/>
            <w:vAlign w:val="center"/>
          </w:tcPr>
          <w:p>
            <w:pPr>
              <w:pStyle w:val="11"/>
            </w:pPr>
            <w:r>
              <w:t>195.60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195.60</w:t>
            </w:r>
          </w:p>
        </w:tc>
        <w:tc>
          <w:tcPr>
            <w:tcW w:w="1134" w:type="dxa"/>
            <w:vAlign w:val="center"/>
          </w:tcPr>
          <w:p>
            <w:pPr>
              <w:pStyle w:val="11"/>
            </w:pPr>
            <w:r>
              <w:t>195.60</w:t>
            </w:r>
          </w:p>
        </w:tc>
        <w:tc>
          <w:tcPr>
            <w:tcW w:w="1134" w:type="dxa"/>
            <w:vAlign w:val="center"/>
          </w:tcPr>
          <w:p>
            <w:pPr>
              <w:pStyle w:val="11"/>
            </w:pPr>
            <w:r>
              <w:t>195.60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2130799</w:t>
            </w:r>
          </w:p>
        </w:tc>
        <w:tc>
          <w:tcPr>
            <w:tcW w:w="1559" w:type="dxa"/>
            <w:vAlign w:val="center"/>
          </w:tcPr>
          <w:p>
            <w:pPr>
              <w:pStyle w:val="12"/>
            </w:pPr>
            <w:r>
              <w:t>其他农村综合改革支出</w:t>
            </w:r>
          </w:p>
        </w:tc>
        <w:tc>
          <w:tcPr>
            <w:tcW w:w="1134" w:type="dxa"/>
            <w:vAlign w:val="center"/>
          </w:tcPr>
          <w:p>
            <w:pPr>
              <w:pStyle w:val="11"/>
            </w:pPr>
            <w:r>
              <w:t>18.16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59.22</w:t>
            </w:r>
          </w:p>
        </w:tc>
        <w:tc>
          <w:tcPr>
            <w:tcW w:w="1134" w:type="dxa"/>
            <w:vAlign w:val="center"/>
          </w:tcPr>
          <w:p>
            <w:pPr>
              <w:pStyle w:val="11"/>
            </w:pPr>
            <w:r>
              <w:t>59.22</w:t>
            </w:r>
          </w:p>
        </w:tc>
        <w:tc>
          <w:tcPr>
            <w:tcW w:w="1134" w:type="dxa"/>
            <w:vAlign w:val="center"/>
          </w:tcPr>
          <w:p>
            <w:pPr>
              <w:pStyle w:val="11"/>
            </w:pPr>
            <w:r>
              <w:t>59.22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59.22</w:t>
            </w:r>
          </w:p>
        </w:tc>
        <w:tc>
          <w:tcPr>
            <w:tcW w:w="1134" w:type="dxa"/>
            <w:vAlign w:val="center"/>
          </w:tcPr>
          <w:p>
            <w:pPr>
              <w:pStyle w:val="11"/>
            </w:pPr>
            <w:r>
              <w:t>59.22</w:t>
            </w:r>
          </w:p>
        </w:tc>
        <w:tc>
          <w:tcPr>
            <w:tcW w:w="1134" w:type="dxa"/>
            <w:vAlign w:val="center"/>
          </w:tcPr>
          <w:p>
            <w:pPr>
              <w:pStyle w:val="11"/>
            </w:pPr>
            <w:r>
              <w:t>59.22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59.22</w:t>
            </w:r>
          </w:p>
        </w:tc>
        <w:tc>
          <w:tcPr>
            <w:tcW w:w="1134" w:type="dxa"/>
            <w:vAlign w:val="center"/>
          </w:tcPr>
          <w:p>
            <w:pPr>
              <w:pStyle w:val="11"/>
            </w:pPr>
            <w:r>
              <w:t>59.22</w:t>
            </w:r>
          </w:p>
        </w:tc>
        <w:tc>
          <w:tcPr>
            <w:tcW w:w="1134" w:type="dxa"/>
            <w:vAlign w:val="center"/>
          </w:tcPr>
          <w:p>
            <w:pPr>
              <w:pStyle w:val="11"/>
            </w:pPr>
            <w:r>
              <w:t>59.22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1564.02</w:t>
            </w:r>
          </w:p>
        </w:tc>
        <w:tc>
          <w:tcPr>
            <w:tcW w:w="1361" w:type="dxa"/>
            <w:vAlign w:val="center"/>
          </w:tcPr>
          <w:p>
            <w:pPr>
              <w:pStyle w:val="15"/>
            </w:pPr>
            <w:r>
              <w:t>944.30</w:t>
            </w:r>
          </w:p>
        </w:tc>
        <w:tc>
          <w:tcPr>
            <w:tcW w:w="1361" w:type="dxa"/>
            <w:vAlign w:val="center"/>
          </w:tcPr>
          <w:p>
            <w:pPr>
              <w:pStyle w:val="15"/>
            </w:pPr>
            <w:r>
              <w:t>619.72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748.41</w:t>
            </w:r>
          </w:p>
        </w:tc>
        <w:tc>
          <w:tcPr>
            <w:tcW w:w="1361" w:type="dxa"/>
            <w:vAlign w:val="center"/>
          </w:tcPr>
          <w:p>
            <w:pPr>
              <w:pStyle w:val="11"/>
            </w:pPr>
            <w:r>
              <w:t>679.13</w:t>
            </w:r>
          </w:p>
        </w:tc>
        <w:tc>
          <w:tcPr>
            <w:tcW w:w="1361" w:type="dxa"/>
            <w:vAlign w:val="center"/>
          </w:tcPr>
          <w:p>
            <w:pPr>
              <w:pStyle w:val="11"/>
            </w:pPr>
            <w:r>
              <w:t>69.28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735.41</w:t>
            </w:r>
          </w:p>
        </w:tc>
        <w:tc>
          <w:tcPr>
            <w:tcW w:w="1361" w:type="dxa"/>
            <w:vAlign w:val="center"/>
          </w:tcPr>
          <w:p>
            <w:pPr>
              <w:pStyle w:val="11"/>
            </w:pPr>
            <w:r>
              <w:t>679.13</w:t>
            </w:r>
          </w:p>
        </w:tc>
        <w:tc>
          <w:tcPr>
            <w:tcW w:w="1361" w:type="dxa"/>
            <w:vAlign w:val="center"/>
          </w:tcPr>
          <w:p>
            <w:pPr>
              <w:pStyle w:val="11"/>
            </w:pPr>
            <w:r>
              <w:t>56.28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735.41</w:t>
            </w:r>
          </w:p>
        </w:tc>
        <w:tc>
          <w:tcPr>
            <w:tcW w:w="1361" w:type="dxa"/>
            <w:vAlign w:val="center"/>
          </w:tcPr>
          <w:p>
            <w:pPr>
              <w:pStyle w:val="11"/>
            </w:pPr>
            <w:r>
              <w:t>679.13</w:t>
            </w:r>
          </w:p>
        </w:tc>
        <w:tc>
          <w:tcPr>
            <w:tcW w:w="1361" w:type="dxa"/>
            <w:vAlign w:val="center"/>
          </w:tcPr>
          <w:p>
            <w:pPr>
              <w:pStyle w:val="11"/>
            </w:pPr>
            <w:r>
              <w:t>56.28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3.75</w:t>
            </w:r>
          </w:p>
        </w:tc>
        <w:tc>
          <w:tcPr>
            <w:tcW w:w="1361" w:type="dxa"/>
            <w:vAlign w:val="center"/>
          </w:tcPr>
          <w:p>
            <w:pPr>
              <w:pStyle w:val="11"/>
            </w:pPr>
          </w:p>
        </w:tc>
        <w:tc>
          <w:tcPr>
            <w:tcW w:w="1361" w:type="dxa"/>
            <w:vAlign w:val="center"/>
          </w:tcPr>
          <w:p>
            <w:pPr>
              <w:pStyle w:val="11"/>
            </w:pPr>
            <w:r>
              <w:t>3.75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3.25</w:t>
            </w:r>
          </w:p>
        </w:tc>
        <w:tc>
          <w:tcPr>
            <w:tcW w:w="1361" w:type="dxa"/>
            <w:vAlign w:val="center"/>
          </w:tcPr>
          <w:p>
            <w:pPr>
              <w:pStyle w:val="11"/>
            </w:pPr>
          </w:p>
        </w:tc>
        <w:tc>
          <w:tcPr>
            <w:tcW w:w="1361" w:type="dxa"/>
            <w:vAlign w:val="center"/>
          </w:tcPr>
          <w:p>
            <w:pPr>
              <w:pStyle w:val="11"/>
            </w:pPr>
            <w:r>
              <w:t>3.25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3.25</w:t>
            </w:r>
          </w:p>
        </w:tc>
        <w:tc>
          <w:tcPr>
            <w:tcW w:w="1361" w:type="dxa"/>
            <w:vAlign w:val="center"/>
          </w:tcPr>
          <w:p>
            <w:pPr>
              <w:pStyle w:val="11"/>
            </w:pPr>
          </w:p>
        </w:tc>
        <w:tc>
          <w:tcPr>
            <w:tcW w:w="1361" w:type="dxa"/>
            <w:vAlign w:val="center"/>
          </w:tcPr>
          <w:p>
            <w:pPr>
              <w:pStyle w:val="11"/>
            </w:pPr>
            <w:r>
              <w:t>3.25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156.95</w:t>
            </w:r>
          </w:p>
        </w:tc>
        <w:tc>
          <w:tcPr>
            <w:tcW w:w="1361" w:type="dxa"/>
            <w:vAlign w:val="center"/>
          </w:tcPr>
          <w:p>
            <w:pPr>
              <w:pStyle w:val="11"/>
            </w:pPr>
            <w:r>
              <w:t>142.31</w:t>
            </w:r>
          </w:p>
        </w:tc>
        <w:tc>
          <w:tcPr>
            <w:tcW w:w="1361" w:type="dxa"/>
            <w:vAlign w:val="center"/>
          </w:tcPr>
          <w:p>
            <w:pPr>
              <w:pStyle w:val="11"/>
            </w:pPr>
            <w:r>
              <w:t>14.63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0.23</w:t>
            </w:r>
          </w:p>
        </w:tc>
        <w:tc>
          <w:tcPr>
            <w:tcW w:w="1361" w:type="dxa"/>
            <w:vAlign w:val="center"/>
          </w:tcPr>
          <w:p>
            <w:pPr>
              <w:pStyle w:val="11"/>
            </w:pPr>
          </w:p>
        </w:tc>
        <w:tc>
          <w:tcPr>
            <w:tcW w:w="1361" w:type="dxa"/>
            <w:vAlign w:val="center"/>
          </w:tcPr>
          <w:p>
            <w:pPr>
              <w:pStyle w:val="11"/>
            </w:pPr>
            <w:r>
              <w:t>0.23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0.23</w:t>
            </w:r>
          </w:p>
        </w:tc>
        <w:tc>
          <w:tcPr>
            <w:tcW w:w="1361" w:type="dxa"/>
            <w:vAlign w:val="center"/>
          </w:tcPr>
          <w:p>
            <w:pPr>
              <w:pStyle w:val="11"/>
            </w:pPr>
          </w:p>
        </w:tc>
        <w:tc>
          <w:tcPr>
            <w:tcW w:w="1361" w:type="dxa"/>
            <w:vAlign w:val="center"/>
          </w:tcPr>
          <w:p>
            <w:pPr>
              <w:pStyle w:val="11"/>
            </w:pPr>
            <w:r>
              <w:t>0.23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142.31</w:t>
            </w:r>
          </w:p>
        </w:tc>
        <w:tc>
          <w:tcPr>
            <w:tcW w:w="1361" w:type="dxa"/>
            <w:vAlign w:val="center"/>
          </w:tcPr>
          <w:p>
            <w:pPr>
              <w:pStyle w:val="11"/>
            </w:pPr>
            <w:r>
              <w:t>142.31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41.59</w:t>
            </w:r>
          </w:p>
        </w:tc>
        <w:tc>
          <w:tcPr>
            <w:tcW w:w="1361" w:type="dxa"/>
            <w:vAlign w:val="center"/>
          </w:tcPr>
          <w:p>
            <w:pPr>
              <w:pStyle w:val="11"/>
            </w:pPr>
            <w:r>
              <w:t>41.59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72.40</w:t>
            </w:r>
          </w:p>
        </w:tc>
        <w:tc>
          <w:tcPr>
            <w:tcW w:w="1361" w:type="dxa"/>
            <w:vAlign w:val="center"/>
          </w:tcPr>
          <w:p>
            <w:pPr>
              <w:pStyle w:val="11"/>
            </w:pPr>
            <w:r>
              <w:t>72.40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28.32</w:t>
            </w:r>
          </w:p>
        </w:tc>
        <w:tc>
          <w:tcPr>
            <w:tcW w:w="1361" w:type="dxa"/>
            <w:vAlign w:val="center"/>
          </w:tcPr>
          <w:p>
            <w:pPr>
              <w:pStyle w:val="11"/>
            </w:pPr>
            <w:r>
              <w:t>28.32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63.63</w:t>
            </w:r>
          </w:p>
        </w:tc>
        <w:tc>
          <w:tcPr>
            <w:tcW w:w="1361" w:type="dxa"/>
            <w:vAlign w:val="center"/>
          </w:tcPr>
          <w:p>
            <w:pPr>
              <w:pStyle w:val="11"/>
            </w:pPr>
            <w:r>
              <w:t>63.63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63.63</w:t>
            </w:r>
          </w:p>
        </w:tc>
        <w:tc>
          <w:tcPr>
            <w:tcW w:w="1361" w:type="dxa"/>
            <w:vAlign w:val="center"/>
          </w:tcPr>
          <w:p>
            <w:pPr>
              <w:pStyle w:val="11"/>
            </w:pPr>
            <w:r>
              <w:t>63.63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63.63</w:t>
            </w:r>
          </w:p>
        </w:tc>
        <w:tc>
          <w:tcPr>
            <w:tcW w:w="1361" w:type="dxa"/>
            <w:vAlign w:val="center"/>
          </w:tcPr>
          <w:p>
            <w:pPr>
              <w:pStyle w:val="11"/>
            </w:pPr>
            <w:r>
              <w:t>63.63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143.20</w:t>
            </w:r>
          </w:p>
        </w:tc>
        <w:tc>
          <w:tcPr>
            <w:tcW w:w="1361" w:type="dxa"/>
            <w:vAlign w:val="center"/>
          </w:tcPr>
          <w:p>
            <w:pPr>
              <w:pStyle w:val="11"/>
            </w:pPr>
          </w:p>
        </w:tc>
        <w:tc>
          <w:tcPr>
            <w:tcW w:w="1361" w:type="dxa"/>
            <w:vAlign w:val="center"/>
          </w:tcPr>
          <w:p>
            <w:pPr>
              <w:pStyle w:val="11"/>
            </w:pPr>
            <w:r>
              <w:t>143.20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143.20</w:t>
            </w:r>
          </w:p>
        </w:tc>
        <w:tc>
          <w:tcPr>
            <w:tcW w:w="1361" w:type="dxa"/>
            <w:vAlign w:val="center"/>
          </w:tcPr>
          <w:p>
            <w:pPr>
              <w:pStyle w:val="11"/>
            </w:pPr>
          </w:p>
        </w:tc>
        <w:tc>
          <w:tcPr>
            <w:tcW w:w="1361" w:type="dxa"/>
            <w:vAlign w:val="center"/>
          </w:tcPr>
          <w:p>
            <w:pPr>
              <w:pStyle w:val="11"/>
            </w:pPr>
            <w:r>
              <w:t>143.20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2120804</w:t>
            </w:r>
          </w:p>
        </w:tc>
        <w:tc>
          <w:tcPr>
            <w:tcW w:w="4535" w:type="dxa"/>
            <w:vAlign w:val="center"/>
          </w:tcPr>
          <w:p>
            <w:pPr>
              <w:pStyle w:val="12"/>
            </w:pPr>
            <w:r>
              <w:t>农村基础设施建设支出</w:t>
            </w:r>
          </w:p>
        </w:tc>
        <w:tc>
          <w:tcPr>
            <w:tcW w:w="1361" w:type="dxa"/>
            <w:vAlign w:val="center"/>
          </w:tcPr>
          <w:p>
            <w:pPr>
              <w:pStyle w:val="11"/>
            </w:pPr>
            <w:r>
              <w:t>33.20</w:t>
            </w:r>
          </w:p>
        </w:tc>
        <w:tc>
          <w:tcPr>
            <w:tcW w:w="1361" w:type="dxa"/>
            <w:vAlign w:val="center"/>
          </w:tcPr>
          <w:p>
            <w:pPr>
              <w:pStyle w:val="11"/>
            </w:pPr>
          </w:p>
        </w:tc>
        <w:tc>
          <w:tcPr>
            <w:tcW w:w="1361" w:type="dxa"/>
            <w:vAlign w:val="center"/>
          </w:tcPr>
          <w:p>
            <w:pPr>
              <w:pStyle w:val="11"/>
            </w:pPr>
            <w:r>
              <w:t>33.20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388.86</w:t>
            </w:r>
          </w:p>
        </w:tc>
        <w:tc>
          <w:tcPr>
            <w:tcW w:w="1361" w:type="dxa"/>
            <w:vAlign w:val="center"/>
          </w:tcPr>
          <w:p>
            <w:pPr>
              <w:pStyle w:val="11"/>
            </w:pPr>
          </w:p>
        </w:tc>
        <w:tc>
          <w:tcPr>
            <w:tcW w:w="1361" w:type="dxa"/>
            <w:vAlign w:val="center"/>
          </w:tcPr>
          <w:p>
            <w:pPr>
              <w:pStyle w:val="11"/>
            </w:pPr>
            <w:r>
              <w:t>388.86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175.10</w:t>
            </w:r>
          </w:p>
        </w:tc>
        <w:tc>
          <w:tcPr>
            <w:tcW w:w="1361" w:type="dxa"/>
            <w:vAlign w:val="center"/>
          </w:tcPr>
          <w:p>
            <w:pPr>
              <w:pStyle w:val="11"/>
            </w:pPr>
          </w:p>
        </w:tc>
        <w:tc>
          <w:tcPr>
            <w:tcW w:w="1361" w:type="dxa"/>
            <w:vAlign w:val="center"/>
          </w:tcPr>
          <w:p>
            <w:pPr>
              <w:pStyle w:val="11"/>
            </w:pPr>
            <w:r>
              <w:t>175.10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175.10</w:t>
            </w:r>
          </w:p>
        </w:tc>
        <w:tc>
          <w:tcPr>
            <w:tcW w:w="1361" w:type="dxa"/>
            <w:vAlign w:val="center"/>
          </w:tcPr>
          <w:p>
            <w:pPr>
              <w:pStyle w:val="11"/>
            </w:pPr>
          </w:p>
        </w:tc>
        <w:tc>
          <w:tcPr>
            <w:tcW w:w="1361" w:type="dxa"/>
            <w:vAlign w:val="center"/>
          </w:tcPr>
          <w:p>
            <w:pPr>
              <w:pStyle w:val="11"/>
            </w:pPr>
            <w:r>
              <w:t>175.10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213.76</w:t>
            </w:r>
          </w:p>
        </w:tc>
        <w:tc>
          <w:tcPr>
            <w:tcW w:w="1361" w:type="dxa"/>
            <w:vAlign w:val="center"/>
          </w:tcPr>
          <w:p>
            <w:pPr>
              <w:pStyle w:val="11"/>
            </w:pPr>
          </w:p>
        </w:tc>
        <w:tc>
          <w:tcPr>
            <w:tcW w:w="1361" w:type="dxa"/>
            <w:vAlign w:val="center"/>
          </w:tcPr>
          <w:p>
            <w:pPr>
              <w:pStyle w:val="11"/>
            </w:pPr>
            <w:r>
              <w:t>213.76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195.60</w:t>
            </w:r>
          </w:p>
        </w:tc>
        <w:tc>
          <w:tcPr>
            <w:tcW w:w="1361" w:type="dxa"/>
            <w:vAlign w:val="center"/>
          </w:tcPr>
          <w:p>
            <w:pPr>
              <w:pStyle w:val="11"/>
            </w:pPr>
          </w:p>
        </w:tc>
        <w:tc>
          <w:tcPr>
            <w:tcW w:w="1361" w:type="dxa"/>
            <w:vAlign w:val="center"/>
          </w:tcPr>
          <w:p>
            <w:pPr>
              <w:pStyle w:val="11"/>
            </w:pPr>
            <w:r>
              <w:t>195.60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2130799</w:t>
            </w:r>
          </w:p>
        </w:tc>
        <w:tc>
          <w:tcPr>
            <w:tcW w:w="4535" w:type="dxa"/>
            <w:vAlign w:val="center"/>
          </w:tcPr>
          <w:p>
            <w:pPr>
              <w:pStyle w:val="12"/>
            </w:pPr>
            <w:r>
              <w:t>其他农村综合改革支出</w:t>
            </w:r>
          </w:p>
        </w:tc>
        <w:tc>
          <w:tcPr>
            <w:tcW w:w="1361" w:type="dxa"/>
            <w:vAlign w:val="center"/>
          </w:tcPr>
          <w:p>
            <w:pPr>
              <w:pStyle w:val="11"/>
            </w:pPr>
            <w:r>
              <w:t>18.16</w:t>
            </w:r>
          </w:p>
        </w:tc>
        <w:tc>
          <w:tcPr>
            <w:tcW w:w="1361" w:type="dxa"/>
            <w:vAlign w:val="center"/>
          </w:tcPr>
          <w:p>
            <w:pPr>
              <w:pStyle w:val="11"/>
            </w:pPr>
          </w:p>
        </w:tc>
        <w:tc>
          <w:tcPr>
            <w:tcW w:w="1361" w:type="dxa"/>
            <w:vAlign w:val="center"/>
          </w:tcPr>
          <w:p>
            <w:pPr>
              <w:pStyle w:val="11"/>
            </w:pPr>
            <w:r>
              <w:t>18.16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59.22</w:t>
            </w:r>
          </w:p>
        </w:tc>
        <w:tc>
          <w:tcPr>
            <w:tcW w:w="1361" w:type="dxa"/>
            <w:vAlign w:val="center"/>
          </w:tcPr>
          <w:p>
            <w:pPr>
              <w:pStyle w:val="11"/>
            </w:pPr>
            <w:r>
              <w:t>59.22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59.22</w:t>
            </w:r>
          </w:p>
        </w:tc>
        <w:tc>
          <w:tcPr>
            <w:tcW w:w="1361" w:type="dxa"/>
            <w:vAlign w:val="center"/>
          </w:tcPr>
          <w:p>
            <w:pPr>
              <w:pStyle w:val="11"/>
            </w:pPr>
            <w:r>
              <w:t>59.22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59.22</w:t>
            </w:r>
          </w:p>
        </w:tc>
        <w:tc>
          <w:tcPr>
            <w:tcW w:w="1361" w:type="dxa"/>
            <w:vAlign w:val="center"/>
          </w:tcPr>
          <w:p>
            <w:pPr>
              <w:pStyle w:val="11"/>
            </w:pPr>
            <w:r>
              <w:t>59.22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1402.66</w:t>
            </w:r>
          </w:p>
        </w:tc>
        <w:tc>
          <w:tcPr>
            <w:tcW w:w="3402" w:type="dxa"/>
            <w:vAlign w:val="center"/>
          </w:tcPr>
          <w:p>
            <w:pPr>
              <w:pStyle w:val="12"/>
            </w:pPr>
            <w:r>
              <w:t>一、一般公共服务支出</w:t>
            </w:r>
          </w:p>
        </w:tc>
        <w:tc>
          <w:tcPr>
            <w:tcW w:w="1474" w:type="dxa"/>
            <w:vAlign w:val="center"/>
          </w:tcPr>
          <w:p>
            <w:pPr>
              <w:pStyle w:val="11"/>
            </w:pPr>
            <w:r>
              <w:t>748.41</w:t>
            </w:r>
          </w:p>
        </w:tc>
        <w:tc>
          <w:tcPr>
            <w:tcW w:w="1474" w:type="dxa"/>
            <w:vAlign w:val="center"/>
          </w:tcPr>
          <w:p>
            <w:pPr>
              <w:pStyle w:val="11"/>
            </w:pPr>
            <w:r>
              <w:t>748.41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143.20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3.75</w:t>
            </w:r>
          </w:p>
        </w:tc>
        <w:tc>
          <w:tcPr>
            <w:tcW w:w="1474" w:type="dxa"/>
            <w:vAlign w:val="center"/>
          </w:tcPr>
          <w:p>
            <w:pPr>
              <w:pStyle w:val="11"/>
            </w:pPr>
            <w:r>
              <w:t>3.75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156.95</w:t>
            </w:r>
          </w:p>
        </w:tc>
        <w:tc>
          <w:tcPr>
            <w:tcW w:w="1474" w:type="dxa"/>
            <w:vAlign w:val="center"/>
          </w:tcPr>
          <w:p>
            <w:pPr>
              <w:pStyle w:val="11"/>
            </w:pPr>
            <w:r>
              <w:t>156.95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63.63</w:t>
            </w:r>
          </w:p>
        </w:tc>
        <w:tc>
          <w:tcPr>
            <w:tcW w:w="1474" w:type="dxa"/>
            <w:vAlign w:val="center"/>
          </w:tcPr>
          <w:p>
            <w:pPr>
              <w:pStyle w:val="11"/>
            </w:pPr>
            <w:r>
              <w:t>63.63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143.20</w:t>
            </w:r>
          </w:p>
        </w:tc>
        <w:tc>
          <w:tcPr>
            <w:tcW w:w="1474" w:type="dxa"/>
            <w:vAlign w:val="center"/>
          </w:tcPr>
          <w:p>
            <w:pPr>
              <w:pStyle w:val="11"/>
            </w:pPr>
          </w:p>
        </w:tc>
        <w:tc>
          <w:tcPr>
            <w:tcW w:w="1474" w:type="dxa"/>
            <w:vAlign w:val="center"/>
          </w:tcPr>
          <w:p>
            <w:pPr>
              <w:pStyle w:val="11"/>
            </w:pPr>
            <w:r>
              <w:t>143.20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388.86</w:t>
            </w:r>
          </w:p>
        </w:tc>
        <w:tc>
          <w:tcPr>
            <w:tcW w:w="1474" w:type="dxa"/>
            <w:vAlign w:val="center"/>
          </w:tcPr>
          <w:p>
            <w:pPr>
              <w:pStyle w:val="11"/>
            </w:pPr>
            <w:r>
              <w:t>388.86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59.22</w:t>
            </w:r>
          </w:p>
        </w:tc>
        <w:tc>
          <w:tcPr>
            <w:tcW w:w="1474" w:type="dxa"/>
            <w:vAlign w:val="center"/>
          </w:tcPr>
          <w:p>
            <w:pPr>
              <w:pStyle w:val="11"/>
            </w:pPr>
            <w:r>
              <w:t>59.22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1545.86</w:t>
            </w:r>
          </w:p>
        </w:tc>
        <w:tc>
          <w:tcPr>
            <w:tcW w:w="3402" w:type="dxa"/>
            <w:vAlign w:val="center"/>
          </w:tcPr>
          <w:p>
            <w:pPr>
              <w:pStyle w:val="14"/>
            </w:pPr>
            <w:r>
              <w:t>本年支出合计</w:t>
            </w:r>
          </w:p>
        </w:tc>
        <w:tc>
          <w:tcPr>
            <w:tcW w:w="1474" w:type="dxa"/>
            <w:vAlign w:val="center"/>
          </w:tcPr>
          <w:p>
            <w:pPr>
              <w:pStyle w:val="15"/>
            </w:pPr>
            <w:r>
              <w:t>1564.02</w:t>
            </w:r>
          </w:p>
        </w:tc>
        <w:tc>
          <w:tcPr>
            <w:tcW w:w="1474" w:type="dxa"/>
            <w:vAlign w:val="center"/>
          </w:tcPr>
          <w:p>
            <w:pPr>
              <w:pStyle w:val="15"/>
            </w:pPr>
            <w:r>
              <w:t>1420.82</w:t>
            </w:r>
          </w:p>
        </w:tc>
        <w:tc>
          <w:tcPr>
            <w:tcW w:w="1474" w:type="dxa"/>
            <w:vAlign w:val="center"/>
          </w:tcPr>
          <w:p>
            <w:pPr>
              <w:pStyle w:val="15"/>
            </w:pPr>
            <w:r>
              <w:t>143.20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18.16</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18.16</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1564.02</w:t>
            </w:r>
          </w:p>
        </w:tc>
        <w:tc>
          <w:tcPr>
            <w:tcW w:w="3402" w:type="dxa"/>
            <w:vAlign w:val="center"/>
          </w:tcPr>
          <w:p>
            <w:pPr>
              <w:pStyle w:val="14"/>
            </w:pPr>
            <w:r>
              <w:t>支出总计</w:t>
            </w:r>
          </w:p>
        </w:tc>
        <w:tc>
          <w:tcPr>
            <w:tcW w:w="1474" w:type="dxa"/>
            <w:vAlign w:val="center"/>
          </w:tcPr>
          <w:p>
            <w:pPr>
              <w:pStyle w:val="15"/>
            </w:pPr>
            <w:r>
              <w:t>1564.02</w:t>
            </w:r>
          </w:p>
        </w:tc>
        <w:tc>
          <w:tcPr>
            <w:tcW w:w="1474" w:type="dxa"/>
            <w:vAlign w:val="center"/>
          </w:tcPr>
          <w:p>
            <w:pPr>
              <w:pStyle w:val="15"/>
            </w:pPr>
            <w:r>
              <w:t>1420.82</w:t>
            </w:r>
          </w:p>
        </w:tc>
        <w:tc>
          <w:tcPr>
            <w:tcW w:w="1474" w:type="dxa"/>
            <w:vAlign w:val="center"/>
          </w:tcPr>
          <w:p>
            <w:pPr>
              <w:pStyle w:val="15"/>
            </w:pPr>
            <w:r>
              <w:t>143.20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1420.82</w:t>
            </w:r>
          </w:p>
        </w:tc>
        <w:tc>
          <w:tcPr>
            <w:tcW w:w="2551" w:type="dxa"/>
            <w:vAlign w:val="center"/>
          </w:tcPr>
          <w:p>
            <w:pPr>
              <w:pStyle w:val="15"/>
            </w:pPr>
            <w:r>
              <w:t>944.30</w:t>
            </w:r>
          </w:p>
        </w:tc>
        <w:tc>
          <w:tcPr>
            <w:tcW w:w="2551" w:type="dxa"/>
            <w:vAlign w:val="center"/>
          </w:tcPr>
          <w:p>
            <w:pPr>
              <w:pStyle w:val="15"/>
            </w:pPr>
            <w:r>
              <w:t>476.52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748.41</w:t>
            </w:r>
          </w:p>
        </w:tc>
        <w:tc>
          <w:tcPr>
            <w:tcW w:w="2551" w:type="dxa"/>
            <w:vAlign w:val="center"/>
          </w:tcPr>
          <w:p>
            <w:pPr>
              <w:pStyle w:val="11"/>
            </w:pPr>
            <w:r>
              <w:t>679.13</w:t>
            </w:r>
          </w:p>
        </w:tc>
        <w:tc>
          <w:tcPr>
            <w:tcW w:w="2551" w:type="dxa"/>
            <w:vAlign w:val="center"/>
          </w:tcPr>
          <w:p>
            <w:pPr>
              <w:pStyle w:val="11"/>
            </w:pPr>
            <w:r>
              <w:t>69.28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735.41</w:t>
            </w:r>
          </w:p>
        </w:tc>
        <w:tc>
          <w:tcPr>
            <w:tcW w:w="2551" w:type="dxa"/>
            <w:vAlign w:val="center"/>
          </w:tcPr>
          <w:p>
            <w:pPr>
              <w:pStyle w:val="11"/>
            </w:pPr>
            <w:r>
              <w:t>679.13</w:t>
            </w:r>
          </w:p>
        </w:tc>
        <w:tc>
          <w:tcPr>
            <w:tcW w:w="2551" w:type="dxa"/>
            <w:vAlign w:val="center"/>
          </w:tcPr>
          <w:p>
            <w:pPr>
              <w:pStyle w:val="11"/>
            </w:pPr>
            <w:r>
              <w:t>56.28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735.41</w:t>
            </w:r>
          </w:p>
        </w:tc>
        <w:tc>
          <w:tcPr>
            <w:tcW w:w="2551" w:type="dxa"/>
            <w:vAlign w:val="center"/>
          </w:tcPr>
          <w:p>
            <w:pPr>
              <w:pStyle w:val="11"/>
            </w:pPr>
            <w:r>
              <w:t>679.13</w:t>
            </w:r>
          </w:p>
        </w:tc>
        <w:tc>
          <w:tcPr>
            <w:tcW w:w="2551" w:type="dxa"/>
            <w:vAlign w:val="center"/>
          </w:tcPr>
          <w:p>
            <w:pPr>
              <w:pStyle w:val="11"/>
            </w:pPr>
            <w:r>
              <w:t>56.28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3.75</w:t>
            </w:r>
          </w:p>
        </w:tc>
        <w:tc>
          <w:tcPr>
            <w:tcW w:w="2551" w:type="dxa"/>
            <w:vAlign w:val="center"/>
          </w:tcPr>
          <w:p>
            <w:pPr>
              <w:pStyle w:val="11"/>
            </w:pPr>
          </w:p>
        </w:tc>
        <w:tc>
          <w:tcPr>
            <w:tcW w:w="2551" w:type="dxa"/>
            <w:vAlign w:val="center"/>
          </w:tcPr>
          <w:p>
            <w:pPr>
              <w:pStyle w:val="11"/>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3.25</w:t>
            </w:r>
          </w:p>
        </w:tc>
        <w:tc>
          <w:tcPr>
            <w:tcW w:w="2551" w:type="dxa"/>
            <w:vAlign w:val="center"/>
          </w:tcPr>
          <w:p>
            <w:pPr>
              <w:pStyle w:val="11"/>
            </w:pPr>
          </w:p>
        </w:tc>
        <w:tc>
          <w:tcPr>
            <w:tcW w:w="2551" w:type="dxa"/>
            <w:vAlign w:val="center"/>
          </w:tcPr>
          <w:p>
            <w:pPr>
              <w:pStyle w:val="11"/>
            </w:pPr>
            <w: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3.25</w:t>
            </w:r>
          </w:p>
        </w:tc>
        <w:tc>
          <w:tcPr>
            <w:tcW w:w="2551" w:type="dxa"/>
            <w:vAlign w:val="center"/>
          </w:tcPr>
          <w:p>
            <w:pPr>
              <w:pStyle w:val="11"/>
            </w:pPr>
          </w:p>
        </w:tc>
        <w:tc>
          <w:tcPr>
            <w:tcW w:w="2551" w:type="dxa"/>
            <w:vAlign w:val="center"/>
          </w:tcPr>
          <w:p>
            <w:pPr>
              <w:pStyle w:val="11"/>
            </w:pPr>
            <w: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156.95</w:t>
            </w:r>
          </w:p>
        </w:tc>
        <w:tc>
          <w:tcPr>
            <w:tcW w:w="2551" w:type="dxa"/>
            <w:vAlign w:val="center"/>
          </w:tcPr>
          <w:p>
            <w:pPr>
              <w:pStyle w:val="11"/>
            </w:pPr>
            <w:r>
              <w:t>142.31</w:t>
            </w:r>
          </w:p>
        </w:tc>
        <w:tc>
          <w:tcPr>
            <w:tcW w:w="2551" w:type="dxa"/>
            <w:vAlign w:val="center"/>
          </w:tcPr>
          <w:p>
            <w:pPr>
              <w:pStyle w:val="11"/>
            </w:pPr>
            <w:r>
              <w:t>14.63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0.23</w:t>
            </w:r>
          </w:p>
        </w:tc>
        <w:tc>
          <w:tcPr>
            <w:tcW w:w="2551" w:type="dxa"/>
            <w:vAlign w:val="center"/>
          </w:tcPr>
          <w:p>
            <w:pPr>
              <w:pStyle w:val="11"/>
            </w:pPr>
          </w:p>
        </w:tc>
        <w:tc>
          <w:tcPr>
            <w:tcW w:w="2551" w:type="dxa"/>
            <w:vAlign w:val="center"/>
          </w:tcPr>
          <w:p>
            <w:pPr>
              <w:pStyle w:val="11"/>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0.23</w:t>
            </w:r>
          </w:p>
        </w:tc>
        <w:tc>
          <w:tcPr>
            <w:tcW w:w="2551" w:type="dxa"/>
            <w:vAlign w:val="center"/>
          </w:tcPr>
          <w:p>
            <w:pPr>
              <w:pStyle w:val="11"/>
            </w:pPr>
          </w:p>
        </w:tc>
        <w:tc>
          <w:tcPr>
            <w:tcW w:w="2551" w:type="dxa"/>
            <w:vAlign w:val="center"/>
          </w:tcPr>
          <w:p>
            <w:pPr>
              <w:pStyle w:val="11"/>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14.40</w:t>
            </w:r>
          </w:p>
        </w:tc>
        <w:tc>
          <w:tcPr>
            <w:tcW w:w="2551" w:type="dxa"/>
            <w:vAlign w:val="center"/>
          </w:tcPr>
          <w:p>
            <w:pPr>
              <w:pStyle w:val="11"/>
            </w:pPr>
          </w:p>
        </w:tc>
        <w:tc>
          <w:tcPr>
            <w:tcW w:w="2551" w:type="dxa"/>
            <w:vAlign w:val="center"/>
          </w:tcPr>
          <w:p>
            <w:pPr>
              <w:pStyle w:val="11"/>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14.40</w:t>
            </w:r>
          </w:p>
        </w:tc>
        <w:tc>
          <w:tcPr>
            <w:tcW w:w="2551" w:type="dxa"/>
            <w:vAlign w:val="center"/>
          </w:tcPr>
          <w:p>
            <w:pPr>
              <w:pStyle w:val="11"/>
            </w:pPr>
          </w:p>
        </w:tc>
        <w:tc>
          <w:tcPr>
            <w:tcW w:w="2551" w:type="dxa"/>
            <w:vAlign w:val="center"/>
          </w:tcPr>
          <w:p>
            <w:pPr>
              <w:pStyle w:val="11"/>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142.31</w:t>
            </w:r>
          </w:p>
        </w:tc>
        <w:tc>
          <w:tcPr>
            <w:tcW w:w="2551" w:type="dxa"/>
            <w:vAlign w:val="center"/>
          </w:tcPr>
          <w:p>
            <w:pPr>
              <w:pStyle w:val="11"/>
            </w:pPr>
            <w:r>
              <w:t>142.31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41.59</w:t>
            </w:r>
          </w:p>
        </w:tc>
        <w:tc>
          <w:tcPr>
            <w:tcW w:w="2551" w:type="dxa"/>
            <w:vAlign w:val="center"/>
          </w:tcPr>
          <w:p>
            <w:pPr>
              <w:pStyle w:val="11"/>
            </w:pPr>
            <w:r>
              <w:t>41.59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72.40</w:t>
            </w:r>
          </w:p>
        </w:tc>
        <w:tc>
          <w:tcPr>
            <w:tcW w:w="2551" w:type="dxa"/>
            <w:vAlign w:val="center"/>
          </w:tcPr>
          <w:p>
            <w:pPr>
              <w:pStyle w:val="11"/>
            </w:pPr>
            <w:r>
              <w:t>72.40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28.32</w:t>
            </w:r>
          </w:p>
        </w:tc>
        <w:tc>
          <w:tcPr>
            <w:tcW w:w="2551" w:type="dxa"/>
            <w:vAlign w:val="center"/>
          </w:tcPr>
          <w:p>
            <w:pPr>
              <w:pStyle w:val="11"/>
            </w:pPr>
            <w:r>
              <w:t>28.32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63.63</w:t>
            </w:r>
          </w:p>
        </w:tc>
        <w:tc>
          <w:tcPr>
            <w:tcW w:w="2551" w:type="dxa"/>
            <w:vAlign w:val="center"/>
          </w:tcPr>
          <w:p>
            <w:pPr>
              <w:pStyle w:val="11"/>
            </w:pPr>
            <w:r>
              <w:t>63.63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63.63</w:t>
            </w:r>
          </w:p>
        </w:tc>
        <w:tc>
          <w:tcPr>
            <w:tcW w:w="2551" w:type="dxa"/>
            <w:vAlign w:val="center"/>
          </w:tcPr>
          <w:p>
            <w:pPr>
              <w:pStyle w:val="11"/>
            </w:pPr>
            <w:r>
              <w:t>63.63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63.63</w:t>
            </w:r>
          </w:p>
        </w:tc>
        <w:tc>
          <w:tcPr>
            <w:tcW w:w="2551" w:type="dxa"/>
            <w:vAlign w:val="center"/>
          </w:tcPr>
          <w:p>
            <w:pPr>
              <w:pStyle w:val="11"/>
            </w:pPr>
            <w:r>
              <w:t>63.63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388.86</w:t>
            </w:r>
          </w:p>
        </w:tc>
        <w:tc>
          <w:tcPr>
            <w:tcW w:w="2551" w:type="dxa"/>
            <w:vAlign w:val="center"/>
          </w:tcPr>
          <w:p>
            <w:pPr>
              <w:pStyle w:val="11"/>
            </w:pPr>
          </w:p>
        </w:tc>
        <w:tc>
          <w:tcPr>
            <w:tcW w:w="2551" w:type="dxa"/>
            <w:vAlign w:val="center"/>
          </w:tcPr>
          <w:p>
            <w:pPr>
              <w:pStyle w:val="11"/>
            </w:pPr>
            <w:r>
              <w:t>388.86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175.10</w:t>
            </w:r>
          </w:p>
        </w:tc>
        <w:tc>
          <w:tcPr>
            <w:tcW w:w="2551" w:type="dxa"/>
            <w:vAlign w:val="center"/>
          </w:tcPr>
          <w:p>
            <w:pPr>
              <w:pStyle w:val="11"/>
            </w:pPr>
          </w:p>
        </w:tc>
        <w:tc>
          <w:tcPr>
            <w:tcW w:w="2551" w:type="dxa"/>
            <w:vAlign w:val="center"/>
          </w:tcPr>
          <w:p>
            <w:pPr>
              <w:pStyle w:val="11"/>
            </w:pPr>
            <w:r>
              <w:t>175.10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175.10</w:t>
            </w:r>
          </w:p>
        </w:tc>
        <w:tc>
          <w:tcPr>
            <w:tcW w:w="2551" w:type="dxa"/>
            <w:vAlign w:val="center"/>
          </w:tcPr>
          <w:p>
            <w:pPr>
              <w:pStyle w:val="11"/>
            </w:pPr>
          </w:p>
        </w:tc>
        <w:tc>
          <w:tcPr>
            <w:tcW w:w="2551" w:type="dxa"/>
            <w:vAlign w:val="center"/>
          </w:tcPr>
          <w:p>
            <w:pPr>
              <w:pStyle w:val="11"/>
            </w:pPr>
            <w:r>
              <w:t>175.10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213.76</w:t>
            </w:r>
          </w:p>
        </w:tc>
        <w:tc>
          <w:tcPr>
            <w:tcW w:w="2551" w:type="dxa"/>
            <w:vAlign w:val="center"/>
          </w:tcPr>
          <w:p>
            <w:pPr>
              <w:pStyle w:val="11"/>
            </w:pPr>
          </w:p>
        </w:tc>
        <w:tc>
          <w:tcPr>
            <w:tcW w:w="2551" w:type="dxa"/>
            <w:vAlign w:val="center"/>
          </w:tcPr>
          <w:p>
            <w:pPr>
              <w:pStyle w:val="11"/>
            </w:pPr>
            <w:r>
              <w:t>213.76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195.60</w:t>
            </w:r>
          </w:p>
        </w:tc>
        <w:tc>
          <w:tcPr>
            <w:tcW w:w="2551" w:type="dxa"/>
            <w:vAlign w:val="center"/>
          </w:tcPr>
          <w:p>
            <w:pPr>
              <w:pStyle w:val="11"/>
            </w:pPr>
          </w:p>
        </w:tc>
        <w:tc>
          <w:tcPr>
            <w:tcW w:w="2551" w:type="dxa"/>
            <w:vAlign w:val="center"/>
          </w:tcPr>
          <w:p>
            <w:pPr>
              <w:pStyle w:val="11"/>
            </w:pPr>
            <w:r>
              <w:t>195.60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2130799</w:t>
            </w:r>
          </w:p>
        </w:tc>
        <w:tc>
          <w:tcPr>
            <w:tcW w:w="4535" w:type="dxa"/>
            <w:vAlign w:val="center"/>
          </w:tcPr>
          <w:p>
            <w:pPr>
              <w:pStyle w:val="12"/>
            </w:pPr>
            <w:r>
              <w:t>其他农村综合改革支出</w:t>
            </w:r>
          </w:p>
        </w:tc>
        <w:tc>
          <w:tcPr>
            <w:tcW w:w="2551" w:type="dxa"/>
            <w:vAlign w:val="center"/>
          </w:tcPr>
          <w:p>
            <w:pPr>
              <w:pStyle w:val="11"/>
            </w:pPr>
            <w:r>
              <w:t>18.16</w:t>
            </w:r>
          </w:p>
        </w:tc>
        <w:tc>
          <w:tcPr>
            <w:tcW w:w="2551" w:type="dxa"/>
            <w:vAlign w:val="center"/>
          </w:tcPr>
          <w:p>
            <w:pPr>
              <w:pStyle w:val="11"/>
            </w:pPr>
          </w:p>
        </w:tc>
        <w:tc>
          <w:tcPr>
            <w:tcW w:w="2551" w:type="dxa"/>
            <w:vAlign w:val="center"/>
          </w:tcPr>
          <w:p>
            <w:pPr>
              <w:pStyle w:val="11"/>
            </w:pPr>
            <w:r>
              <w:t>18.16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59.22</w:t>
            </w:r>
          </w:p>
        </w:tc>
        <w:tc>
          <w:tcPr>
            <w:tcW w:w="2551" w:type="dxa"/>
            <w:vAlign w:val="center"/>
          </w:tcPr>
          <w:p>
            <w:pPr>
              <w:pStyle w:val="11"/>
            </w:pPr>
            <w:r>
              <w:t>59.22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59.22</w:t>
            </w:r>
          </w:p>
        </w:tc>
        <w:tc>
          <w:tcPr>
            <w:tcW w:w="2551" w:type="dxa"/>
            <w:vAlign w:val="center"/>
          </w:tcPr>
          <w:p>
            <w:pPr>
              <w:pStyle w:val="11"/>
            </w:pPr>
            <w:r>
              <w:t>59.22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59.22</w:t>
            </w:r>
          </w:p>
        </w:tc>
        <w:tc>
          <w:tcPr>
            <w:tcW w:w="2551" w:type="dxa"/>
            <w:vAlign w:val="center"/>
          </w:tcPr>
          <w:p>
            <w:pPr>
              <w:pStyle w:val="11"/>
            </w:pPr>
            <w:r>
              <w:t>59.22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944.30</w:t>
            </w:r>
          </w:p>
        </w:tc>
        <w:tc>
          <w:tcPr>
            <w:tcW w:w="2551" w:type="dxa"/>
            <w:vAlign w:val="center"/>
          </w:tcPr>
          <w:p>
            <w:pPr>
              <w:pStyle w:val="15"/>
            </w:pPr>
            <w:r>
              <w:t>838.67</w:t>
            </w:r>
          </w:p>
        </w:tc>
        <w:tc>
          <w:tcPr>
            <w:tcW w:w="2551" w:type="dxa"/>
            <w:vAlign w:val="center"/>
          </w:tcPr>
          <w:p>
            <w:pPr>
              <w:pStyle w:val="15"/>
            </w:pPr>
            <w:r>
              <w:t>105.63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798.77</w:t>
            </w:r>
          </w:p>
        </w:tc>
        <w:tc>
          <w:tcPr>
            <w:tcW w:w="2551" w:type="dxa"/>
            <w:vAlign w:val="center"/>
          </w:tcPr>
          <w:p>
            <w:pPr>
              <w:pStyle w:val="11"/>
            </w:pPr>
            <w:r>
              <w:t>798.77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162.02</w:t>
            </w:r>
          </w:p>
        </w:tc>
        <w:tc>
          <w:tcPr>
            <w:tcW w:w="2551" w:type="dxa"/>
            <w:vAlign w:val="center"/>
          </w:tcPr>
          <w:p>
            <w:pPr>
              <w:pStyle w:val="11"/>
            </w:pPr>
            <w:r>
              <w:t>162.02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59.73</w:t>
            </w:r>
          </w:p>
        </w:tc>
        <w:tc>
          <w:tcPr>
            <w:tcW w:w="2551" w:type="dxa"/>
            <w:vAlign w:val="center"/>
          </w:tcPr>
          <w:p>
            <w:pPr>
              <w:pStyle w:val="11"/>
            </w:pPr>
            <w:r>
              <w:t>59.73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112.61</w:t>
            </w:r>
          </w:p>
        </w:tc>
        <w:tc>
          <w:tcPr>
            <w:tcW w:w="2551" w:type="dxa"/>
            <w:vAlign w:val="center"/>
          </w:tcPr>
          <w:p>
            <w:pPr>
              <w:pStyle w:val="11"/>
            </w:pPr>
            <w:r>
              <w:t>112.61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236.82</w:t>
            </w:r>
          </w:p>
        </w:tc>
        <w:tc>
          <w:tcPr>
            <w:tcW w:w="2551" w:type="dxa"/>
            <w:vAlign w:val="center"/>
          </w:tcPr>
          <w:p>
            <w:pPr>
              <w:pStyle w:val="11"/>
            </w:pPr>
            <w:r>
              <w:t>236.82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72.40</w:t>
            </w:r>
          </w:p>
        </w:tc>
        <w:tc>
          <w:tcPr>
            <w:tcW w:w="2551" w:type="dxa"/>
            <w:vAlign w:val="center"/>
          </w:tcPr>
          <w:p>
            <w:pPr>
              <w:pStyle w:val="11"/>
            </w:pPr>
            <w:r>
              <w:t>72.40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28.32</w:t>
            </w:r>
          </w:p>
        </w:tc>
        <w:tc>
          <w:tcPr>
            <w:tcW w:w="2551" w:type="dxa"/>
            <w:vAlign w:val="center"/>
          </w:tcPr>
          <w:p>
            <w:pPr>
              <w:pStyle w:val="11"/>
            </w:pPr>
            <w:r>
              <w:t>28.32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63.63</w:t>
            </w:r>
          </w:p>
        </w:tc>
        <w:tc>
          <w:tcPr>
            <w:tcW w:w="2551" w:type="dxa"/>
            <w:vAlign w:val="center"/>
          </w:tcPr>
          <w:p>
            <w:pPr>
              <w:pStyle w:val="11"/>
            </w:pPr>
            <w:r>
              <w:t>63.63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4.02</w:t>
            </w:r>
          </w:p>
        </w:tc>
        <w:tc>
          <w:tcPr>
            <w:tcW w:w="2551" w:type="dxa"/>
            <w:vAlign w:val="center"/>
          </w:tcPr>
          <w:p>
            <w:pPr>
              <w:pStyle w:val="11"/>
            </w:pPr>
            <w:r>
              <w:t>4.02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59.22</w:t>
            </w:r>
          </w:p>
        </w:tc>
        <w:tc>
          <w:tcPr>
            <w:tcW w:w="2551" w:type="dxa"/>
            <w:vAlign w:val="center"/>
          </w:tcPr>
          <w:p>
            <w:pPr>
              <w:pStyle w:val="11"/>
            </w:pPr>
            <w:r>
              <w:t>59.22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103.83</w:t>
            </w:r>
          </w:p>
        </w:tc>
        <w:tc>
          <w:tcPr>
            <w:tcW w:w="2551" w:type="dxa"/>
            <w:vAlign w:val="center"/>
          </w:tcPr>
          <w:p>
            <w:pPr>
              <w:pStyle w:val="11"/>
            </w:pPr>
          </w:p>
        </w:tc>
        <w:tc>
          <w:tcPr>
            <w:tcW w:w="2551" w:type="dxa"/>
            <w:vAlign w:val="center"/>
          </w:tcPr>
          <w:p>
            <w:pPr>
              <w:pStyle w:val="11"/>
            </w:pPr>
            <w:r>
              <w:t>103.83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13.50</w:t>
            </w:r>
          </w:p>
        </w:tc>
        <w:tc>
          <w:tcPr>
            <w:tcW w:w="2551" w:type="dxa"/>
            <w:vAlign w:val="center"/>
          </w:tcPr>
          <w:p>
            <w:pPr>
              <w:pStyle w:val="11"/>
            </w:pPr>
          </w:p>
        </w:tc>
        <w:tc>
          <w:tcPr>
            <w:tcW w:w="2551" w:type="dxa"/>
            <w:vAlign w:val="center"/>
          </w:tcPr>
          <w:p>
            <w:pPr>
              <w:pStyle w:val="11"/>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4.62</w:t>
            </w:r>
          </w:p>
        </w:tc>
        <w:tc>
          <w:tcPr>
            <w:tcW w:w="2551" w:type="dxa"/>
            <w:vAlign w:val="center"/>
          </w:tcPr>
          <w:p>
            <w:pPr>
              <w:pStyle w:val="11"/>
            </w:pPr>
          </w:p>
        </w:tc>
        <w:tc>
          <w:tcPr>
            <w:tcW w:w="2551" w:type="dxa"/>
            <w:vAlign w:val="center"/>
          </w:tcPr>
          <w:p>
            <w:pPr>
              <w:pStyle w:val="11"/>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4.84</w:t>
            </w:r>
          </w:p>
        </w:tc>
        <w:tc>
          <w:tcPr>
            <w:tcW w:w="2551" w:type="dxa"/>
            <w:vAlign w:val="center"/>
          </w:tcPr>
          <w:p>
            <w:pPr>
              <w:pStyle w:val="11"/>
            </w:pPr>
          </w:p>
        </w:tc>
        <w:tc>
          <w:tcPr>
            <w:tcW w:w="2551" w:type="dxa"/>
            <w:vAlign w:val="center"/>
          </w:tcPr>
          <w:p>
            <w:pPr>
              <w:pStyle w:val="11"/>
            </w:pPr>
            <w: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0.51</w:t>
            </w:r>
          </w:p>
        </w:tc>
        <w:tc>
          <w:tcPr>
            <w:tcW w:w="2551" w:type="dxa"/>
            <w:vAlign w:val="center"/>
          </w:tcPr>
          <w:p>
            <w:pPr>
              <w:pStyle w:val="11"/>
            </w:pPr>
          </w:p>
        </w:tc>
        <w:tc>
          <w:tcPr>
            <w:tcW w:w="2551" w:type="dxa"/>
            <w:vAlign w:val="center"/>
          </w:tcPr>
          <w:p>
            <w:pPr>
              <w:pStyle w:val="11"/>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6.45</w:t>
            </w:r>
          </w:p>
        </w:tc>
        <w:tc>
          <w:tcPr>
            <w:tcW w:w="2551" w:type="dxa"/>
            <w:vAlign w:val="center"/>
          </w:tcPr>
          <w:p>
            <w:pPr>
              <w:pStyle w:val="11"/>
            </w:pPr>
          </w:p>
        </w:tc>
        <w:tc>
          <w:tcPr>
            <w:tcW w:w="2551" w:type="dxa"/>
            <w:vAlign w:val="center"/>
          </w:tcPr>
          <w:p>
            <w:pPr>
              <w:pStyle w:val="11"/>
            </w:pPr>
            <w:r>
              <w:t>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4.05</w:t>
            </w:r>
          </w:p>
        </w:tc>
        <w:tc>
          <w:tcPr>
            <w:tcW w:w="2551" w:type="dxa"/>
            <w:vAlign w:val="center"/>
          </w:tcPr>
          <w:p>
            <w:pPr>
              <w:pStyle w:val="11"/>
            </w:pPr>
          </w:p>
        </w:tc>
        <w:tc>
          <w:tcPr>
            <w:tcW w:w="2551" w:type="dxa"/>
            <w:vAlign w:val="center"/>
          </w:tcPr>
          <w:p>
            <w:pPr>
              <w:pStyle w:val="11"/>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1.74</w:t>
            </w:r>
          </w:p>
        </w:tc>
        <w:tc>
          <w:tcPr>
            <w:tcW w:w="2551" w:type="dxa"/>
            <w:vAlign w:val="center"/>
          </w:tcPr>
          <w:p>
            <w:pPr>
              <w:pStyle w:val="11"/>
            </w:pPr>
          </w:p>
        </w:tc>
        <w:tc>
          <w:tcPr>
            <w:tcW w:w="2551" w:type="dxa"/>
            <w:vAlign w:val="center"/>
          </w:tcPr>
          <w:p>
            <w:pPr>
              <w:pStyle w:val="11"/>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39.89</w:t>
            </w:r>
          </w:p>
        </w:tc>
        <w:tc>
          <w:tcPr>
            <w:tcW w:w="2551" w:type="dxa"/>
            <w:vAlign w:val="center"/>
          </w:tcPr>
          <w:p>
            <w:pPr>
              <w:pStyle w:val="11"/>
            </w:pPr>
            <w:r>
              <w:t>39.89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39.86</w:t>
            </w:r>
          </w:p>
        </w:tc>
        <w:tc>
          <w:tcPr>
            <w:tcW w:w="2551" w:type="dxa"/>
            <w:vAlign w:val="center"/>
          </w:tcPr>
          <w:p>
            <w:pPr>
              <w:pStyle w:val="11"/>
            </w:pPr>
            <w:r>
              <w:t>39.86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143.20</w:t>
            </w:r>
          </w:p>
        </w:tc>
        <w:tc>
          <w:tcPr>
            <w:tcW w:w="2551" w:type="dxa"/>
            <w:vAlign w:val="center"/>
          </w:tcPr>
          <w:p>
            <w:pPr>
              <w:pStyle w:val="15"/>
            </w:pPr>
          </w:p>
        </w:tc>
        <w:tc>
          <w:tcPr>
            <w:tcW w:w="2551" w:type="dxa"/>
            <w:vAlign w:val="center"/>
          </w:tcPr>
          <w:p>
            <w:pPr>
              <w:pStyle w:val="15"/>
            </w:pPr>
            <w:r>
              <w:t>143.20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143.20</w:t>
            </w:r>
          </w:p>
        </w:tc>
        <w:tc>
          <w:tcPr>
            <w:tcW w:w="2551" w:type="dxa"/>
            <w:vAlign w:val="center"/>
          </w:tcPr>
          <w:p>
            <w:pPr>
              <w:pStyle w:val="11"/>
            </w:pPr>
          </w:p>
        </w:tc>
        <w:tc>
          <w:tcPr>
            <w:tcW w:w="2551" w:type="dxa"/>
            <w:vAlign w:val="center"/>
          </w:tcPr>
          <w:p>
            <w:pPr>
              <w:pStyle w:val="11"/>
            </w:pPr>
            <w:r>
              <w:t>143.20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143.20</w:t>
            </w:r>
          </w:p>
        </w:tc>
        <w:tc>
          <w:tcPr>
            <w:tcW w:w="2551" w:type="dxa"/>
            <w:vAlign w:val="center"/>
          </w:tcPr>
          <w:p>
            <w:pPr>
              <w:pStyle w:val="11"/>
            </w:pPr>
          </w:p>
        </w:tc>
        <w:tc>
          <w:tcPr>
            <w:tcW w:w="2551" w:type="dxa"/>
            <w:vAlign w:val="center"/>
          </w:tcPr>
          <w:p>
            <w:pPr>
              <w:pStyle w:val="11"/>
            </w:pPr>
            <w:r>
              <w:t>143.20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2120804</w:t>
            </w:r>
          </w:p>
        </w:tc>
        <w:tc>
          <w:tcPr>
            <w:tcW w:w="4535" w:type="dxa"/>
            <w:vAlign w:val="center"/>
          </w:tcPr>
          <w:p>
            <w:pPr>
              <w:pStyle w:val="12"/>
            </w:pPr>
            <w:r>
              <w:t>农村基础设施建设支出</w:t>
            </w:r>
          </w:p>
        </w:tc>
        <w:tc>
          <w:tcPr>
            <w:tcW w:w="2551" w:type="dxa"/>
            <w:vAlign w:val="center"/>
          </w:tcPr>
          <w:p>
            <w:pPr>
              <w:pStyle w:val="11"/>
            </w:pPr>
            <w:r>
              <w:t>33.20</w:t>
            </w:r>
          </w:p>
        </w:tc>
        <w:tc>
          <w:tcPr>
            <w:tcW w:w="2551" w:type="dxa"/>
            <w:vAlign w:val="center"/>
          </w:tcPr>
          <w:p>
            <w:pPr>
              <w:pStyle w:val="11"/>
            </w:pPr>
          </w:p>
        </w:tc>
        <w:tc>
          <w:tcPr>
            <w:tcW w:w="2551" w:type="dxa"/>
            <w:vAlign w:val="center"/>
          </w:tcPr>
          <w:p>
            <w:pPr>
              <w:pStyle w:val="11"/>
            </w:pPr>
            <w:r>
              <w:t>33.20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0.51</w:t>
            </w:r>
          </w:p>
        </w:tc>
        <w:tc>
          <w:tcPr>
            <w:tcW w:w="2381" w:type="dxa"/>
            <w:vAlign w:val="center"/>
          </w:tcPr>
          <w:p>
            <w:pPr>
              <w:pStyle w:val="15"/>
            </w:pPr>
            <w:r>
              <w:t>0.51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0.51</w:t>
            </w:r>
          </w:p>
        </w:tc>
        <w:tc>
          <w:tcPr>
            <w:tcW w:w="2381" w:type="dxa"/>
            <w:vAlign w:val="center"/>
          </w:tcPr>
          <w:p>
            <w:pPr>
              <w:pStyle w:val="11"/>
            </w:pPr>
            <w:r>
              <w:t>0.51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0.51</w:t>
            </w:r>
          </w:p>
        </w:tc>
        <w:tc>
          <w:tcPr>
            <w:tcW w:w="2381" w:type="dxa"/>
            <w:vAlign w:val="center"/>
          </w:tcPr>
          <w:p>
            <w:pPr>
              <w:pStyle w:val="11"/>
            </w:pPr>
            <w:r>
              <w:t>0.51</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秦皇岛北戴河新区大蒲河管理处本级2024年单位预算信息公开情况说明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按照《中华人民共和国预算法》、《地方预决算公开操作规程》和《关于进一步推进预算公开工作的实施意见》规定，现将秦皇岛北戴河新区大蒲河管理处本级2024年单位预算公开如下：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根据《秦皇岛北戴河新区大蒲河管理处职能配置、内设机构和人员编制规定》，秦皇岛北戴河新区大蒲河管理处的主要职责是：</w:t>
      </w:r>
    </w:p>
    <w:p>
      <w:pPr>
        <w:pStyle w:val="17"/>
      </w:pPr>
      <w:r>
        <w:t>（一）负责本区域社会管理、综合治理、普法宣传、信访调解等工作。</w:t>
      </w:r>
    </w:p>
    <w:p>
      <w:pPr>
        <w:pStyle w:val="17"/>
      </w:pPr>
      <w:r>
        <w:t>（二）负责本区域农业、林业、水利、畜牧、渔业管理及统计工作。</w:t>
      </w:r>
    </w:p>
    <w:p>
      <w:pPr>
        <w:pStyle w:val="17"/>
      </w:pPr>
      <w:r>
        <w:t>（三）负责本区域劳动和社会保障、医疗、卫生、卫计、环卫、安全生产等工作。</w:t>
      </w:r>
    </w:p>
    <w:p>
      <w:pPr>
        <w:pStyle w:val="17"/>
      </w:pPr>
      <w:r>
        <w:t>（四）负责本区域基层建设、群众社区文化、娱乐、体育、教育、科普等工作。</w:t>
      </w:r>
    </w:p>
    <w:p>
      <w:pPr>
        <w:pStyle w:val="17"/>
      </w:pPr>
      <w:r>
        <w:t>（五）负责配合有关部门做好防汛、防火、防灾和抢险工作。</w:t>
      </w:r>
    </w:p>
    <w:p>
      <w:pPr>
        <w:pStyle w:val="17"/>
      </w:pPr>
      <w:r>
        <w:t>（六）负责贯彻落实国家、省、市方针、政策和法律法规。</w:t>
      </w:r>
    </w:p>
    <w:p>
      <w:pPr>
        <w:pStyle w:val="17"/>
      </w:pPr>
      <w:r>
        <w:t>（七）负责承办新区党工委、管委会交办的其他工作任务。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秦皇岛北戴河新区大蒲河管理处本级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1564.02万元，其中：一般公共预算收入1402.66万元，基金预算收入143.20万元，国有资本经营预算收入0.00万元，财政专户核拨收入0.00万元，单位资金收入0.00万元，上年结转结余18.16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秦皇岛北戴河新区大蒲河管理处本级年度单位预算中支出预算的总体情况。2024年支出预算1564.02万元，其中基本支出944.30万元，包括人员经费838.67万元和日常公用经费105.63万元；项目支出619.72万元，主要为本单位日常工作所需经费及人员保险经费</w:t>
      </w:r>
      <w:r>
        <w:rPr>
          <w:rFonts w:hint="eastAsia"/>
          <w:lang w:eastAsia="zh-CN"/>
        </w:rPr>
        <w:t>。</w:t>
      </w:r>
    </w:p>
    <w:p>
      <w:pPr>
        <w:pStyle w:val="18"/>
      </w:pPr>
      <w:r>
        <w:t>3、比上年增减情况</w:t>
      </w:r>
    </w:p>
    <w:p>
      <w:pPr>
        <w:pStyle w:val="18"/>
        <w:rPr>
          <w:rFonts w:hint="eastAsia" w:eastAsia="方正仿宋_GBK"/>
          <w:lang w:eastAsia="zh-CN"/>
        </w:rPr>
      </w:pPr>
      <w:r>
        <w:t>2024年预算收支安排1564.02万元，较2023年预算减少</w:t>
      </w:r>
      <w:r>
        <w:rPr>
          <w:rFonts w:hint="eastAsia"/>
          <w:lang w:val="en-US" w:eastAsia="zh-CN"/>
        </w:rPr>
        <w:t>548.12</w:t>
      </w:r>
      <w:r>
        <w:t>万元，其中：基本支出增加72.27万元，主要为人员保险经费</w:t>
      </w:r>
      <w:r>
        <w:rPr>
          <w:rFonts w:hint="eastAsia"/>
          <w:lang w:val="en-US" w:eastAsia="zh-CN"/>
        </w:rPr>
        <w:t>及日常公用经费；</w:t>
      </w:r>
      <w:r>
        <w:t>项目支出减少</w:t>
      </w:r>
      <w:r>
        <w:rPr>
          <w:rFonts w:hint="eastAsia"/>
          <w:lang w:val="en-US" w:eastAsia="zh-CN"/>
        </w:rPr>
        <w:t>620.39</w:t>
      </w:r>
      <w:r>
        <w:t>万元，主要为本单位本年较上年减少大部分项目相关支出</w:t>
      </w:r>
      <w:r>
        <w:rPr>
          <w:rFonts w:hint="eastAsia"/>
          <w:lang w:eastAsia="zh-CN"/>
        </w:rPr>
        <w:t>。</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bookmarkStart w:id="1" w:name="_GoBack"/>
      <w:bookmarkEnd w:id="1"/>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ind w:left="0" w:leftChars="0" w:firstLine="0" w:firstLineChars="0"/>
        <w:rPr>
          <w:rFonts w:hint="eastAsia"/>
        </w:rPr>
      </w:pPr>
    </w:p>
    <w:p>
      <w:pPr>
        <w:pStyle w:val="22"/>
        <w:rPr>
          <w:rFonts w:hint="eastAsia"/>
        </w:rPr>
      </w:pPr>
      <w:r>
        <w:rPr>
          <w:rFonts w:hint="eastAsia"/>
        </w:rPr>
        <w:t>机关运行经费共计安排</w:t>
      </w:r>
      <w:r>
        <w:rPr>
          <w:rFonts w:hint="eastAsia" w:cs="Times New Roman"/>
          <w:color w:val="000000"/>
          <w:sz w:val="28"/>
          <w:lang w:val="en-US" w:eastAsia="zh-CN"/>
        </w:rPr>
        <w:t>105.63</w:t>
      </w:r>
      <w:r>
        <w:rPr>
          <w:rFonts w:hint="eastAsia"/>
        </w:rPr>
        <w:t xml:space="preserve"> 万元，主要用于保证机关正常运转支的办公费、印刷费、差旅费、会议费、福利费、培训费等支出。</w:t>
      </w:r>
    </w:p>
    <w:p>
      <w:pPr>
        <w:pStyle w:val="19"/>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3"/>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 xml:space="preserve">年，财政拨款“三公”经费预算安排 </w:t>
      </w:r>
      <w:r>
        <w:rPr>
          <w:rFonts w:hint="eastAsia" w:cs="Times New Roman"/>
          <w:sz w:val="28"/>
          <w:szCs w:val="24"/>
          <w:lang w:val="en-US" w:eastAsia="zh-CN" w:bidi="ar-SA"/>
        </w:rPr>
        <w:t>0</w:t>
      </w:r>
      <w:r>
        <w:rPr>
          <w:rFonts w:hint="eastAsia" w:ascii="Times New Roman" w:hAnsi="Times New Roman" w:eastAsia="方正仿宋_GBK" w:cs="Times New Roman"/>
          <w:sz w:val="28"/>
          <w:szCs w:val="24"/>
          <w:lang w:val="en-US" w:eastAsia="zh-CN" w:bidi="ar-SA"/>
        </w:rPr>
        <w:t xml:space="preserve">万元，其中：因公出国（境）费 0 万元；公务用车购置及运维费 0万元；公务接待费 </w:t>
      </w:r>
      <w:r>
        <w:rPr>
          <w:rFonts w:hint="eastAsia" w:cs="Times New Roman"/>
          <w:sz w:val="28"/>
          <w:szCs w:val="24"/>
          <w:lang w:val="en-US" w:eastAsia="zh-CN" w:bidi="ar-SA"/>
        </w:rPr>
        <w:t>0.51</w:t>
      </w:r>
      <w:r>
        <w:rPr>
          <w:rFonts w:hint="eastAsia" w:ascii="Times New Roman" w:hAnsi="Times New Roman" w:eastAsia="方正仿宋_GBK" w:cs="Times New Roman"/>
          <w:sz w:val="28"/>
          <w:szCs w:val="24"/>
          <w:lang w:val="en-US" w:eastAsia="zh-CN" w:bidi="ar-SA"/>
        </w:rPr>
        <w:t>万元。“三公”经费较上年</w:t>
      </w:r>
      <w:r>
        <w:rPr>
          <w:rFonts w:hint="eastAsia" w:cs="Times New Roman"/>
          <w:sz w:val="28"/>
          <w:szCs w:val="24"/>
          <w:lang w:val="en-US" w:eastAsia="zh-CN" w:bidi="ar-SA"/>
        </w:rPr>
        <w:t>减少0.01万元</w:t>
      </w:r>
      <w:r>
        <w:rPr>
          <w:rFonts w:hint="eastAsia" w:ascii="Times New Roman" w:hAnsi="Times New Roman" w:eastAsia="方正仿宋_GBK" w:cs="Times New Roman"/>
          <w:sz w:val="28"/>
          <w:szCs w:val="24"/>
          <w:lang w:val="en-US" w:eastAsia="zh-CN" w:bidi="ar-SA"/>
        </w:rPr>
        <w:t>，主要原因是公务接待费减少。</w:t>
      </w:r>
    </w:p>
    <w:p>
      <w:pPr>
        <w:numPr>
          <w:ilvl w:val="0"/>
          <w:numId w:val="0"/>
        </w:numPr>
        <w:spacing w:before="10" w:after="10" w:line="240" w:lineRule="auto"/>
        <w:jc w:val="left"/>
        <w:outlineLvl w:val="5"/>
        <w:rPr>
          <w:rFonts w:ascii="黑体" w:hAnsi="黑体" w:eastAsia="黑体" w:cs="黑体"/>
          <w:color w:val="000000"/>
          <w:sz w:val="32"/>
        </w:rPr>
      </w:pPr>
    </w:p>
    <w:p>
      <w:pPr>
        <w:pStyle w:val="20"/>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1、冬季清洁煤取暖燃气协管员补贴资金绩效目标表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13031324P00880510382W</w:t>
            </w:r>
          </w:p>
        </w:tc>
        <w:tc>
          <w:tcPr>
            <w:tcW w:w="2835" w:type="dxa"/>
            <w:vAlign w:val="center"/>
          </w:tcPr>
          <w:p>
            <w:pPr>
              <w:pStyle w:val="10"/>
            </w:pPr>
            <w:r>
              <w:t>项目名称</w:t>
            </w:r>
          </w:p>
        </w:tc>
        <w:tc>
          <w:tcPr>
            <w:tcW w:w="6094" w:type="dxa"/>
            <w:gridSpan w:val="3"/>
            <w:vAlign w:val="center"/>
          </w:tcPr>
          <w:p>
            <w:pPr>
              <w:pStyle w:val="12"/>
            </w:pPr>
            <w:r>
              <w:t>冬季清洁煤取暖燃气协管员补贴资金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5.10</w:t>
            </w:r>
          </w:p>
        </w:tc>
        <w:tc>
          <w:tcPr>
            <w:tcW w:w="2835" w:type="dxa"/>
            <w:vAlign w:val="center"/>
          </w:tcPr>
          <w:p>
            <w:pPr>
              <w:pStyle w:val="10"/>
            </w:pPr>
            <w:r>
              <w:t>其中：财政    资金</w:t>
            </w:r>
          </w:p>
        </w:tc>
        <w:tc>
          <w:tcPr>
            <w:tcW w:w="2551" w:type="dxa"/>
            <w:vAlign w:val="center"/>
          </w:tcPr>
          <w:p>
            <w:pPr>
              <w:pStyle w:val="12"/>
            </w:pPr>
            <w:r>
              <w:t>5.10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冬季清洁煤取暖燃气协管员补助资金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1.保持冬季清洁取暖工作正常运行，对协管员进行补贴。严格按照有关规定使用资金，专款专用，厉行节约。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保障行政村数</w:t>
            </w:r>
          </w:p>
        </w:tc>
        <w:tc>
          <w:tcPr>
            <w:tcW w:w="5386" w:type="dxa"/>
            <w:vAlign w:val="center"/>
          </w:tcPr>
          <w:p>
            <w:pPr>
              <w:pStyle w:val="12"/>
            </w:pPr>
            <w:r>
              <w:t>保障十三个行政村协管员补贴</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是否全部按规定标准发放</w:t>
            </w:r>
          </w:p>
        </w:tc>
        <w:tc>
          <w:tcPr>
            <w:tcW w:w="5386" w:type="dxa"/>
            <w:vAlign w:val="center"/>
          </w:tcPr>
          <w:p>
            <w:pPr>
              <w:pStyle w:val="12"/>
            </w:pPr>
            <w:r>
              <w:t>规定发放标准</w:t>
            </w:r>
          </w:p>
        </w:tc>
        <w:tc>
          <w:tcPr>
            <w:tcW w:w="2268" w:type="dxa"/>
            <w:vAlign w:val="center"/>
          </w:tcPr>
          <w:p>
            <w:pPr>
              <w:pStyle w:val="12"/>
            </w:pPr>
            <w:r>
              <w:t>200元/月</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协管员补贴发放及时性</w:t>
            </w:r>
          </w:p>
        </w:tc>
        <w:tc>
          <w:tcPr>
            <w:tcW w:w="5386" w:type="dxa"/>
            <w:vAlign w:val="center"/>
          </w:tcPr>
          <w:p>
            <w:pPr>
              <w:pStyle w:val="12"/>
            </w:pPr>
            <w:r>
              <w:t>协管员补贴发放及时性</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项目实际支出控制在预算内</w:t>
            </w:r>
          </w:p>
        </w:tc>
        <w:tc>
          <w:tcPr>
            <w:tcW w:w="2268" w:type="dxa"/>
            <w:vAlign w:val="center"/>
          </w:tcPr>
          <w:p>
            <w:pPr>
              <w:pStyle w:val="12"/>
            </w:pPr>
            <w:r>
              <w:t>≤5.1万元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维护清洁取暖工作正常运行</w:t>
            </w:r>
          </w:p>
        </w:tc>
        <w:tc>
          <w:tcPr>
            <w:tcW w:w="5386" w:type="dxa"/>
            <w:vAlign w:val="center"/>
          </w:tcPr>
          <w:p>
            <w:pPr>
              <w:pStyle w:val="12"/>
            </w:pPr>
            <w:r>
              <w:t>维护清洁取暖工作正常运行</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长期抢修维护现场秩序</w:t>
            </w:r>
          </w:p>
        </w:tc>
        <w:tc>
          <w:tcPr>
            <w:tcW w:w="5386" w:type="dxa"/>
            <w:vAlign w:val="center"/>
          </w:tcPr>
          <w:p>
            <w:pPr>
              <w:pStyle w:val="12"/>
            </w:pPr>
            <w:r>
              <w:t>长期抢修维护现场秩序</w:t>
            </w:r>
          </w:p>
        </w:tc>
        <w:tc>
          <w:tcPr>
            <w:tcW w:w="2268" w:type="dxa"/>
            <w:vAlign w:val="center"/>
          </w:tcPr>
          <w:p>
            <w:pPr>
              <w:pStyle w:val="12"/>
            </w:pPr>
            <w:r>
              <w:t>持续影响</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改善辖区内环境水平</w:t>
            </w:r>
          </w:p>
        </w:tc>
        <w:tc>
          <w:tcPr>
            <w:tcW w:w="5386" w:type="dxa"/>
            <w:vAlign w:val="center"/>
          </w:tcPr>
          <w:p>
            <w:pPr>
              <w:pStyle w:val="12"/>
            </w:pPr>
            <w:r>
              <w:t>改善辖区内环境水平</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2、墓地日常管理经费绩效目标表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13031324P00880510371D</w:t>
            </w:r>
          </w:p>
        </w:tc>
        <w:tc>
          <w:tcPr>
            <w:tcW w:w="2835" w:type="dxa"/>
            <w:vAlign w:val="center"/>
          </w:tcPr>
          <w:p>
            <w:pPr>
              <w:pStyle w:val="10"/>
            </w:pPr>
            <w:r>
              <w:t>项目名称</w:t>
            </w:r>
          </w:p>
        </w:tc>
        <w:tc>
          <w:tcPr>
            <w:tcW w:w="6094" w:type="dxa"/>
            <w:gridSpan w:val="3"/>
            <w:vAlign w:val="center"/>
          </w:tcPr>
          <w:p>
            <w:pPr>
              <w:pStyle w:val="12"/>
            </w:pPr>
            <w:r>
              <w:t>墓地日常管理经费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14.40</w:t>
            </w:r>
          </w:p>
        </w:tc>
        <w:tc>
          <w:tcPr>
            <w:tcW w:w="2835" w:type="dxa"/>
            <w:vAlign w:val="center"/>
          </w:tcPr>
          <w:p>
            <w:pPr>
              <w:pStyle w:val="10"/>
            </w:pPr>
            <w:r>
              <w:t>其中：财政    资金</w:t>
            </w:r>
          </w:p>
        </w:tc>
        <w:tc>
          <w:tcPr>
            <w:tcW w:w="2551" w:type="dxa"/>
            <w:vAlign w:val="center"/>
          </w:tcPr>
          <w:p>
            <w:pPr>
              <w:pStyle w:val="12"/>
            </w:pPr>
            <w:r>
              <w:t>14.40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墓地日常管理经费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1.1.确保墓地水电费用、管理员取暖费用</w:t>
            </w:r>
          </w:p>
          <w:p>
            <w:pPr>
              <w:pStyle w:val="12"/>
            </w:pPr>
            <w:r>
              <w:t>2.确保管理员劳务费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办公面积</w:t>
            </w:r>
          </w:p>
        </w:tc>
        <w:tc>
          <w:tcPr>
            <w:tcW w:w="5386" w:type="dxa"/>
            <w:vAlign w:val="center"/>
          </w:tcPr>
          <w:p>
            <w:pPr>
              <w:pStyle w:val="12"/>
            </w:pPr>
            <w:r>
              <w:t>支付取暖、水电等办公面积</w:t>
            </w:r>
          </w:p>
        </w:tc>
        <w:tc>
          <w:tcPr>
            <w:tcW w:w="2268" w:type="dxa"/>
            <w:vAlign w:val="center"/>
          </w:tcPr>
          <w:p>
            <w:pPr>
              <w:pStyle w:val="12"/>
            </w:pPr>
            <w:r>
              <w:t>≥300平方米</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临时人员</w:t>
            </w:r>
          </w:p>
        </w:tc>
        <w:tc>
          <w:tcPr>
            <w:tcW w:w="5386" w:type="dxa"/>
            <w:vAlign w:val="center"/>
          </w:tcPr>
          <w:p>
            <w:pPr>
              <w:pStyle w:val="12"/>
            </w:pPr>
            <w:r>
              <w:t>墓地看护人员</w:t>
            </w:r>
          </w:p>
        </w:tc>
        <w:tc>
          <w:tcPr>
            <w:tcW w:w="2268" w:type="dxa"/>
            <w:vAlign w:val="center"/>
          </w:tcPr>
          <w:p>
            <w:pPr>
              <w:pStyle w:val="12"/>
            </w:pPr>
            <w:r>
              <w:t>≥5人</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墓地清扫比率</w:t>
            </w:r>
          </w:p>
        </w:tc>
        <w:tc>
          <w:tcPr>
            <w:tcW w:w="5386" w:type="dxa"/>
            <w:vAlign w:val="center"/>
          </w:tcPr>
          <w:p>
            <w:pPr>
              <w:pStyle w:val="12"/>
            </w:pPr>
            <w:r>
              <w:t>反映墓地清扫范围占总墓地范围</w:t>
            </w:r>
          </w:p>
        </w:tc>
        <w:tc>
          <w:tcPr>
            <w:tcW w:w="2268" w:type="dxa"/>
            <w:vAlign w:val="center"/>
          </w:tcPr>
          <w:p>
            <w:pPr>
              <w:pStyle w:val="12"/>
            </w:pPr>
            <w:r>
              <w:t>≥85%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资金支付及时率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为日常墓地管理支出的费用</w:t>
            </w:r>
          </w:p>
        </w:tc>
        <w:tc>
          <w:tcPr>
            <w:tcW w:w="2268" w:type="dxa"/>
            <w:vAlign w:val="center"/>
          </w:tcPr>
          <w:p>
            <w:pPr>
              <w:pStyle w:val="12"/>
            </w:pPr>
            <w:r>
              <w:t>≤14.4万元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保证辖区墓地干净整洁</w:t>
            </w:r>
          </w:p>
        </w:tc>
        <w:tc>
          <w:tcPr>
            <w:tcW w:w="5386" w:type="dxa"/>
            <w:vAlign w:val="center"/>
          </w:tcPr>
          <w:p>
            <w:pPr>
              <w:pStyle w:val="12"/>
            </w:pPr>
            <w:r>
              <w:t>保证辖区墓地干净整洁，为群众提供整洁的祭祀环境</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维护墓地安全</w:t>
            </w:r>
          </w:p>
        </w:tc>
        <w:tc>
          <w:tcPr>
            <w:tcW w:w="5386" w:type="dxa"/>
            <w:vAlign w:val="center"/>
          </w:tcPr>
          <w:p>
            <w:pPr>
              <w:pStyle w:val="12"/>
            </w:pPr>
            <w:r>
              <w:t>保障群众祭祀安全环境</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3、农村事务经费绩效目标表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13031324P00880510342D</w:t>
            </w:r>
          </w:p>
        </w:tc>
        <w:tc>
          <w:tcPr>
            <w:tcW w:w="2835" w:type="dxa"/>
            <w:vAlign w:val="center"/>
          </w:tcPr>
          <w:p>
            <w:pPr>
              <w:pStyle w:val="10"/>
            </w:pPr>
            <w:r>
              <w:t>项目名称</w:t>
            </w:r>
          </w:p>
        </w:tc>
        <w:tc>
          <w:tcPr>
            <w:tcW w:w="6094" w:type="dxa"/>
            <w:gridSpan w:val="3"/>
            <w:vAlign w:val="center"/>
          </w:tcPr>
          <w:p>
            <w:pPr>
              <w:pStyle w:val="12"/>
            </w:pPr>
            <w:r>
              <w:t>农村事务经费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农村事务经费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1.1.提高辖区内居民生活水平，完善基础设施</w:t>
            </w:r>
          </w:p>
          <w:p>
            <w:pPr>
              <w:pStyle w:val="12"/>
            </w:pPr>
            <w:r>
              <w:t>2.改善村容村貌，提升村民居住环境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保障涉及范围</w:t>
            </w:r>
          </w:p>
        </w:tc>
        <w:tc>
          <w:tcPr>
            <w:tcW w:w="5386" w:type="dxa"/>
            <w:vAlign w:val="center"/>
          </w:tcPr>
          <w:p>
            <w:pPr>
              <w:pStyle w:val="12"/>
            </w:pPr>
            <w:r>
              <w:t>保障涉及范围十三个行政村</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各项费用支付的及时率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≤100万元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保障辖区内经济发展</w:t>
            </w:r>
          </w:p>
        </w:tc>
        <w:tc>
          <w:tcPr>
            <w:tcW w:w="5386" w:type="dxa"/>
            <w:vAlign w:val="center"/>
          </w:tcPr>
          <w:p>
            <w:pPr>
              <w:pStyle w:val="12"/>
            </w:pPr>
            <w:r>
              <w:t>保障辖区内经济发展</w:t>
            </w:r>
          </w:p>
        </w:tc>
        <w:tc>
          <w:tcPr>
            <w:tcW w:w="2268" w:type="dxa"/>
            <w:vAlign w:val="center"/>
          </w:tcPr>
          <w:p>
            <w:pPr>
              <w:pStyle w:val="12"/>
            </w:pPr>
            <w:r>
              <w:t>有效保障</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改善村民生活环境</w:t>
            </w:r>
          </w:p>
        </w:tc>
        <w:tc>
          <w:tcPr>
            <w:tcW w:w="5386" w:type="dxa"/>
            <w:vAlign w:val="center"/>
          </w:tcPr>
          <w:p>
            <w:pPr>
              <w:pStyle w:val="12"/>
            </w:pPr>
            <w:r>
              <w:t>提升村容村貌，改善村民生活环境</w:t>
            </w:r>
          </w:p>
        </w:tc>
        <w:tc>
          <w:tcPr>
            <w:tcW w:w="2268" w:type="dxa"/>
            <w:vAlign w:val="center"/>
          </w:tcPr>
          <w:p>
            <w:pPr>
              <w:pStyle w:val="12"/>
            </w:pPr>
            <w:r>
              <w:t>日常工作持续有效开展</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持续完善公共服务</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推动环保事业发展</w:t>
            </w:r>
          </w:p>
        </w:tc>
        <w:tc>
          <w:tcPr>
            <w:tcW w:w="5386" w:type="dxa"/>
            <w:vAlign w:val="center"/>
          </w:tcPr>
          <w:p>
            <w:pPr>
              <w:pStyle w:val="12"/>
            </w:pPr>
            <w:r>
              <w:t>推动辖区内环保事业发展</w:t>
            </w:r>
          </w:p>
        </w:tc>
        <w:tc>
          <w:tcPr>
            <w:tcW w:w="2268" w:type="dxa"/>
            <w:vAlign w:val="center"/>
          </w:tcPr>
          <w:p>
            <w:pPr>
              <w:pStyle w:val="12"/>
            </w:pPr>
            <w:r>
              <w:t>美化生活环境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13031324P00880510267X</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56.28</w:t>
            </w:r>
          </w:p>
        </w:tc>
        <w:tc>
          <w:tcPr>
            <w:tcW w:w="2835" w:type="dxa"/>
            <w:vAlign w:val="center"/>
          </w:tcPr>
          <w:p>
            <w:pPr>
              <w:pStyle w:val="10"/>
            </w:pPr>
            <w:r>
              <w:t>其中：财政    资金</w:t>
            </w:r>
          </w:p>
        </w:tc>
        <w:tc>
          <w:tcPr>
            <w:tcW w:w="2551" w:type="dxa"/>
            <w:vAlign w:val="center"/>
          </w:tcPr>
          <w:p>
            <w:pPr>
              <w:pStyle w:val="12"/>
            </w:pPr>
            <w:r>
              <w:t>56.28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3"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1.1.发放人员工资2.缴纳各项社会保险</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4人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≤56.28万元</w:t>
            </w:r>
          </w:p>
        </w:tc>
        <w:tc>
          <w:tcPr>
            <w:tcW w:w="1276" w:type="dxa"/>
            <w:vAlign w:val="center"/>
          </w:tcPr>
          <w:p>
            <w:pPr>
              <w:pStyle w:val="12"/>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通过科学编制预算，严格遵守各项制度，提高财政资金的使用效率，做到节俭高效</w:t>
            </w:r>
          </w:p>
        </w:tc>
        <w:tc>
          <w:tcPr>
            <w:tcW w:w="2268" w:type="dxa"/>
            <w:vAlign w:val="center"/>
          </w:tcPr>
          <w:p>
            <w:pPr>
              <w:pStyle w:val="12"/>
            </w:pPr>
            <w:r>
              <w:t>提高财政资金的使用效率，做到节俭高效</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有效保证业务工作顺利开展</w:t>
            </w:r>
          </w:p>
        </w:tc>
        <w:tc>
          <w:tcPr>
            <w:tcW w:w="2268" w:type="dxa"/>
            <w:vAlign w:val="center"/>
          </w:tcPr>
          <w:p>
            <w:pPr>
              <w:pStyle w:val="12"/>
            </w:pPr>
            <w:r>
              <w:t>有效保证业务工作顺利开展</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通过抽查问卷的方式，满意和较满意对象占全部调研对象的比例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13031324P008805103819</w:t>
            </w:r>
          </w:p>
        </w:tc>
        <w:tc>
          <w:tcPr>
            <w:tcW w:w="2835" w:type="dxa"/>
            <w:vAlign w:val="center"/>
          </w:tcPr>
          <w:p>
            <w:pPr>
              <w:pStyle w:val="10"/>
            </w:pPr>
            <w:r>
              <w:t>项目名称</w:t>
            </w:r>
          </w:p>
        </w:tc>
        <w:tc>
          <w:tcPr>
            <w:tcW w:w="6094" w:type="dxa"/>
            <w:gridSpan w:val="3"/>
            <w:vAlign w:val="center"/>
          </w:tcPr>
          <w:p>
            <w:pPr>
              <w:pStyle w:val="12"/>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1.扎实开展信访矛盾纠纷排查工作，发现矛盾纠纷苗头及时化解。严格按照有关规定使用资金，专款专用，厉行节约。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非法越级上访次数</w:t>
            </w:r>
          </w:p>
        </w:tc>
        <w:tc>
          <w:tcPr>
            <w:tcW w:w="5386" w:type="dxa"/>
            <w:vAlign w:val="center"/>
          </w:tcPr>
          <w:p>
            <w:pPr>
              <w:pStyle w:val="12"/>
            </w:pPr>
            <w:r>
              <w:t>辖区非法越级上访次数</w:t>
            </w:r>
          </w:p>
        </w:tc>
        <w:tc>
          <w:tcPr>
            <w:tcW w:w="2268" w:type="dxa"/>
            <w:vAlign w:val="center"/>
          </w:tcPr>
          <w:p>
            <w:pPr>
              <w:pStyle w:val="12"/>
            </w:pPr>
            <w:r>
              <w:t>0件</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接待人数</w:t>
            </w:r>
          </w:p>
        </w:tc>
        <w:tc>
          <w:tcPr>
            <w:tcW w:w="5386" w:type="dxa"/>
            <w:vAlign w:val="center"/>
          </w:tcPr>
          <w:p>
            <w:pPr>
              <w:pStyle w:val="12"/>
            </w:pPr>
            <w:r>
              <w:t>反映接待信访的人数</w:t>
            </w:r>
          </w:p>
        </w:tc>
        <w:tc>
          <w:tcPr>
            <w:tcW w:w="2268" w:type="dxa"/>
            <w:vAlign w:val="center"/>
          </w:tcPr>
          <w:p>
            <w:pPr>
              <w:pStyle w:val="12"/>
            </w:pPr>
            <w:r>
              <w:t>≥30人</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案件数量</w:t>
            </w:r>
          </w:p>
        </w:tc>
        <w:tc>
          <w:tcPr>
            <w:tcW w:w="5386" w:type="dxa"/>
            <w:vAlign w:val="center"/>
          </w:tcPr>
          <w:p>
            <w:pPr>
              <w:pStyle w:val="12"/>
            </w:pPr>
            <w:r>
              <w:t>反映处理案件数</w:t>
            </w:r>
          </w:p>
        </w:tc>
        <w:tc>
          <w:tcPr>
            <w:tcW w:w="2268" w:type="dxa"/>
            <w:vAlign w:val="center"/>
          </w:tcPr>
          <w:p>
            <w:pPr>
              <w:pStyle w:val="12"/>
            </w:pPr>
            <w:r>
              <w:t>≥15件</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接待比率</w:t>
            </w:r>
          </w:p>
        </w:tc>
        <w:tc>
          <w:tcPr>
            <w:tcW w:w="5386" w:type="dxa"/>
            <w:vAlign w:val="center"/>
          </w:tcPr>
          <w:p>
            <w:pPr>
              <w:pStyle w:val="12"/>
            </w:pPr>
            <w:r>
              <w:t>反映接待人数占来访总人数比率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矛盾纠纷调处率</w:t>
            </w:r>
          </w:p>
        </w:tc>
        <w:tc>
          <w:tcPr>
            <w:tcW w:w="5386" w:type="dxa"/>
            <w:vAlign w:val="center"/>
          </w:tcPr>
          <w:p>
            <w:pPr>
              <w:pStyle w:val="12"/>
            </w:pPr>
            <w:r>
              <w:t>矛盾纠纷调处占总矛盾在比例</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案件处理及时率</w:t>
            </w:r>
          </w:p>
        </w:tc>
        <w:tc>
          <w:tcPr>
            <w:tcW w:w="5386" w:type="dxa"/>
            <w:vAlign w:val="center"/>
          </w:tcPr>
          <w:p>
            <w:pPr>
              <w:pStyle w:val="12"/>
            </w:pPr>
            <w:r>
              <w:t>反映接待信访群众上访案件处理及时率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信访稳定工作支出</w:t>
            </w:r>
          </w:p>
        </w:tc>
        <w:tc>
          <w:tcPr>
            <w:tcW w:w="5386" w:type="dxa"/>
            <w:vAlign w:val="center"/>
          </w:tcPr>
          <w:p>
            <w:pPr>
              <w:pStyle w:val="12"/>
            </w:pPr>
            <w:r>
              <w:t>信访稳定工作支出</w:t>
            </w:r>
          </w:p>
        </w:tc>
        <w:tc>
          <w:tcPr>
            <w:tcW w:w="2268" w:type="dxa"/>
            <w:vAlign w:val="center"/>
          </w:tcPr>
          <w:p>
            <w:pPr>
              <w:pStyle w:val="12"/>
            </w:pPr>
            <w:r>
              <w:t>≤13万元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非法越级上访率降低,维护社会稳定</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保障日常工作的有序运转</w:t>
            </w:r>
          </w:p>
        </w:tc>
        <w:tc>
          <w:tcPr>
            <w:tcW w:w="2268" w:type="dxa"/>
            <w:vAlign w:val="center"/>
          </w:tcPr>
          <w:p>
            <w:pPr>
              <w:pStyle w:val="12"/>
            </w:pPr>
            <w:r>
              <w:t>长期稳定</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信访群众满意度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6、2024年村级组织运转经费市级补助资金（村党组织活动经费）绩效目标表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13031324P00535810958D</w:t>
            </w:r>
          </w:p>
        </w:tc>
        <w:tc>
          <w:tcPr>
            <w:tcW w:w="2835" w:type="dxa"/>
            <w:vAlign w:val="center"/>
          </w:tcPr>
          <w:p>
            <w:pPr>
              <w:pStyle w:val="10"/>
            </w:pPr>
            <w:r>
              <w:t>项目名称</w:t>
            </w:r>
          </w:p>
        </w:tc>
        <w:tc>
          <w:tcPr>
            <w:tcW w:w="6094" w:type="dxa"/>
            <w:gridSpan w:val="3"/>
            <w:vAlign w:val="center"/>
          </w:tcPr>
          <w:p>
            <w:pPr>
              <w:pStyle w:val="12"/>
            </w:pPr>
            <w:r>
              <w:t>2024年村级组织运转经费市级补助资金（村党组织活动经费）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w:t>
            </w:r>
          </w:p>
        </w:tc>
        <w:tc>
          <w:tcPr>
            <w:tcW w:w="2835" w:type="dxa"/>
            <w:vAlign w:val="center"/>
          </w:tcPr>
          <w:p>
            <w:pPr>
              <w:pStyle w:val="10"/>
            </w:pPr>
            <w:r>
              <w:t>其中：财政    资金</w:t>
            </w:r>
          </w:p>
        </w:tc>
        <w:tc>
          <w:tcPr>
            <w:tcW w:w="2551" w:type="dxa"/>
            <w:vAlign w:val="center"/>
          </w:tcPr>
          <w:p>
            <w:pPr>
              <w:pStyle w:val="12"/>
            </w:pPr>
            <w:r>
              <w:t>2.60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用于村党组织开展日常活动的必要支出。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1.加强党组织建设，进一步加强党建工作，维护基层组织正常运转。厉行节俭，专款专用。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涉及村数量</w:t>
            </w:r>
          </w:p>
        </w:tc>
        <w:tc>
          <w:tcPr>
            <w:tcW w:w="5386" w:type="dxa"/>
            <w:vAlign w:val="center"/>
          </w:tcPr>
          <w:p>
            <w:pPr>
              <w:pStyle w:val="12"/>
            </w:pPr>
            <w:r>
              <w:t>涉及行政村数量</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活动有效性</w:t>
            </w:r>
          </w:p>
        </w:tc>
        <w:tc>
          <w:tcPr>
            <w:tcW w:w="5386" w:type="dxa"/>
            <w:vAlign w:val="center"/>
          </w:tcPr>
          <w:p>
            <w:pPr>
              <w:pStyle w:val="12"/>
            </w:pPr>
            <w:r>
              <w:t>党员思想意识提高程度</w:t>
            </w:r>
          </w:p>
        </w:tc>
        <w:tc>
          <w:tcPr>
            <w:tcW w:w="2268" w:type="dxa"/>
            <w:vAlign w:val="center"/>
          </w:tcPr>
          <w:p>
            <w:pPr>
              <w:pStyle w:val="12"/>
            </w:pPr>
            <w:r>
              <w:t>有效提高</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≤2.6万元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提升工作效率</w:t>
            </w:r>
          </w:p>
        </w:tc>
        <w:tc>
          <w:tcPr>
            <w:tcW w:w="5386" w:type="dxa"/>
            <w:vAlign w:val="center"/>
          </w:tcPr>
          <w:p>
            <w:pPr>
              <w:pStyle w:val="12"/>
            </w:pPr>
            <w:r>
              <w:t>提升工作效率</w:t>
            </w:r>
          </w:p>
        </w:tc>
        <w:tc>
          <w:tcPr>
            <w:tcW w:w="2268" w:type="dxa"/>
            <w:vAlign w:val="center"/>
          </w:tcPr>
          <w:p>
            <w:pPr>
              <w:pStyle w:val="12"/>
            </w:pPr>
            <w:r>
              <w:t>提升党员工作效率</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维护村级两委正常运转</w:t>
            </w:r>
          </w:p>
        </w:tc>
        <w:tc>
          <w:tcPr>
            <w:tcW w:w="5386" w:type="dxa"/>
            <w:vAlign w:val="center"/>
          </w:tcPr>
          <w:p>
            <w:pPr>
              <w:pStyle w:val="12"/>
            </w:pPr>
            <w:r>
              <w:t>维护村级两委正常运转</w:t>
            </w:r>
          </w:p>
        </w:tc>
        <w:tc>
          <w:tcPr>
            <w:tcW w:w="2268" w:type="dxa"/>
            <w:vAlign w:val="center"/>
          </w:tcPr>
          <w:p>
            <w:pPr>
              <w:pStyle w:val="12"/>
            </w:pPr>
            <w:r>
              <w:t>保障正常运转</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党员先进性</w:t>
            </w:r>
          </w:p>
        </w:tc>
        <w:tc>
          <w:tcPr>
            <w:tcW w:w="5386" w:type="dxa"/>
            <w:vAlign w:val="center"/>
          </w:tcPr>
          <w:p>
            <w:pPr>
              <w:pStyle w:val="12"/>
            </w:pPr>
            <w:r>
              <w:t>党员素质提高，强化日常学习和服务水平</w:t>
            </w:r>
          </w:p>
        </w:tc>
        <w:tc>
          <w:tcPr>
            <w:tcW w:w="2268" w:type="dxa"/>
            <w:vAlign w:val="center"/>
          </w:tcPr>
          <w:p>
            <w:pPr>
              <w:pStyle w:val="12"/>
            </w:pPr>
            <w:r>
              <w:t>持续影响</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村”两委“干部满意度</w:t>
            </w:r>
          </w:p>
        </w:tc>
        <w:tc>
          <w:tcPr>
            <w:tcW w:w="5386" w:type="dxa"/>
            <w:vAlign w:val="center"/>
          </w:tcPr>
          <w:p>
            <w:pPr>
              <w:pStyle w:val="12"/>
            </w:pPr>
            <w:r>
              <w:t>村”两委“干部满意度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7、“三路一沟”民心工程资金绩效目标表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13031324P008804102098</w:t>
            </w:r>
          </w:p>
        </w:tc>
        <w:tc>
          <w:tcPr>
            <w:tcW w:w="2835" w:type="dxa"/>
            <w:vAlign w:val="center"/>
          </w:tcPr>
          <w:p>
            <w:pPr>
              <w:pStyle w:val="10"/>
            </w:pPr>
            <w:r>
              <w:t>项目名称</w:t>
            </w:r>
          </w:p>
        </w:tc>
        <w:tc>
          <w:tcPr>
            <w:tcW w:w="6094" w:type="dxa"/>
            <w:gridSpan w:val="3"/>
            <w:vAlign w:val="center"/>
          </w:tcPr>
          <w:p>
            <w:pPr>
              <w:pStyle w:val="12"/>
            </w:pPr>
            <w:r>
              <w:t>“三路一沟”民心工程资金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”三路一沟“民心工程资金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1.改善居民出行，提高交通便利性，加强河道防汛能力。严格按照有关规定使用资金，专款专用，厉行节约。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工程质量合格率（%）</w:t>
            </w:r>
          </w:p>
        </w:tc>
        <w:tc>
          <w:tcPr>
            <w:tcW w:w="5386" w:type="dxa"/>
            <w:vAlign w:val="center"/>
          </w:tcPr>
          <w:p>
            <w:pPr>
              <w:pStyle w:val="12"/>
            </w:pPr>
            <w:r>
              <w:t>三路一沟工程质量合格率（%）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三路一沟工程验收合格率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5386" w:type="dxa"/>
            <w:vAlign w:val="center"/>
          </w:tcPr>
          <w:p>
            <w:pPr>
              <w:pStyle w:val="12"/>
            </w:pPr>
            <w:r>
              <w:t>三路一沟工程完成及时率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项目实际支出控制在预算内</w:t>
            </w:r>
          </w:p>
        </w:tc>
        <w:tc>
          <w:tcPr>
            <w:tcW w:w="2268" w:type="dxa"/>
            <w:vAlign w:val="center"/>
          </w:tcPr>
          <w:p>
            <w:pPr>
              <w:pStyle w:val="12"/>
            </w:pPr>
            <w:r>
              <w:t>≤5万元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方便居民出行生活</w:t>
            </w:r>
          </w:p>
        </w:tc>
        <w:tc>
          <w:tcPr>
            <w:tcW w:w="5386" w:type="dxa"/>
            <w:vAlign w:val="center"/>
          </w:tcPr>
          <w:p>
            <w:pPr>
              <w:pStyle w:val="12"/>
            </w:pPr>
            <w:r>
              <w:t>方便居民出行生活</w:t>
            </w:r>
          </w:p>
        </w:tc>
        <w:tc>
          <w:tcPr>
            <w:tcW w:w="2268" w:type="dxa"/>
            <w:vAlign w:val="center"/>
          </w:tcPr>
          <w:p>
            <w:pPr>
              <w:pStyle w:val="12"/>
            </w:pPr>
            <w:r>
              <w:t>便民利民</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无破坏</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可多年长期使用</w:t>
            </w:r>
          </w:p>
        </w:tc>
        <w:tc>
          <w:tcPr>
            <w:tcW w:w="2268" w:type="dxa"/>
            <w:vAlign w:val="center"/>
          </w:tcPr>
          <w:p>
            <w:pPr>
              <w:pStyle w:val="12"/>
            </w:pPr>
            <w:r>
              <w:t>长期使用</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8、办公用房改造及设备购置经费绩效目标表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13031324P008801107856</w:t>
            </w:r>
          </w:p>
        </w:tc>
        <w:tc>
          <w:tcPr>
            <w:tcW w:w="2835" w:type="dxa"/>
            <w:vAlign w:val="center"/>
          </w:tcPr>
          <w:p>
            <w:pPr>
              <w:pStyle w:val="10"/>
            </w:pPr>
            <w:r>
              <w:t>项目名称</w:t>
            </w:r>
          </w:p>
        </w:tc>
        <w:tc>
          <w:tcPr>
            <w:tcW w:w="6094" w:type="dxa"/>
            <w:gridSpan w:val="3"/>
            <w:vAlign w:val="center"/>
          </w:tcPr>
          <w:p>
            <w:pPr>
              <w:pStyle w:val="12"/>
            </w:pPr>
            <w:r>
              <w:t>办公用房改造及设备购置经费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办公用房改造及设备购置经费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1.切实保障大蒲河管理处办公环境，保障大蒲河管理处日常工作有效运转。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建筑用房面积</w:t>
            </w:r>
          </w:p>
        </w:tc>
        <w:tc>
          <w:tcPr>
            <w:tcW w:w="5386" w:type="dxa"/>
            <w:vAlign w:val="center"/>
          </w:tcPr>
          <w:p>
            <w:pPr>
              <w:pStyle w:val="12"/>
            </w:pPr>
            <w:r>
              <w:t>建筑用房面积</w:t>
            </w:r>
          </w:p>
        </w:tc>
        <w:tc>
          <w:tcPr>
            <w:tcW w:w="2268" w:type="dxa"/>
            <w:vAlign w:val="center"/>
          </w:tcPr>
          <w:p>
            <w:pPr>
              <w:pStyle w:val="12"/>
            </w:pPr>
            <w:r>
              <w:t>1958平方米</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办公基础设施、设备运行情况</w:t>
            </w:r>
          </w:p>
        </w:tc>
        <w:tc>
          <w:tcPr>
            <w:tcW w:w="5386" w:type="dxa"/>
            <w:vAlign w:val="center"/>
          </w:tcPr>
          <w:p>
            <w:pPr>
              <w:pStyle w:val="12"/>
            </w:pPr>
            <w:r>
              <w:t>办公基础设施、设备运行情况</w:t>
            </w:r>
          </w:p>
        </w:tc>
        <w:tc>
          <w:tcPr>
            <w:tcW w:w="2268" w:type="dxa"/>
            <w:vAlign w:val="center"/>
          </w:tcPr>
          <w:p>
            <w:pPr>
              <w:pStyle w:val="12"/>
            </w:pPr>
            <w:r>
              <w:t>正常运行</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≤70万元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有效控制办公用房的建筑投入，减少财政资金支出压力</w:t>
            </w:r>
          </w:p>
        </w:tc>
        <w:tc>
          <w:tcPr>
            <w:tcW w:w="5386" w:type="dxa"/>
            <w:vAlign w:val="center"/>
          </w:tcPr>
          <w:p>
            <w:pPr>
              <w:pStyle w:val="12"/>
            </w:pPr>
            <w:r>
              <w:t>坚持厉行节俭原则，保障经费合理高效使用</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提升社会效益</w:t>
            </w:r>
          </w:p>
        </w:tc>
        <w:tc>
          <w:tcPr>
            <w:tcW w:w="5386" w:type="dxa"/>
            <w:vAlign w:val="center"/>
          </w:tcPr>
          <w:p>
            <w:pPr>
              <w:pStyle w:val="12"/>
            </w:pPr>
            <w:r>
              <w:t>有利于大蒲河管理处开展工作，提高办公效率</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提高人民群众来访办事满意度，有利于工作开展及辖区稳定</w:t>
            </w:r>
          </w:p>
        </w:tc>
        <w:tc>
          <w:tcPr>
            <w:tcW w:w="5386" w:type="dxa"/>
            <w:vAlign w:val="center"/>
          </w:tcPr>
          <w:p>
            <w:pPr>
              <w:pStyle w:val="12"/>
            </w:pPr>
            <w:r>
              <w:t>提高人民群众来访办事满意度，有利于工作开展及辖区稳定</w:t>
            </w:r>
          </w:p>
        </w:tc>
        <w:tc>
          <w:tcPr>
            <w:tcW w:w="2268" w:type="dxa"/>
            <w:vAlign w:val="center"/>
          </w:tcPr>
          <w:p>
            <w:pPr>
              <w:pStyle w:val="12"/>
            </w:pPr>
            <w:r>
              <w:t>持续发展</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入驻办公的干部职工满意度</w:t>
            </w:r>
          </w:p>
        </w:tc>
        <w:tc>
          <w:tcPr>
            <w:tcW w:w="5386" w:type="dxa"/>
            <w:vAlign w:val="center"/>
          </w:tcPr>
          <w:p>
            <w:pPr>
              <w:pStyle w:val="12"/>
            </w:pPr>
            <w:r>
              <w:t>入驻办公的干部职工满意度</w:t>
            </w:r>
          </w:p>
        </w:tc>
        <w:tc>
          <w:tcPr>
            <w:tcW w:w="2268" w:type="dxa"/>
            <w:vAlign w:val="center"/>
          </w:tcPr>
          <w:p>
            <w:pPr>
              <w:pStyle w:val="12"/>
            </w:pPr>
            <w:r>
              <w:t>≥95%</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9、农村人居环境整治（农村环卫保洁、河道保洁）项目资金绩效目标表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13031324P008801107662</w:t>
            </w:r>
          </w:p>
        </w:tc>
        <w:tc>
          <w:tcPr>
            <w:tcW w:w="2835" w:type="dxa"/>
            <w:vAlign w:val="center"/>
          </w:tcPr>
          <w:p>
            <w:pPr>
              <w:pStyle w:val="10"/>
            </w:pPr>
            <w:r>
              <w:t>项目名称</w:t>
            </w:r>
          </w:p>
        </w:tc>
        <w:tc>
          <w:tcPr>
            <w:tcW w:w="6094" w:type="dxa"/>
            <w:gridSpan w:val="3"/>
            <w:vAlign w:val="center"/>
          </w:tcPr>
          <w:p>
            <w:pPr>
              <w:pStyle w:val="12"/>
            </w:pPr>
            <w:r>
              <w:t>农村人居环境整治（农村环卫保洁、河道保洁）项目资金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193.00</w:t>
            </w:r>
          </w:p>
        </w:tc>
        <w:tc>
          <w:tcPr>
            <w:tcW w:w="2835" w:type="dxa"/>
            <w:vAlign w:val="center"/>
          </w:tcPr>
          <w:p>
            <w:pPr>
              <w:pStyle w:val="10"/>
            </w:pPr>
            <w:r>
              <w:t>其中：财政    资金</w:t>
            </w:r>
          </w:p>
        </w:tc>
        <w:tc>
          <w:tcPr>
            <w:tcW w:w="2551" w:type="dxa"/>
            <w:vAlign w:val="center"/>
          </w:tcPr>
          <w:p>
            <w:pPr>
              <w:pStyle w:val="12"/>
            </w:pPr>
            <w:r>
              <w:t>193.00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农村人居环境整治（农村环卫保洁、河道保洁）项目资金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1.进一步加强我辖区农村环境卫生管理，清洁河道卫生，切实改善人居环境。严格按照有关规定使用资金，专款专用，厉行节约。</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河道数量</w:t>
            </w:r>
          </w:p>
        </w:tc>
        <w:tc>
          <w:tcPr>
            <w:tcW w:w="5386" w:type="dxa"/>
            <w:vAlign w:val="center"/>
          </w:tcPr>
          <w:p>
            <w:pPr>
              <w:pStyle w:val="12"/>
            </w:pPr>
            <w:r>
              <w:t>需要清洁的河道数量</w:t>
            </w:r>
          </w:p>
        </w:tc>
        <w:tc>
          <w:tcPr>
            <w:tcW w:w="2268" w:type="dxa"/>
            <w:vAlign w:val="center"/>
          </w:tcPr>
          <w:p>
            <w:pPr>
              <w:pStyle w:val="12"/>
            </w:pPr>
            <w:r>
              <w:t>3条</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保洁员配备数</w:t>
            </w:r>
          </w:p>
        </w:tc>
        <w:tc>
          <w:tcPr>
            <w:tcW w:w="5386" w:type="dxa"/>
            <w:vAlign w:val="center"/>
          </w:tcPr>
          <w:p>
            <w:pPr>
              <w:pStyle w:val="12"/>
            </w:pPr>
            <w:r>
              <w:t>为清扫河道需要的保洁员人数</w:t>
            </w:r>
          </w:p>
        </w:tc>
        <w:tc>
          <w:tcPr>
            <w:tcW w:w="2268" w:type="dxa"/>
            <w:vAlign w:val="center"/>
          </w:tcPr>
          <w:p>
            <w:pPr>
              <w:pStyle w:val="12"/>
            </w:pPr>
            <w:r>
              <w:t>≥50人</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人员正常上岗比率</w:t>
            </w:r>
          </w:p>
        </w:tc>
        <w:tc>
          <w:tcPr>
            <w:tcW w:w="5386" w:type="dxa"/>
            <w:vAlign w:val="center"/>
          </w:tcPr>
          <w:p>
            <w:pPr>
              <w:pStyle w:val="12"/>
            </w:pPr>
            <w:r>
              <w:t>清洁河道，服务公司配备的人员正常上岗比率</w:t>
            </w:r>
          </w:p>
        </w:tc>
        <w:tc>
          <w:tcPr>
            <w:tcW w:w="2268" w:type="dxa"/>
            <w:vAlign w:val="center"/>
          </w:tcPr>
          <w:p>
            <w:pPr>
              <w:pStyle w:val="12"/>
            </w:pPr>
            <w:r>
              <w:t>≥96%</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反映保洁公司清扫服务合格率</w:t>
            </w:r>
          </w:p>
        </w:tc>
        <w:tc>
          <w:tcPr>
            <w:tcW w:w="2268" w:type="dxa"/>
            <w:vAlign w:val="center"/>
          </w:tcPr>
          <w:p>
            <w:pPr>
              <w:pStyle w:val="12"/>
            </w:pPr>
            <w:r>
              <w:t>≥96%</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反映保洁员清扫及时性</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河道保洁项目支出</w:t>
            </w:r>
          </w:p>
        </w:tc>
        <w:tc>
          <w:tcPr>
            <w:tcW w:w="5386" w:type="dxa"/>
            <w:vAlign w:val="center"/>
          </w:tcPr>
          <w:p>
            <w:pPr>
              <w:pStyle w:val="12"/>
            </w:pPr>
            <w:r>
              <w:t>农村人居环境整治河道保洁项目资金支出</w:t>
            </w:r>
          </w:p>
        </w:tc>
        <w:tc>
          <w:tcPr>
            <w:tcW w:w="2268" w:type="dxa"/>
            <w:vAlign w:val="center"/>
          </w:tcPr>
          <w:p>
            <w:pPr>
              <w:pStyle w:val="12"/>
            </w:pPr>
            <w:r>
              <w:t>≤193万元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保持河道清洁</w:t>
            </w:r>
          </w:p>
        </w:tc>
        <w:tc>
          <w:tcPr>
            <w:tcW w:w="5386" w:type="dxa"/>
            <w:vAlign w:val="center"/>
          </w:tcPr>
          <w:p>
            <w:pPr>
              <w:pStyle w:val="12"/>
            </w:pPr>
            <w:r>
              <w:t>长效保持河道清洁，提升村民人居环境</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生态环境明显改善</w:t>
            </w:r>
          </w:p>
        </w:tc>
        <w:tc>
          <w:tcPr>
            <w:tcW w:w="5386" w:type="dxa"/>
            <w:vAlign w:val="center"/>
          </w:tcPr>
          <w:p>
            <w:pPr>
              <w:pStyle w:val="12"/>
            </w:pPr>
            <w:r>
              <w:t>保证河道无漂浮集物，改善水环境</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持续影响</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10、秦财社[2023]739号提前下达2024年省级城乡居民社会保险代办员补助资金绩效目标表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13031324P00535810838C</w:t>
            </w:r>
          </w:p>
        </w:tc>
        <w:tc>
          <w:tcPr>
            <w:tcW w:w="2835" w:type="dxa"/>
            <w:vAlign w:val="center"/>
          </w:tcPr>
          <w:p>
            <w:pPr>
              <w:pStyle w:val="10"/>
            </w:pPr>
            <w:r>
              <w:t>项目名称</w:t>
            </w:r>
          </w:p>
        </w:tc>
        <w:tc>
          <w:tcPr>
            <w:tcW w:w="6094" w:type="dxa"/>
            <w:gridSpan w:val="3"/>
            <w:vAlign w:val="center"/>
          </w:tcPr>
          <w:p>
            <w:pPr>
              <w:pStyle w:val="12"/>
            </w:pPr>
            <w:r>
              <w:t>秦财社[2023]739号提前下达2024年省级城乡居民社会保险代办员补助资金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0.23</w:t>
            </w:r>
          </w:p>
        </w:tc>
        <w:tc>
          <w:tcPr>
            <w:tcW w:w="2835" w:type="dxa"/>
            <w:vAlign w:val="center"/>
          </w:tcPr>
          <w:p>
            <w:pPr>
              <w:pStyle w:val="10"/>
            </w:pPr>
            <w:r>
              <w:t>其中：财政    资金</w:t>
            </w:r>
          </w:p>
        </w:tc>
        <w:tc>
          <w:tcPr>
            <w:tcW w:w="2551" w:type="dxa"/>
            <w:vAlign w:val="center"/>
          </w:tcPr>
          <w:p>
            <w:pPr>
              <w:pStyle w:val="12"/>
            </w:pPr>
            <w:r>
              <w:t>0.23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用于社会保险协办员补助资金的发放。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1.确保城乡居民社会保险日常工作正常运转，使城乡社会保险政策得到全面覆盖。厉行节俭，专款专用。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社会保险村级代办员人数</w:t>
            </w:r>
          </w:p>
        </w:tc>
        <w:tc>
          <w:tcPr>
            <w:tcW w:w="5386" w:type="dxa"/>
            <w:vAlign w:val="center"/>
          </w:tcPr>
          <w:p>
            <w:pPr>
              <w:pStyle w:val="12"/>
            </w:pPr>
            <w:r>
              <w:t>社会保险村级代办员人数</w:t>
            </w:r>
          </w:p>
        </w:tc>
        <w:tc>
          <w:tcPr>
            <w:tcW w:w="2268" w:type="dxa"/>
            <w:vAlign w:val="center"/>
          </w:tcPr>
          <w:p>
            <w:pPr>
              <w:pStyle w:val="12"/>
            </w:pPr>
            <w:r>
              <w:t>13人</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农村社会保险参保率</w:t>
            </w:r>
          </w:p>
        </w:tc>
        <w:tc>
          <w:tcPr>
            <w:tcW w:w="5386" w:type="dxa"/>
            <w:vAlign w:val="center"/>
          </w:tcPr>
          <w:p>
            <w:pPr>
              <w:pStyle w:val="12"/>
            </w:pPr>
            <w:r>
              <w:t>农村社会保险参保率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代办员保险缴纳及时性</w:t>
            </w:r>
          </w:p>
        </w:tc>
        <w:tc>
          <w:tcPr>
            <w:tcW w:w="5386" w:type="dxa"/>
            <w:vAlign w:val="center"/>
          </w:tcPr>
          <w:p>
            <w:pPr>
              <w:pStyle w:val="12"/>
            </w:pPr>
            <w:r>
              <w:t>代办员保险缴纳及时性</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代办员补贴总费用</w:t>
            </w:r>
          </w:p>
        </w:tc>
        <w:tc>
          <w:tcPr>
            <w:tcW w:w="5386" w:type="dxa"/>
            <w:vAlign w:val="center"/>
          </w:tcPr>
          <w:p>
            <w:pPr>
              <w:pStyle w:val="12"/>
            </w:pPr>
            <w:r>
              <w:t>代办员补贴总费用</w:t>
            </w:r>
          </w:p>
        </w:tc>
        <w:tc>
          <w:tcPr>
            <w:tcW w:w="2268" w:type="dxa"/>
            <w:vAlign w:val="center"/>
          </w:tcPr>
          <w:p>
            <w:pPr>
              <w:pStyle w:val="12"/>
            </w:pPr>
            <w:r>
              <w:t>≤0.23万元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项目带来经济效益</w:t>
            </w:r>
          </w:p>
        </w:tc>
        <w:tc>
          <w:tcPr>
            <w:tcW w:w="5386" w:type="dxa"/>
            <w:vAlign w:val="center"/>
          </w:tcPr>
          <w:p>
            <w:pPr>
              <w:pStyle w:val="12"/>
            </w:pPr>
            <w:r>
              <w:t>增加代办员经济收入</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提高农村社会保险覆盖率</w:t>
            </w:r>
          </w:p>
        </w:tc>
        <w:tc>
          <w:tcPr>
            <w:tcW w:w="5386" w:type="dxa"/>
            <w:vAlign w:val="center"/>
          </w:tcPr>
          <w:p>
            <w:pPr>
              <w:pStyle w:val="12"/>
            </w:pPr>
            <w:r>
              <w:t>提高农村社会保险覆盖率</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社会保险办事效率和水平不断提升</w:t>
            </w:r>
          </w:p>
        </w:tc>
        <w:tc>
          <w:tcPr>
            <w:tcW w:w="5386" w:type="dxa"/>
            <w:vAlign w:val="center"/>
          </w:tcPr>
          <w:p>
            <w:pPr>
              <w:pStyle w:val="12"/>
            </w:pPr>
            <w:r>
              <w:t>社会保险办事效率和水平不断提升</w:t>
            </w:r>
          </w:p>
        </w:tc>
        <w:tc>
          <w:tcPr>
            <w:tcW w:w="2268" w:type="dxa"/>
            <w:vAlign w:val="center"/>
          </w:tcPr>
          <w:p>
            <w:pPr>
              <w:pStyle w:val="12"/>
            </w:pPr>
            <w:r>
              <w:t>持续影响</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11、提前下达2024年“三馆一站”免费开放市级配套资金绩效目标表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13031324P00535810952P</w:t>
            </w:r>
          </w:p>
        </w:tc>
        <w:tc>
          <w:tcPr>
            <w:tcW w:w="2835" w:type="dxa"/>
            <w:vAlign w:val="center"/>
          </w:tcPr>
          <w:p>
            <w:pPr>
              <w:pStyle w:val="10"/>
            </w:pPr>
            <w:r>
              <w:t>项目名称</w:t>
            </w:r>
          </w:p>
        </w:tc>
        <w:tc>
          <w:tcPr>
            <w:tcW w:w="6094" w:type="dxa"/>
            <w:gridSpan w:val="3"/>
            <w:vAlign w:val="center"/>
          </w:tcPr>
          <w:p>
            <w:pPr>
              <w:pStyle w:val="12"/>
            </w:pPr>
            <w:r>
              <w:t>提前下达2024年“三馆一站”免费开放市级配套资金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用于大力开展公共文化活动和各类免费培训，实施公益文化服务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1.实施公益文化服务，提升群众的道德水平和艺术修养，保障人民群众基本文化权益。厉行节俭，专款专用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涉及村的数量</w:t>
            </w:r>
          </w:p>
        </w:tc>
        <w:tc>
          <w:tcPr>
            <w:tcW w:w="5386" w:type="dxa"/>
            <w:vAlign w:val="center"/>
          </w:tcPr>
          <w:p>
            <w:pPr>
              <w:pStyle w:val="12"/>
            </w:pPr>
            <w:r>
              <w:t>涉及文化服务村的个数</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群众文化活动参与率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≤0.5万元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满足人民日益增长的文化需求</w:t>
            </w:r>
          </w:p>
        </w:tc>
        <w:tc>
          <w:tcPr>
            <w:tcW w:w="5386" w:type="dxa"/>
            <w:vAlign w:val="center"/>
          </w:tcPr>
          <w:p>
            <w:pPr>
              <w:pStyle w:val="12"/>
            </w:pPr>
            <w:r>
              <w:t>满足人民日益增长的文化需求</w:t>
            </w:r>
          </w:p>
        </w:tc>
        <w:tc>
          <w:tcPr>
            <w:tcW w:w="2268" w:type="dxa"/>
            <w:vAlign w:val="center"/>
          </w:tcPr>
          <w:p>
            <w:pPr>
              <w:pStyle w:val="12"/>
            </w:pPr>
            <w:r>
              <w:t>效果显著</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提升基本公共文化服务水平</w:t>
            </w:r>
          </w:p>
        </w:tc>
        <w:tc>
          <w:tcPr>
            <w:tcW w:w="5386" w:type="dxa"/>
            <w:vAlign w:val="center"/>
          </w:tcPr>
          <w:p>
            <w:pPr>
              <w:pStyle w:val="12"/>
            </w:pPr>
            <w:r>
              <w:t>提升基本公共文化服务水平</w:t>
            </w:r>
          </w:p>
        </w:tc>
        <w:tc>
          <w:tcPr>
            <w:tcW w:w="2268" w:type="dxa"/>
            <w:vAlign w:val="center"/>
          </w:tcPr>
          <w:p>
            <w:pPr>
              <w:pStyle w:val="12"/>
            </w:pPr>
            <w:r>
              <w:t>长期有效</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带动其他消费项目增收情况</w:t>
            </w:r>
          </w:p>
        </w:tc>
        <w:tc>
          <w:tcPr>
            <w:tcW w:w="5386" w:type="dxa"/>
            <w:vAlign w:val="center"/>
          </w:tcPr>
          <w:p>
            <w:pPr>
              <w:pStyle w:val="12"/>
            </w:pPr>
            <w:r>
              <w:t>带动其他消费项目增收情况</w:t>
            </w:r>
          </w:p>
        </w:tc>
        <w:tc>
          <w:tcPr>
            <w:tcW w:w="2268" w:type="dxa"/>
            <w:vAlign w:val="center"/>
          </w:tcPr>
          <w:p>
            <w:pPr>
              <w:pStyle w:val="12"/>
            </w:pPr>
            <w:r>
              <w:t>增长</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12、提前下达2024年基层“三馆一站”免费开放省级补助资金绩效目标表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13031324P005358109514</w:t>
            </w:r>
          </w:p>
        </w:tc>
        <w:tc>
          <w:tcPr>
            <w:tcW w:w="2835" w:type="dxa"/>
            <w:vAlign w:val="center"/>
          </w:tcPr>
          <w:p>
            <w:pPr>
              <w:pStyle w:val="10"/>
            </w:pPr>
            <w:r>
              <w:t>项目名称</w:t>
            </w:r>
          </w:p>
        </w:tc>
        <w:tc>
          <w:tcPr>
            <w:tcW w:w="6094" w:type="dxa"/>
            <w:gridSpan w:val="3"/>
            <w:vAlign w:val="center"/>
          </w:tcPr>
          <w:p>
            <w:pPr>
              <w:pStyle w:val="12"/>
            </w:pPr>
            <w:r>
              <w:t>提前下达2024年基层“三馆一站”免费开放省级补助资金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用于大力开展公共文化活动和各类免费培训，实施公益文化服务.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1.加强基层公共文化服务建设，保障广大群众基本文化权益。厉行节俭，专款专用。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涉及村的数量</w:t>
            </w:r>
          </w:p>
        </w:tc>
        <w:tc>
          <w:tcPr>
            <w:tcW w:w="5386" w:type="dxa"/>
            <w:vAlign w:val="center"/>
          </w:tcPr>
          <w:p>
            <w:pPr>
              <w:pStyle w:val="12"/>
            </w:pPr>
            <w:r>
              <w:t>涉及文化服务村的个数</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群众文化活动参与率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≤0.5万元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满足人民日益增长的文化需求</w:t>
            </w:r>
          </w:p>
        </w:tc>
        <w:tc>
          <w:tcPr>
            <w:tcW w:w="5386" w:type="dxa"/>
            <w:vAlign w:val="center"/>
          </w:tcPr>
          <w:p>
            <w:pPr>
              <w:pStyle w:val="12"/>
            </w:pPr>
            <w:r>
              <w:t>满足人民日益增长的文化需求</w:t>
            </w:r>
          </w:p>
        </w:tc>
        <w:tc>
          <w:tcPr>
            <w:tcW w:w="2268" w:type="dxa"/>
            <w:vAlign w:val="center"/>
          </w:tcPr>
          <w:p>
            <w:pPr>
              <w:pStyle w:val="12"/>
            </w:pPr>
            <w:r>
              <w:t>效果显著</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提升基本公共文化服务水平</w:t>
            </w:r>
          </w:p>
        </w:tc>
        <w:tc>
          <w:tcPr>
            <w:tcW w:w="5386" w:type="dxa"/>
            <w:vAlign w:val="center"/>
          </w:tcPr>
          <w:p>
            <w:pPr>
              <w:pStyle w:val="12"/>
            </w:pPr>
            <w:r>
              <w:t>提升基本公共文化服务水平</w:t>
            </w:r>
          </w:p>
        </w:tc>
        <w:tc>
          <w:tcPr>
            <w:tcW w:w="2268" w:type="dxa"/>
            <w:vAlign w:val="center"/>
          </w:tcPr>
          <w:p>
            <w:pPr>
              <w:pStyle w:val="12"/>
            </w:pPr>
            <w:r>
              <w:t>长期有效</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带动其它相关消费项目增收</w:t>
            </w:r>
          </w:p>
          <w:p>
            <w:pPr>
              <w:pStyle w:val="12"/>
            </w:pPr>
            <w:r>
              <w:t>情况</w:t>
            </w:r>
          </w:p>
        </w:tc>
        <w:tc>
          <w:tcPr>
            <w:tcW w:w="5386" w:type="dxa"/>
            <w:vAlign w:val="center"/>
          </w:tcPr>
          <w:p>
            <w:pPr>
              <w:pStyle w:val="12"/>
            </w:pPr>
            <w:r>
              <w:t>带动其它相关消费项目增收</w:t>
            </w:r>
          </w:p>
          <w:p>
            <w:pPr>
              <w:pStyle w:val="12"/>
            </w:pPr>
            <w:r>
              <w:t>情况</w:t>
            </w:r>
          </w:p>
        </w:tc>
        <w:tc>
          <w:tcPr>
            <w:tcW w:w="2268" w:type="dxa"/>
            <w:vAlign w:val="center"/>
          </w:tcPr>
          <w:p>
            <w:pPr>
              <w:pStyle w:val="12"/>
            </w:pPr>
            <w:r>
              <w:t>增长</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13、提前下达2024年中央补助地方美术馆 公共图书馆 文化馆（站）免费开放专项资金绩效目标表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13031324P00535810950G</w:t>
            </w:r>
          </w:p>
        </w:tc>
        <w:tc>
          <w:tcPr>
            <w:tcW w:w="2835" w:type="dxa"/>
            <w:vAlign w:val="center"/>
          </w:tcPr>
          <w:p>
            <w:pPr>
              <w:pStyle w:val="10"/>
            </w:pPr>
            <w:r>
              <w:t>项目名称</w:t>
            </w:r>
          </w:p>
        </w:tc>
        <w:tc>
          <w:tcPr>
            <w:tcW w:w="6094" w:type="dxa"/>
            <w:gridSpan w:val="3"/>
            <w:vAlign w:val="center"/>
          </w:tcPr>
          <w:p>
            <w:pPr>
              <w:pStyle w:val="12"/>
            </w:pPr>
            <w:r>
              <w:t>提前下达2024年中央补助地方美术馆 公共图书馆 文化馆（站）免费开放专项资金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2.75</w:t>
            </w:r>
          </w:p>
        </w:tc>
        <w:tc>
          <w:tcPr>
            <w:tcW w:w="2835" w:type="dxa"/>
            <w:vAlign w:val="center"/>
          </w:tcPr>
          <w:p>
            <w:pPr>
              <w:pStyle w:val="10"/>
            </w:pPr>
            <w:r>
              <w:t>其中：财政    资金</w:t>
            </w:r>
          </w:p>
        </w:tc>
        <w:tc>
          <w:tcPr>
            <w:tcW w:w="2551" w:type="dxa"/>
            <w:vAlign w:val="center"/>
          </w:tcPr>
          <w:p>
            <w:pPr>
              <w:pStyle w:val="12"/>
            </w:pPr>
            <w:r>
              <w:t>2.75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用于大力开展公共文化活动和各类免费培训，实施公益文化服务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1.实施公益文化服务，提升群众的道德水平和艺术修养，保障人民群众基本文化权益。厉行节俭，专款专用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涉及村的数量</w:t>
            </w:r>
          </w:p>
        </w:tc>
        <w:tc>
          <w:tcPr>
            <w:tcW w:w="5386" w:type="dxa"/>
            <w:vAlign w:val="center"/>
          </w:tcPr>
          <w:p>
            <w:pPr>
              <w:pStyle w:val="12"/>
            </w:pPr>
            <w:r>
              <w:t>涉及文化服务村的个数</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群众文化活动参与率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≤2.75万元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满足人民日益增长的文化需求</w:t>
            </w:r>
          </w:p>
        </w:tc>
        <w:tc>
          <w:tcPr>
            <w:tcW w:w="5386" w:type="dxa"/>
            <w:vAlign w:val="center"/>
          </w:tcPr>
          <w:p>
            <w:pPr>
              <w:pStyle w:val="12"/>
            </w:pPr>
            <w:r>
              <w:t>满足人民日益增长的文化需求</w:t>
            </w:r>
          </w:p>
        </w:tc>
        <w:tc>
          <w:tcPr>
            <w:tcW w:w="2268" w:type="dxa"/>
            <w:vAlign w:val="center"/>
          </w:tcPr>
          <w:p>
            <w:pPr>
              <w:pStyle w:val="12"/>
            </w:pPr>
            <w:r>
              <w:t>效果显著</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提升基本公共文化服务水平</w:t>
            </w:r>
          </w:p>
        </w:tc>
        <w:tc>
          <w:tcPr>
            <w:tcW w:w="5386" w:type="dxa"/>
            <w:vAlign w:val="center"/>
          </w:tcPr>
          <w:p>
            <w:pPr>
              <w:pStyle w:val="12"/>
            </w:pPr>
            <w:r>
              <w:t>提升基本公共文化服务水平</w:t>
            </w:r>
          </w:p>
        </w:tc>
        <w:tc>
          <w:tcPr>
            <w:tcW w:w="2268" w:type="dxa"/>
            <w:vAlign w:val="center"/>
          </w:tcPr>
          <w:p>
            <w:pPr>
              <w:pStyle w:val="12"/>
            </w:pPr>
            <w:r>
              <w:t>长期有效</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带动其他相关消费项目增收情况</w:t>
            </w:r>
          </w:p>
        </w:tc>
        <w:tc>
          <w:tcPr>
            <w:tcW w:w="5386" w:type="dxa"/>
            <w:vAlign w:val="center"/>
          </w:tcPr>
          <w:p>
            <w:pPr>
              <w:pStyle w:val="12"/>
            </w:pPr>
            <w:r>
              <w:t>带动其他相关消费项目增收情况</w:t>
            </w:r>
          </w:p>
        </w:tc>
        <w:tc>
          <w:tcPr>
            <w:tcW w:w="2268" w:type="dxa"/>
            <w:vAlign w:val="center"/>
          </w:tcPr>
          <w:p>
            <w:pPr>
              <w:pStyle w:val="12"/>
            </w:pPr>
            <w:r>
              <w:t>增长</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14、甜玉米退出企业破拆及清运资金绩效目标表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13031324P00880410210K</w:t>
            </w:r>
          </w:p>
        </w:tc>
        <w:tc>
          <w:tcPr>
            <w:tcW w:w="2835" w:type="dxa"/>
            <w:vAlign w:val="center"/>
          </w:tcPr>
          <w:p>
            <w:pPr>
              <w:pStyle w:val="10"/>
            </w:pPr>
            <w:r>
              <w:t>项目名称</w:t>
            </w:r>
          </w:p>
        </w:tc>
        <w:tc>
          <w:tcPr>
            <w:tcW w:w="6094" w:type="dxa"/>
            <w:gridSpan w:val="3"/>
            <w:vAlign w:val="center"/>
          </w:tcPr>
          <w:p>
            <w:pPr>
              <w:pStyle w:val="12"/>
            </w:pPr>
            <w:r>
              <w:t>甜玉米退出企业破拆及清运资金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95.00</w:t>
            </w:r>
          </w:p>
        </w:tc>
        <w:tc>
          <w:tcPr>
            <w:tcW w:w="2835" w:type="dxa"/>
            <w:vAlign w:val="center"/>
          </w:tcPr>
          <w:p>
            <w:pPr>
              <w:pStyle w:val="10"/>
            </w:pPr>
            <w:r>
              <w:t>其中：财政    资金</w:t>
            </w:r>
          </w:p>
        </w:tc>
        <w:tc>
          <w:tcPr>
            <w:tcW w:w="2551" w:type="dxa"/>
            <w:vAlign w:val="center"/>
          </w:tcPr>
          <w:p>
            <w:pPr>
              <w:pStyle w:val="12"/>
            </w:pPr>
            <w:r>
              <w:t>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甜玉米退出企业破拆及清运资金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1.对已征收完成的甜玉米企业厂址内现有建筑物和建筑垃圾的破拆和清运。严格按照有关规定使用资金，专款专用，厉行节约。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项目工程量清单完成率</w:t>
            </w:r>
          </w:p>
        </w:tc>
        <w:tc>
          <w:tcPr>
            <w:tcW w:w="5386" w:type="dxa"/>
            <w:vAlign w:val="center"/>
          </w:tcPr>
          <w:p>
            <w:pPr>
              <w:pStyle w:val="12"/>
            </w:pPr>
            <w:r>
              <w:t>项目工程量清单完成率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甜玉米拆破清运工程质量合格率</w:t>
            </w:r>
          </w:p>
        </w:tc>
        <w:tc>
          <w:tcPr>
            <w:tcW w:w="5386" w:type="dxa"/>
            <w:vAlign w:val="center"/>
          </w:tcPr>
          <w:p>
            <w:pPr>
              <w:pStyle w:val="12"/>
            </w:pPr>
            <w:r>
              <w:t>甜玉米拆破清运工程质量合格率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按照合同要求及时完成</w:t>
            </w:r>
          </w:p>
        </w:tc>
        <w:tc>
          <w:tcPr>
            <w:tcW w:w="5386" w:type="dxa"/>
            <w:vAlign w:val="center"/>
          </w:tcPr>
          <w:p>
            <w:pPr>
              <w:pStyle w:val="12"/>
            </w:pPr>
            <w:r>
              <w:t xml:space="preserve"> 按照合同要求及时完成</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项目实际支出控制在预算内</w:t>
            </w:r>
          </w:p>
        </w:tc>
        <w:tc>
          <w:tcPr>
            <w:tcW w:w="2268" w:type="dxa"/>
            <w:vAlign w:val="center"/>
          </w:tcPr>
          <w:p>
            <w:pPr>
              <w:pStyle w:val="12"/>
            </w:pPr>
            <w:r>
              <w:t>≤95万元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良好</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建设工程质量提高</w:t>
            </w:r>
          </w:p>
        </w:tc>
        <w:tc>
          <w:tcPr>
            <w:tcW w:w="5386" w:type="dxa"/>
            <w:vAlign w:val="center"/>
          </w:tcPr>
          <w:p>
            <w:pPr>
              <w:pStyle w:val="12"/>
            </w:pPr>
            <w:r>
              <w:t>建设工程质量提高</w:t>
            </w:r>
          </w:p>
        </w:tc>
        <w:tc>
          <w:tcPr>
            <w:tcW w:w="2268" w:type="dxa"/>
            <w:vAlign w:val="center"/>
          </w:tcPr>
          <w:p>
            <w:pPr>
              <w:pStyle w:val="12"/>
            </w:pPr>
            <w:r>
              <w:t>有效</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无破坏</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15、下达2022年省级农村综合改革转移支付资金（沟湾村1）绩效目标表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13031323P00535810829M</w:t>
            </w:r>
          </w:p>
        </w:tc>
        <w:tc>
          <w:tcPr>
            <w:tcW w:w="2835" w:type="dxa"/>
            <w:vAlign w:val="center"/>
          </w:tcPr>
          <w:p>
            <w:pPr>
              <w:pStyle w:val="10"/>
            </w:pPr>
            <w:r>
              <w:t>项目名称</w:t>
            </w:r>
          </w:p>
        </w:tc>
        <w:tc>
          <w:tcPr>
            <w:tcW w:w="6094" w:type="dxa"/>
            <w:gridSpan w:val="3"/>
            <w:vAlign w:val="center"/>
          </w:tcPr>
          <w:p>
            <w:pPr>
              <w:pStyle w:val="12"/>
            </w:pPr>
            <w:r>
              <w:t>下达2022年省级农村综合改革转移支付资金（沟湾村1）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13.88</w:t>
            </w:r>
          </w:p>
        </w:tc>
        <w:tc>
          <w:tcPr>
            <w:tcW w:w="2835" w:type="dxa"/>
            <w:vAlign w:val="center"/>
          </w:tcPr>
          <w:p>
            <w:pPr>
              <w:pStyle w:val="10"/>
            </w:pPr>
            <w:r>
              <w:t>其中：财政    资金</w:t>
            </w:r>
          </w:p>
        </w:tc>
        <w:tc>
          <w:tcPr>
            <w:tcW w:w="2551" w:type="dxa"/>
            <w:vAlign w:val="center"/>
          </w:tcPr>
          <w:p>
            <w:pPr>
              <w:pStyle w:val="12"/>
            </w:pPr>
            <w:r>
              <w:t>13.88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下达2022年省级农村综合改革转移支付资金（沟湾村1）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1.推进贯彻落实新农村环境建设，提高项目实施地农村民居环境，便民利民。厉行节俭，专款专用。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道路面积</w:t>
            </w:r>
          </w:p>
        </w:tc>
        <w:tc>
          <w:tcPr>
            <w:tcW w:w="5386" w:type="dxa"/>
            <w:vAlign w:val="center"/>
          </w:tcPr>
          <w:p>
            <w:pPr>
              <w:pStyle w:val="12"/>
            </w:pPr>
            <w:r>
              <w:t>原路面铣刨、加铺沥青混凝土路面</w:t>
            </w:r>
          </w:p>
        </w:tc>
        <w:tc>
          <w:tcPr>
            <w:tcW w:w="2268" w:type="dxa"/>
            <w:vAlign w:val="center"/>
          </w:tcPr>
          <w:p>
            <w:pPr>
              <w:pStyle w:val="12"/>
            </w:pPr>
            <w:r>
              <w:t>1795平方米</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工程竣工及时率（%）</w:t>
            </w:r>
          </w:p>
        </w:tc>
        <w:tc>
          <w:tcPr>
            <w:tcW w:w="5386" w:type="dxa"/>
            <w:vAlign w:val="center"/>
          </w:tcPr>
          <w:p>
            <w:pPr>
              <w:pStyle w:val="12"/>
            </w:pPr>
            <w:r>
              <w:t>工程竣工及时率（%）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≤19.83万元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拉动地方经济增长</w:t>
            </w:r>
          </w:p>
        </w:tc>
        <w:tc>
          <w:tcPr>
            <w:tcW w:w="5386" w:type="dxa"/>
            <w:vAlign w:val="center"/>
          </w:tcPr>
          <w:p>
            <w:pPr>
              <w:pStyle w:val="12"/>
            </w:pPr>
            <w:r>
              <w:t>拉动地方经济增长</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推进新农村建设，便利交通</w:t>
            </w:r>
          </w:p>
        </w:tc>
        <w:tc>
          <w:tcPr>
            <w:tcW w:w="5386" w:type="dxa"/>
            <w:vAlign w:val="center"/>
          </w:tcPr>
          <w:p>
            <w:pPr>
              <w:pStyle w:val="12"/>
            </w:pPr>
            <w:r>
              <w:t>推进新农村建设，便利交通</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方便村民生产生活</w:t>
            </w:r>
          </w:p>
        </w:tc>
        <w:tc>
          <w:tcPr>
            <w:tcW w:w="5386" w:type="dxa"/>
            <w:vAlign w:val="center"/>
          </w:tcPr>
          <w:p>
            <w:pPr>
              <w:pStyle w:val="12"/>
            </w:pPr>
            <w:r>
              <w:t>方便村民生产生活</w:t>
            </w:r>
          </w:p>
        </w:tc>
        <w:tc>
          <w:tcPr>
            <w:tcW w:w="2268" w:type="dxa"/>
            <w:vAlign w:val="center"/>
          </w:tcPr>
          <w:p>
            <w:pPr>
              <w:pStyle w:val="12"/>
            </w:pPr>
            <w:r>
              <w:t>长期影响</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16、下达2023年中央农村综合改革转移支付资金（沟湾村2）绩效目标表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13031323P005358108301</w:t>
            </w:r>
          </w:p>
        </w:tc>
        <w:tc>
          <w:tcPr>
            <w:tcW w:w="2835" w:type="dxa"/>
            <w:vAlign w:val="center"/>
          </w:tcPr>
          <w:p>
            <w:pPr>
              <w:pStyle w:val="10"/>
            </w:pPr>
            <w:r>
              <w:t>项目名称</w:t>
            </w:r>
          </w:p>
        </w:tc>
        <w:tc>
          <w:tcPr>
            <w:tcW w:w="6094" w:type="dxa"/>
            <w:gridSpan w:val="3"/>
            <w:vAlign w:val="center"/>
          </w:tcPr>
          <w:p>
            <w:pPr>
              <w:pStyle w:val="12"/>
            </w:pPr>
            <w:r>
              <w:t>下达2023年中央农村综合改革转移支付资金（沟湾村2）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4.27</w:t>
            </w:r>
          </w:p>
        </w:tc>
        <w:tc>
          <w:tcPr>
            <w:tcW w:w="2835" w:type="dxa"/>
            <w:vAlign w:val="center"/>
          </w:tcPr>
          <w:p>
            <w:pPr>
              <w:pStyle w:val="10"/>
            </w:pPr>
            <w:r>
              <w:t>其中：财政    资金</w:t>
            </w:r>
          </w:p>
        </w:tc>
        <w:tc>
          <w:tcPr>
            <w:tcW w:w="2551" w:type="dxa"/>
            <w:vAlign w:val="center"/>
          </w:tcPr>
          <w:p>
            <w:pPr>
              <w:pStyle w:val="12"/>
            </w:pPr>
            <w:r>
              <w:t>4.27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下达2023年中央农村综合改革转移支付资金（沟湾村2）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1.推进贯彻落实新农村环境建设，提高项目实施地农村民居环境，便民利民。厉行节俭，专款专用。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道路面积</w:t>
            </w:r>
          </w:p>
        </w:tc>
        <w:tc>
          <w:tcPr>
            <w:tcW w:w="5386" w:type="dxa"/>
            <w:vAlign w:val="center"/>
          </w:tcPr>
          <w:p>
            <w:pPr>
              <w:pStyle w:val="12"/>
            </w:pPr>
            <w:r>
              <w:t>原路面铣刨、加铺沥青混凝土路面</w:t>
            </w:r>
          </w:p>
        </w:tc>
        <w:tc>
          <w:tcPr>
            <w:tcW w:w="2268" w:type="dxa"/>
            <w:vAlign w:val="center"/>
          </w:tcPr>
          <w:p>
            <w:pPr>
              <w:pStyle w:val="12"/>
            </w:pPr>
            <w:r>
              <w:t>1795平方米</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工程竣工及时率（%）</w:t>
            </w:r>
          </w:p>
        </w:tc>
        <w:tc>
          <w:tcPr>
            <w:tcW w:w="5386" w:type="dxa"/>
            <w:vAlign w:val="center"/>
          </w:tcPr>
          <w:p>
            <w:pPr>
              <w:pStyle w:val="12"/>
            </w:pPr>
            <w:r>
              <w:t>工程竣工及时率（%）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≤6.1万元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拉动地方经济增长</w:t>
            </w:r>
          </w:p>
        </w:tc>
        <w:tc>
          <w:tcPr>
            <w:tcW w:w="5386" w:type="dxa"/>
            <w:vAlign w:val="center"/>
          </w:tcPr>
          <w:p>
            <w:pPr>
              <w:pStyle w:val="12"/>
            </w:pPr>
            <w:r>
              <w:t>拉动地方经济增长</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推进新农村建设，便利交通</w:t>
            </w:r>
          </w:p>
        </w:tc>
        <w:tc>
          <w:tcPr>
            <w:tcW w:w="5386" w:type="dxa"/>
            <w:vAlign w:val="center"/>
          </w:tcPr>
          <w:p>
            <w:pPr>
              <w:pStyle w:val="12"/>
            </w:pPr>
            <w:r>
              <w:t>推进新农村建设，便利交通</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方便村民生产生活</w:t>
            </w:r>
          </w:p>
        </w:tc>
        <w:tc>
          <w:tcPr>
            <w:tcW w:w="5386" w:type="dxa"/>
            <w:vAlign w:val="center"/>
          </w:tcPr>
          <w:p>
            <w:pPr>
              <w:pStyle w:val="12"/>
            </w:pPr>
            <w:r>
              <w:t>方便村民生产生活</w:t>
            </w:r>
          </w:p>
        </w:tc>
        <w:tc>
          <w:tcPr>
            <w:tcW w:w="2268" w:type="dxa"/>
            <w:vAlign w:val="center"/>
          </w:tcPr>
          <w:p>
            <w:pPr>
              <w:pStyle w:val="12"/>
            </w:pPr>
            <w:r>
              <w:t>长期影响</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17、沿沟河隔离网安装工程项目资金绩效目标表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13031324P008804102071</w:t>
            </w:r>
          </w:p>
        </w:tc>
        <w:tc>
          <w:tcPr>
            <w:tcW w:w="2835" w:type="dxa"/>
            <w:vAlign w:val="center"/>
          </w:tcPr>
          <w:p>
            <w:pPr>
              <w:pStyle w:val="10"/>
            </w:pPr>
            <w:r>
              <w:t>项目名称</w:t>
            </w:r>
          </w:p>
        </w:tc>
        <w:tc>
          <w:tcPr>
            <w:tcW w:w="6094" w:type="dxa"/>
            <w:gridSpan w:val="3"/>
            <w:vAlign w:val="center"/>
          </w:tcPr>
          <w:p>
            <w:pPr>
              <w:pStyle w:val="12"/>
            </w:pPr>
            <w:r>
              <w:t>沿沟河隔离网安装工程项目资金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沿沟河隔离网安装工程项目资金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1.对未设置隔离网的点位进行安装。保障饮马河水质达标。厉行节俭，专款专用。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设置隔离网总量</w:t>
            </w:r>
          </w:p>
        </w:tc>
        <w:tc>
          <w:tcPr>
            <w:tcW w:w="5386" w:type="dxa"/>
            <w:vAlign w:val="center"/>
          </w:tcPr>
          <w:p>
            <w:pPr>
              <w:pStyle w:val="12"/>
            </w:pPr>
            <w:r>
              <w:t>设置隔离网总量</w:t>
            </w:r>
          </w:p>
        </w:tc>
        <w:tc>
          <w:tcPr>
            <w:tcW w:w="2268" w:type="dxa"/>
            <w:vAlign w:val="center"/>
          </w:tcPr>
          <w:p>
            <w:pPr>
              <w:pStyle w:val="12"/>
            </w:pPr>
            <w:r>
              <w:t>≥5000米</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隔离网安装合格率</w:t>
            </w:r>
          </w:p>
        </w:tc>
        <w:tc>
          <w:tcPr>
            <w:tcW w:w="5386" w:type="dxa"/>
            <w:vAlign w:val="center"/>
          </w:tcPr>
          <w:p>
            <w:pPr>
              <w:pStyle w:val="12"/>
            </w:pPr>
            <w:r>
              <w:t>隔离网安装合格率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在合同约定之前完成</w:t>
            </w:r>
          </w:p>
        </w:tc>
        <w:tc>
          <w:tcPr>
            <w:tcW w:w="5386" w:type="dxa"/>
            <w:vAlign w:val="center"/>
          </w:tcPr>
          <w:p>
            <w:pPr>
              <w:pStyle w:val="12"/>
            </w:pPr>
            <w:r>
              <w:t>在合同约定之前完成</w:t>
            </w:r>
          </w:p>
          <w:p>
            <w:pPr>
              <w:pStyle w:val="12"/>
            </w:pP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项目实际支出控制在预算内</w:t>
            </w:r>
          </w:p>
        </w:tc>
        <w:tc>
          <w:tcPr>
            <w:tcW w:w="2268" w:type="dxa"/>
            <w:vAlign w:val="center"/>
          </w:tcPr>
          <w:p>
            <w:pPr>
              <w:pStyle w:val="12"/>
            </w:pPr>
            <w:r>
              <w:t>≤30万元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保障生产生活用水安全</w:t>
            </w:r>
          </w:p>
        </w:tc>
        <w:tc>
          <w:tcPr>
            <w:tcW w:w="5386" w:type="dxa"/>
            <w:vAlign w:val="center"/>
          </w:tcPr>
          <w:p>
            <w:pPr>
              <w:pStyle w:val="12"/>
            </w:pPr>
            <w:r>
              <w:t>保障生产生活用水安全</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保障饮马河水质达标</w:t>
            </w:r>
          </w:p>
        </w:tc>
        <w:tc>
          <w:tcPr>
            <w:tcW w:w="5386" w:type="dxa"/>
            <w:vAlign w:val="center"/>
          </w:tcPr>
          <w:p>
            <w:pPr>
              <w:pStyle w:val="12"/>
            </w:pPr>
            <w:r>
              <w:t>保障饮马河水质达标</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长期保护饮马河水质</w:t>
            </w:r>
          </w:p>
        </w:tc>
        <w:tc>
          <w:tcPr>
            <w:tcW w:w="5386" w:type="dxa"/>
            <w:vAlign w:val="center"/>
          </w:tcPr>
          <w:p>
            <w:pPr>
              <w:pStyle w:val="12"/>
            </w:pPr>
            <w:r>
              <w:t>长期保护饮马河水质</w:t>
            </w:r>
          </w:p>
        </w:tc>
        <w:tc>
          <w:tcPr>
            <w:tcW w:w="2268" w:type="dxa"/>
            <w:vAlign w:val="center"/>
          </w:tcPr>
          <w:p>
            <w:pPr>
              <w:pStyle w:val="12"/>
            </w:pPr>
            <w:r>
              <w:t>长期有效</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18、印庄村农村饮水置换项目资金绩效目标表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13031324P00880410208L</w:t>
            </w:r>
          </w:p>
        </w:tc>
        <w:tc>
          <w:tcPr>
            <w:tcW w:w="2835" w:type="dxa"/>
            <w:vAlign w:val="center"/>
          </w:tcPr>
          <w:p>
            <w:pPr>
              <w:pStyle w:val="10"/>
            </w:pPr>
            <w:r>
              <w:t>项目名称</w:t>
            </w:r>
          </w:p>
        </w:tc>
        <w:tc>
          <w:tcPr>
            <w:tcW w:w="6094" w:type="dxa"/>
            <w:gridSpan w:val="3"/>
            <w:vAlign w:val="center"/>
          </w:tcPr>
          <w:p>
            <w:pPr>
              <w:pStyle w:val="12"/>
            </w:pPr>
            <w:r>
              <w:t>印庄村农村饮水置换项目资金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28.20</w:t>
            </w:r>
          </w:p>
        </w:tc>
        <w:tc>
          <w:tcPr>
            <w:tcW w:w="2835" w:type="dxa"/>
            <w:vAlign w:val="center"/>
          </w:tcPr>
          <w:p>
            <w:pPr>
              <w:pStyle w:val="10"/>
            </w:pPr>
            <w:r>
              <w:t>其中：财政    资金</w:t>
            </w:r>
          </w:p>
        </w:tc>
        <w:tc>
          <w:tcPr>
            <w:tcW w:w="2551" w:type="dxa"/>
            <w:vAlign w:val="center"/>
          </w:tcPr>
          <w:p>
            <w:pPr>
              <w:pStyle w:val="12"/>
            </w:pPr>
            <w:r>
              <w:t>28.20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印庄村农村饮用水置换项目资金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1.保障印庄村水质安全卫生，提升印庄村供水规模化和专业化水平。厉行节俭，专款专用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工程完成率</w:t>
            </w:r>
          </w:p>
        </w:tc>
        <w:tc>
          <w:tcPr>
            <w:tcW w:w="5386" w:type="dxa"/>
            <w:vAlign w:val="center"/>
          </w:tcPr>
          <w:p>
            <w:pPr>
              <w:pStyle w:val="12"/>
            </w:pPr>
            <w:r>
              <w:t>饮水置换项目实际完成情况</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饮水置换项目验收合格率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投入使用时间</w:t>
            </w:r>
          </w:p>
        </w:tc>
        <w:tc>
          <w:tcPr>
            <w:tcW w:w="5386" w:type="dxa"/>
            <w:vAlign w:val="center"/>
          </w:tcPr>
          <w:p>
            <w:pPr>
              <w:pStyle w:val="12"/>
            </w:pPr>
            <w:r>
              <w:t>投入使用时间</w:t>
            </w:r>
          </w:p>
        </w:tc>
        <w:tc>
          <w:tcPr>
            <w:tcW w:w="2268" w:type="dxa"/>
            <w:vAlign w:val="center"/>
          </w:tcPr>
          <w:p>
            <w:pPr>
              <w:pStyle w:val="12"/>
            </w:pPr>
            <w:r>
              <w:t>2022年12月31日之前</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总成本不超预算</w:t>
            </w:r>
          </w:p>
        </w:tc>
        <w:tc>
          <w:tcPr>
            <w:tcW w:w="2268" w:type="dxa"/>
            <w:vAlign w:val="center"/>
          </w:tcPr>
          <w:p>
            <w:pPr>
              <w:pStyle w:val="12"/>
            </w:pPr>
            <w:r>
              <w:t>≤28.2万元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5386" w:type="dxa"/>
            <w:vAlign w:val="center"/>
          </w:tcPr>
          <w:p>
            <w:pPr>
              <w:pStyle w:val="12"/>
            </w:pPr>
            <w:r>
              <w:t>提升农村供水专业化水平，促进经济发展</w:t>
            </w:r>
          </w:p>
        </w:tc>
        <w:tc>
          <w:tcPr>
            <w:tcW w:w="2268" w:type="dxa"/>
            <w:vAlign w:val="center"/>
          </w:tcPr>
          <w:p>
            <w:pPr>
              <w:pStyle w:val="12"/>
            </w:pPr>
            <w:r>
              <w:t>促进经济发展</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改善村内人居环境，提高生活水平和卫生水平</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节能环保</w:t>
            </w:r>
          </w:p>
        </w:tc>
        <w:tc>
          <w:tcPr>
            <w:tcW w:w="5386" w:type="dxa"/>
            <w:vAlign w:val="center"/>
          </w:tcPr>
          <w:p>
            <w:pPr>
              <w:pStyle w:val="12"/>
            </w:pPr>
            <w:r>
              <w:t>加强地下水资源统一管理，保护水资源和生态环境</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w:t>
            </w:r>
          </w:p>
        </w:tc>
        <w:tc>
          <w:tcPr>
            <w:tcW w:w="5386" w:type="dxa"/>
            <w:vAlign w:val="center"/>
          </w:tcPr>
          <w:p>
            <w:pPr>
              <w:pStyle w:val="12"/>
            </w:pPr>
            <w:r>
              <w:t>项目完成后能够长期为村民提供日常饮用水</w:t>
            </w:r>
          </w:p>
        </w:tc>
        <w:tc>
          <w:tcPr>
            <w:tcW w:w="2268" w:type="dxa"/>
            <w:vAlign w:val="center"/>
          </w:tcPr>
          <w:p>
            <w:pPr>
              <w:pStyle w:val="12"/>
            </w:pPr>
            <w:r>
              <w:t>长期有效</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村民满意度</w:t>
            </w:r>
          </w:p>
        </w:tc>
        <w:tc>
          <w:tcPr>
            <w:tcW w:w="2268" w:type="dxa"/>
            <w:vAlign w:val="center"/>
          </w:tcPr>
          <w:p>
            <w:pPr>
              <w:pStyle w:val="12"/>
            </w:pPr>
            <w:r>
              <w:t>≥95%</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1.80</w:t>
            </w: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秦皇岛北戴河新区大蒲河管理处本级小计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1.80</w:t>
            </w: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74.30</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0.25</w:t>
            </w:r>
          </w:p>
        </w:tc>
        <w:tc>
          <w:tcPr>
            <w:tcW w:w="964" w:type="dxa"/>
            <w:vAlign w:val="center"/>
          </w:tcPr>
          <w:p>
            <w:pPr>
              <w:pStyle w:val="11"/>
            </w:pPr>
            <w:r>
              <w:t>0.75</w:t>
            </w:r>
          </w:p>
        </w:tc>
        <w:tc>
          <w:tcPr>
            <w:tcW w:w="964" w:type="dxa"/>
            <w:vAlign w:val="center"/>
          </w:tcPr>
          <w:p>
            <w:pPr>
              <w:pStyle w:val="11"/>
            </w:pPr>
            <w:r>
              <w:t>0.75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74.30</w:t>
            </w:r>
          </w:p>
        </w:tc>
        <w:tc>
          <w:tcPr>
            <w:tcW w:w="1134" w:type="dxa"/>
            <w:vAlign w:val="center"/>
          </w:tcPr>
          <w:p>
            <w:pPr>
              <w:pStyle w:val="12"/>
            </w:pPr>
            <w:r>
              <w:t>会议桌</w:t>
            </w:r>
          </w:p>
        </w:tc>
        <w:tc>
          <w:tcPr>
            <w:tcW w:w="1134" w:type="dxa"/>
            <w:vAlign w:val="center"/>
          </w:tcPr>
          <w:p>
            <w:pPr>
              <w:pStyle w:val="12"/>
            </w:pPr>
            <w:r>
              <w:t>A05010202</w:t>
            </w:r>
          </w:p>
        </w:tc>
        <w:tc>
          <w:tcPr>
            <w:tcW w:w="709" w:type="dxa"/>
            <w:vAlign w:val="center"/>
          </w:tcPr>
          <w:p>
            <w:pPr>
              <w:pStyle w:val="13"/>
            </w:pPr>
            <w:r>
              <w:t>张</w:t>
            </w:r>
          </w:p>
        </w:tc>
        <w:tc>
          <w:tcPr>
            <w:tcW w:w="850" w:type="dxa"/>
            <w:vAlign w:val="center"/>
          </w:tcPr>
          <w:p>
            <w:pPr>
              <w:pStyle w:val="11"/>
            </w:pPr>
            <w:r>
              <w:t>11</w:t>
            </w:r>
          </w:p>
        </w:tc>
        <w:tc>
          <w:tcPr>
            <w:tcW w:w="850" w:type="dxa"/>
            <w:vAlign w:val="center"/>
          </w:tcPr>
          <w:p>
            <w:pPr>
              <w:pStyle w:val="11"/>
            </w:pPr>
            <w:r>
              <w:t>0.06</w:t>
            </w:r>
          </w:p>
        </w:tc>
        <w:tc>
          <w:tcPr>
            <w:tcW w:w="964" w:type="dxa"/>
            <w:vAlign w:val="center"/>
          </w:tcPr>
          <w:p>
            <w:pPr>
              <w:pStyle w:val="11"/>
            </w:pPr>
            <w:r>
              <w:t>0.61</w:t>
            </w:r>
          </w:p>
        </w:tc>
        <w:tc>
          <w:tcPr>
            <w:tcW w:w="964" w:type="dxa"/>
            <w:vAlign w:val="center"/>
          </w:tcPr>
          <w:p>
            <w:pPr>
              <w:pStyle w:val="11"/>
            </w:pPr>
            <w:r>
              <w:t>0.61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74.30</w:t>
            </w:r>
          </w:p>
        </w:tc>
        <w:tc>
          <w:tcPr>
            <w:tcW w:w="1134" w:type="dxa"/>
            <w:vAlign w:val="center"/>
          </w:tcPr>
          <w:p>
            <w:pPr>
              <w:pStyle w:val="12"/>
            </w:pPr>
            <w:r>
              <w:t>会议椅</w:t>
            </w:r>
          </w:p>
        </w:tc>
        <w:tc>
          <w:tcPr>
            <w:tcW w:w="1134" w:type="dxa"/>
            <w:vAlign w:val="center"/>
          </w:tcPr>
          <w:p>
            <w:pPr>
              <w:pStyle w:val="12"/>
            </w:pPr>
            <w:r>
              <w:t>A05010303</w:t>
            </w:r>
          </w:p>
        </w:tc>
        <w:tc>
          <w:tcPr>
            <w:tcW w:w="709" w:type="dxa"/>
            <w:vAlign w:val="center"/>
          </w:tcPr>
          <w:p>
            <w:pPr>
              <w:pStyle w:val="13"/>
            </w:pPr>
            <w:r>
              <w:t>张</w:t>
            </w:r>
          </w:p>
        </w:tc>
        <w:tc>
          <w:tcPr>
            <w:tcW w:w="850" w:type="dxa"/>
            <w:vAlign w:val="center"/>
          </w:tcPr>
          <w:p>
            <w:pPr>
              <w:pStyle w:val="11"/>
            </w:pPr>
            <w:r>
              <w:t>11</w:t>
            </w:r>
          </w:p>
        </w:tc>
        <w:tc>
          <w:tcPr>
            <w:tcW w:w="850" w:type="dxa"/>
            <w:vAlign w:val="center"/>
          </w:tcPr>
          <w:p>
            <w:pPr>
              <w:pStyle w:val="11"/>
            </w:pPr>
            <w:r>
              <w:t>0.04</w:t>
            </w:r>
          </w:p>
        </w:tc>
        <w:tc>
          <w:tcPr>
            <w:tcW w:w="964" w:type="dxa"/>
            <w:vAlign w:val="center"/>
          </w:tcPr>
          <w:p>
            <w:pPr>
              <w:pStyle w:val="11"/>
            </w:pPr>
            <w:r>
              <w:t>0.44</w:t>
            </w:r>
          </w:p>
        </w:tc>
        <w:tc>
          <w:tcPr>
            <w:tcW w:w="964" w:type="dxa"/>
            <w:vAlign w:val="center"/>
          </w:tcPr>
          <w:p>
            <w:pPr>
              <w:pStyle w:val="11"/>
            </w:pPr>
            <w:r>
              <w:t>0.44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0.44</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秦皇岛北戴河新区大蒲河管理处本级上年末固定资产金额为106.11万元（详见下表）。本年度拟购置固定资产总额为50.00万元，已按要求列入政府采购预算，详见政府采购预算表。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248</w:t>
            </w:r>
          </w:p>
        </w:tc>
        <w:tc>
          <w:tcPr>
            <w:tcW w:w="2835" w:type="dxa"/>
            <w:vAlign w:val="center"/>
          </w:tcPr>
          <w:p>
            <w:pPr>
              <w:pStyle w:val="11"/>
            </w:pPr>
            <w:r>
              <w:t>106.11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C659E"/>
    <w:multiLevelType w:val="singleLevel"/>
    <w:tmpl w:val="1FFC659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D50B4C"/>
    <w:rsid w:val="2C1837E7"/>
    <w:rsid w:val="37F40FE3"/>
    <w:rsid w:val="425B03C6"/>
    <w:rsid w:val="4FC7505D"/>
    <w:rsid w:val="671B17B8"/>
    <w:rsid w:val="6F9368FC"/>
    <w:rsid w:val="76F604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2024-02-29T15:00:27Z</dcterms:created>
  <dcterms:modified xsi:type="dcterms:W3CDTF">2024-02-29T07:00:27Z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2024-02-29T15:00:29Z</dcterms:created>
  <dcterms:modified xsi:type="dcterms:W3CDTF">2024-02-29T07:00:29Z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2024-02-29T15:00:29Z</dcterms:created>
  <dcterms:modified xsi:type="dcterms:W3CDTF">2024-02-29T07:00:29Z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2024-02-29T15:00:29Z</dcterms:created>
  <dcterms:modified xsi:type="dcterms:W3CDTF">2024-02-29T07:00:29Z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2024-02-29T15:00:29Z</dcterms:created>
  <dcterms:modified xsi:type="dcterms:W3CDTF">2024-02-29T07:00:29Z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2024-02-29T15:00:29Z</dcterms:created>
  <dcterms:modified xsi:type="dcterms:W3CDTF">2024-02-29T07:00:29Z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2024-02-29T15:00:23Z</dcterms:created>
  <dcterms:modified xsi:type="dcterms:W3CDTF">2024-02-29T07:00:23Z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2024-02-29T15:00:29Z</dcterms:created>
  <dcterms:modified xsi:type="dcterms:W3CDTF">2024-02-29T07:00:29Z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2024-02-29T15:00:28Z</dcterms:created>
  <dcterms:modified xsi:type="dcterms:W3CDTF">2024-02-29T07:00:28Z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2024-02-29T15:00:28Z</dcterms:created>
  <dcterms:modified xsi:type="dcterms:W3CDTF">2024-02-29T07:00:28Z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2024-02-29T15:00:28Z</dcterms:created>
  <dcterms:modified xsi:type="dcterms:W3CDTF">2024-02-29T07:00:28Z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2024-02-29T15:00:28Z</dcterms:created>
  <dcterms:modified xsi:type="dcterms:W3CDTF">2024-02-29T07:00:28Z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2024-02-29T15:00:27Z</dcterms:created>
  <dcterms:modified xsi:type="dcterms:W3CDTF">2024-02-29T07:00:27Z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2024-02-29T15:00:28Z</dcterms:created>
  <dcterms:modified xsi:type="dcterms:W3CDTF">2024-02-29T07:00:28Z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2024-02-29T15:00:28Z</dcterms:created>
  <dcterms:modified xsi:type="dcterms:W3CDTF">2024-02-29T07:00:28Z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2024-02-29T15:00:27Z</dcterms:created>
  <dcterms:modified xsi:type="dcterms:W3CDTF">2024-02-29T07:00:27Z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2024-02-29T15:00:27Z</dcterms:created>
  <dcterms:modified xsi:type="dcterms:W3CDTF">2024-02-29T07:00:27Z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2024-02-29T15:00:27Z</dcterms:created>
  <dcterms:modified xsi:type="dcterms:W3CDTF">2024-02-29T07:00:27Z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2024-02-29T15:00:20Z</dcterms:created>
  <dcterms:modified xsi:type="dcterms:W3CDTF">2024-02-29T07:00:20Z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2024-02-29T15:00:26Z</dcterms:created>
  <dcterms:modified xsi:type="dcterms:W3CDTF">2024-02-29T07:00:26Z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2024-02-29T15:00:30Z</dcterms:created>
  <dcterms:modified xsi:type="dcterms:W3CDTF">2024-02-29T07:00:30Z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be50c59-b4e5-4b48-8169-d2ef566a61c7}">
  <ds:schemaRefs/>
</ds:datastoreItem>
</file>

<file path=customXml/itemProps10.xml><?xml version="1.0" encoding="utf-8"?>
<ds:datastoreItem xmlns:ds="http://schemas.openxmlformats.org/officeDocument/2006/customXml" ds:itemID="{a6deaefa-ebc1-407e-9c1b-5855b97d65e5}">
  <ds:schemaRefs/>
</ds:datastoreItem>
</file>

<file path=customXml/itemProps11.xml><?xml version="1.0" encoding="utf-8"?>
<ds:datastoreItem xmlns:ds="http://schemas.openxmlformats.org/officeDocument/2006/customXml" ds:itemID="{3b68edc1-292a-4c6c-8e98-05c4a5d14805}">
  <ds:schemaRefs/>
</ds:datastoreItem>
</file>

<file path=customXml/itemProps12.xml><?xml version="1.0" encoding="utf-8"?>
<ds:datastoreItem xmlns:ds="http://schemas.openxmlformats.org/officeDocument/2006/customXml" ds:itemID="{eb8e7023-6cad-4439-a4c2-37edcca1dad2}">
  <ds:schemaRefs/>
</ds:datastoreItem>
</file>

<file path=customXml/itemProps13.xml><?xml version="1.0" encoding="utf-8"?>
<ds:datastoreItem xmlns:ds="http://schemas.openxmlformats.org/officeDocument/2006/customXml" ds:itemID="{de581039-ebf7-469b-8327-2ffa8fe64b8e}">
  <ds:schemaRefs/>
</ds:datastoreItem>
</file>

<file path=customXml/itemProps14.xml><?xml version="1.0" encoding="utf-8"?>
<ds:datastoreItem xmlns:ds="http://schemas.openxmlformats.org/officeDocument/2006/customXml" ds:itemID="{d6f4aa35-5816-4651-8a92-482b3db56cf7}">
  <ds:schemaRefs/>
</ds:datastoreItem>
</file>

<file path=customXml/itemProps15.xml><?xml version="1.0" encoding="utf-8"?>
<ds:datastoreItem xmlns:ds="http://schemas.openxmlformats.org/officeDocument/2006/customXml" ds:itemID="{4a0e019f-565e-474a-8d1e-0b68d7ed350e}">
  <ds:schemaRefs/>
</ds:datastoreItem>
</file>

<file path=customXml/itemProps16.xml><?xml version="1.0" encoding="utf-8"?>
<ds:datastoreItem xmlns:ds="http://schemas.openxmlformats.org/officeDocument/2006/customXml" ds:itemID="{e5be7446-d761-4312-a2b1-464329ed90e4}">
  <ds:schemaRefs/>
</ds:datastoreItem>
</file>

<file path=customXml/itemProps17.xml><?xml version="1.0" encoding="utf-8"?>
<ds:datastoreItem xmlns:ds="http://schemas.openxmlformats.org/officeDocument/2006/customXml" ds:itemID="{4d7f9336-09a1-4ac7-ba86-ab72f7f49cc7}">
  <ds:schemaRefs/>
</ds:datastoreItem>
</file>

<file path=customXml/itemProps18.xml><?xml version="1.0" encoding="utf-8"?>
<ds:datastoreItem xmlns:ds="http://schemas.openxmlformats.org/officeDocument/2006/customXml" ds:itemID="{46d11471-e5cf-4242-9125-dd4f2af4b7b0}">
  <ds:schemaRefs/>
</ds:datastoreItem>
</file>

<file path=customXml/itemProps19.xml><?xml version="1.0" encoding="utf-8"?>
<ds:datastoreItem xmlns:ds="http://schemas.openxmlformats.org/officeDocument/2006/customXml" ds:itemID="{6262bad1-1d69-4850-8a4e-2ac3b19aea9f}">
  <ds:schemaRefs/>
</ds:datastoreItem>
</file>

<file path=customXml/itemProps2.xml><?xml version="1.0" encoding="utf-8"?>
<ds:datastoreItem xmlns:ds="http://schemas.openxmlformats.org/officeDocument/2006/customXml" ds:itemID="{19d0e24f-7e8a-45ef-a2f2-cdf99642fd73}">
  <ds:schemaRefs/>
</ds:datastoreItem>
</file>

<file path=customXml/itemProps20.xml><?xml version="1.0" encoding="utf-8"?>
<ds:datastoreItem xmlns:ds="http://schemas.openxmlformats.org/officeDocument/2006/customXml" ds:itemID="{4e740732-1ec6-4341-9b4d-e8e533dec827}">
  <ds:schemaRefs/>
</ds:datastoreItem>
</file>

<file path=customXml/itemProps21.xml><?xml version="1.0" encoding="utf-8"?>
<ds:datastoreItem xmlns:ds="http://schemas.openxmlformats.org/officeDocument/2006/customXml" ds:itemID="{dfd6746f-b5a6-4a76-ac75-15fcdbbdba4a}">
  <ds:schemaRefs/>
</ds:datastoreItem>
</file>

<file path=customXml/itemProps22.xml><?xml version="1.0" encoding="utf-8"?>
<ds:datastoreItem xmlns:ds="http://schemas.openxmlformats.org/officeDocument/2006/customXml" ds:itemID="{a496d08c-0539-4075-bb42-aaf0dfb29d37}">
  <ds:schemaRefs/>
</ds:datastoreItem>
</file>

<file path=customXml/itemProps23.xml><?xml version="1.0" encoding="utf-8"?>
<ds:datastoreItem xmlns:ds="http://schemas.openxmlformats.org/officeDocument/2006/customXml" ds:itemID="{15736597-23b3-446b-85a6-572c6d24f398}">
  <ds:schemaRefs/>
</ds:datastoreItem>
</file>

<file path=customXml/itemProps24.xml><?xml version="1.0" encoding="utf-8"?>
<ds:datastoreItem xmlns:ds="http://schemas.openxmlformats.org/officeDocument/2006/customXml" ds:itemID="{4289e971-8bc4-4395-93a9-4ef60a761055}">
  <ds:schemaRefs/>
</ds:datastoreItem>
</file>

<file path=customXml/itemProps25.xml><?xml version="1.0" encoding="utf-8"?>
<ds:datastoreItem xmlns:ds="http://schemas.openxmlformats.org/officeDocument/2006/customXml" ds:itemID="{c3cf29e1-8c8b-4808-a62c-e3a9e6fb8316}">
  <ds:schemaRefs/>
</ds:datastoreItem>
</file>

<file path=customXml/itemProps26.xml><?xml version="1.0" encoding="utf-8"?>
<ds:datastoreItem xmlns:ds="http://schemas.openxmlformats.org/officeDocument/2006/customXml" ds:itemID="{819be1e0-08a2-4cf2-9ea9-9a2b7e4c362f}">
  <ds:schemaRefs/>
</ds:datastoreItem>
</file>

<file path=customXml/itemProps27.xml><?xml version="1.0" encoding="utf-8"?>
<ds:datastoreItem xmlns:ds="http://schemas.openxmlformats.org/officeDocument/2006/customXml" ds:itemID="{979d343d-569c-41fb-985f-103d024f2561}">
  <ds:schemaRefs/>
</ds:datastoreItem>
</file>

<file path=customXml/itemProps28.xml><?xml version="1.0" encoding="utf-8"?>
<ds:datastoreItem xmlns:ds="http://schemas.openxmlformats.org/officeDocument/2006/customXml" ds:itemID="{b22bd267-d43d-486e-9c1e-a6fadf957031}">
  <ds:schemaRefs/>
</ds:datastoreItem>
</file>

<file path=customXml/itemProps29.xml><?xml version="1.0" encoding="utf-8"?>
<ds:datastoreItem xmlns:ds="http://schemas.openxmlformats.org/officeDocument/2006/customXml" ds:itemID="{3f42ef13-12a6-4137-9684-8c3eec9a4eca}">
  <ds:schemaRefs/>
</ds:datastoreItem>
</file>

<file path=customXml/itemProps3.xml><?xml version="1.0" encoding="utf-8"?>
<ds:datastoreItem xmlns:ds="http://schemas.openxmlformats.org/officeDocument/2006/customXml" ds:itemID="{2536da87-1673-43b9-95aa-5b8a7f7413ca}">
  <ds:schemaRefs/>
</ds:datastoreItem>
</file>

<file path=customXml/itemProps30.xml><?xml version="1.0" encoding="utf-8"?>
<ds:datastoreItem xmlns:ds="http://schemas.openxmlformats.org/officeDocument/2006/customXml" ds:itemID="{b0d77ff8-1dde-4cd1-8628-eac3afb8c97f}">
  <ds:schemaRefs/>
</ds:datastoreItem>
</file>

<file path=customXml/itemProps31.xml><?xml version="1.0" encoding="utf-8"?>
<ds:datastoreItem xmlns:ds="http://schemas.openxmlformats.org/officeDocument/2006/customXml" ds:itemID="{4ac763d8-e89f-4a47-b294-f4fcd89cd380}">
  <ds:schemaRefs/>
</ds:datastoreItem>
</file>

<file path=customXml/itemProps32.xml><?xml version="1.0" encoding="utf-8"?>
<ds:datastoreItem xmlns:ds="http://schemas.openxmlformats.org/officeDocument/2006/customXml" ds:itemID="{d58bbcb7-e736-47cd-9dca-28a32886e818}">
  <ds:schemaRefs/>
</ds:datastoreItem>
</file>

<file path=customXml/itemProps33.xml><?xml version="1.0" encoding="utf-8"?>
<ds:datastoreItem xmlns:ds="http://schemas.openxmlformats.org/officeDocument/2006/customXml" ds:itemID="{ae8ece2a-ecf3-4aff-b63e-a3b910330f74}">
  <ds:schemaRefs/>
</ds:datastoreItem>
</file>

<file path=customXml/itemProps34.xml><?xml version="1.0" encoding="utf-8"?>
<ds:datastoreItem xmlns:ds="http://schemas.openxmlformats.org/officeDocument/2006/customXml" ds:itemID="{c10c7e66-d24c-4022-8293-8171fa520b11}">
  <ds:schemaRefs/>
</ds:datastoreItem>
</file>

<file path=customXml/itemProps35.xml><?xml version="1.0" encoding="utf-8"?>
<ds:datastoreItem xmlns:ds="http://schemas.openxmlformats.org/officeDocument/2006/customXml" ds:itemID="{72e75e8a-3810-4deb-b9ef-7613a8d86927}">
  <ds:schemaRefs/>
</ds:datastoreItem>
</file>

<file path=customXml/itemProps36.xml><?xml version="1.0" encoding="utf-8"?>
<ds:datastoreItem xmlns:ds="http://schemas.openxmlformats.org/officeDocument/2006/customXml" ds:itemID="{77cd3161-9d3e-46e9-b80b-6c67d21e075e}">
  <ds:schemaRefs/>
</ds:datastoreItem>
</file>

<file path=customXml/itemProps37.xml><?xml version="1.0" encoding="utf-8"?>
<ds:datastoreItem xmlns:ds="http://schemas.openxmlformats.org/officeDocument/2006/customXml" ds:itemID="{47af75a9-5c1a-4273-8a51-8bb730890116}">
  <ds:schemaRefs/>
</ds:datastoreItem>
</file>

<file path=customXml/itemProps38.xml><?xml version="1.0" encoding="utf-8"?>
<ds:datastoreItem xmlns:ds="http://schemas.openxmlformats.org/officeDocument/2006/customXml" ds:itemID="{38d67438-7912-463c-8e23-6b683c8299ed}">
  <ds:schemaRefs/>
</ds:datastoreItem>
</file>

<file path=customXml/itemProps39.xml><?xml version="1.0" encoding="utf-8"?>
<ds:datastoreItem xmlns:ds="http://schemas.openxmlformats.org/officeDocument/2006/customXml" ds:itemID="{96e0fd7c-f4ef-4fd5-9c2c-e348bdc89965}">
  <ds:schemaRefs/>
</ds:datastoreItem>
</file>

<file path=customXml/itemProps4.xml><?xml version="1.0" encoding="utf-8"?>
<ds:datastoreItem xmlns:ds="http://schemas.openxmlformats.org/officeDocument/2006/customXml" ds:itemID="{c0b91b17-e239-4861-976b-accfef04d749}">
  <ds:schemaRefs/>
</ds:datastoreItem>
</file>

<file path=customXml/itemProps40.xml><?xml version="1.0" encoding="utf-8"?>
<ds:datastoreItem xmlns:ds="http://schemas.openxmlformats.org/officeDocument/2006/customXml" ds:itemID="{1990e473-752b-4295-ac62-4959c5f2a09e}">
  <ds:schemaRefs/>
</ds:datastoreItem>
</file>

<file path=customXml/itemProps41.xml><?xml version="1.0" encoding="utf-8"?>
<ds:datastoreItem xmlns:ds="http://schemas.openxmlformats.org/officeDocument/2006/customXml" ds:itemID="{b3ee8bf9-df68-4e4c-86f1-6103a6eaedf3}">
  <ds:schemaRefs/>
</ds:datastoreItem>
</file>

<file path=customXml/itemProps42.xml><?xml version="1.0" encoding="utf-8"?>
<ds:datastoreItem xmlns:ds="http://schemas.openxmlformats.org/officeDocument/2006/customXml" ds:itemID="{783d9643-b5a8-48ec-8695-c218d342c4a3}">
  <ds:schemaRefs/>
</ds:datastoreItem>
</file>

<file path=customXml/itemProps5.xml><?xml version="1.0" encoding="utf-8"?>
<ds:datastoreItem xmlns:ds="http://schemas.openxmlformats.org/officeDocument/2006/customXml" ds:itemID="{b51378ae-24b3-4d8c-8573-e5a5167cff22}">
  <ds:schemaRefs/>
</ds:datastoreItem>
</file>

<file path=customXml/itemProps6.xml><?xml version="1.0" encoding="utf-8"?>
<ds:datastoreItem xmlns:ds="http://schemas.openxmlformats.org/officeDocument/2006/customXml" ds:itemID="{99c57cfc-f3ec-4a4c-8992-5ba1d6785776}">
  <ds:schemaRefs/>
</ds:datastoreItem>
</file>

<file path=customXml/itemProps7.xml><?xml version="1.0" encoding="utf-8"?>
<ds:datastoreItem xmlns:ds="http://schemas.openxmlformats.org/officeDocument/2006/customXml" ds:itemID="{0e879e77-4757-4934-8f77-ccebda5437f1}">
  <ds:schemaRefs/>
</ds:datastoreItem>
</file>

<file path=customXml/itemProps8.xml><?xml version="1.0" encoding="utf-8"?>
<ds:datastoreItem xmlns:ds="http://schemas.openxmlformats.org/officeDocument/2006/customXml" ds:itemID="{e6e6929d-07bf-4856-a1ce-121891883808}">
  <ds:schemaRefs/>
</ds:datastoreItem>
</file>

<file path=customXml/itemProps9.xml><?xml version="1.0" encoding="utf-8"?>
<ds:datastoreItem xmlns:ds="http://schemas.openxmlformats.org/officeDocument/2006/customXml" ds:itemID="{51fad037-844f-4535-baa8-3d45abcf1be4}">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2024-02-29T15:00:00Z</dcterms:created>
  <dc:creator>Administrator</dc:creator>
  <cp:lastModifiedBy>Administrator</cp:lastModifiedBy>
  <dcterms:modified xsi:type="dcterms:W3CDTF">2024-08-13T07:59:34Z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234555D539F24FFC9F2E196C80BA3212</vt:lpwstr>
  </property>
</Properties>
</file>