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一、秦皇岛北戴河新区招商和投资促进局本级收支预算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一、秦皇岛北戴河新区招商和投资促进局本级收支预算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984.59</w:t>
            </w:r>
          </w:p>
        </w:tc>
        <w:tc>
          <w:tcPr>
            <w:tcW w:w="4535" w:type="dxa"/>
            <w:vAlign w:val="center"/>
          </w:tcPr>
          <w:p>
            <w:pPr>
              <w:pStyle w:val="12"/>
            </w:pPr>
            <w:r>
              <w:t>一、一般公共服务支出</w:t>
            </w:r>
          </w:p>
        </w:tc>
        <w:tc>
          <w:tcPr>
            <w:tcW w:w="2126" w:type="dxa"/>
            <w:vAlign w:val="center"/>
          </w:tcPr>
          <w:p>
            <w:pPr>
              <w:pStyle w:val="11"/>
            </w:pPr>
            <w:r>
              <w:t>832.99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984.59</w:t>
            </w:r>
          </w:p>
        </w:tc>
        <w:tc>
          <w:tcPr>
            <w:tcW w:w="4535" w:type="dxa"/>
            <w:vAlign w:val="center"/>
          </w:tcPr>
          <w:p>
            <w:pPr>
              <w:pStyle w:val="14"/>
            </w:pPr>
            <w:r>
              <w:t>本年支出合计</w:t>
            </w:r>
          </w:p>
        </w:tc>
        <w:tc>
          <w:tcPr>
            <w:tcW w:w="2126" w:type="dxa"/>
            <w:vAlign w:val="center"/>
          </w:tcPr>
          <w:p>
            <w:pPr>
              <w:pStyle w:val="15"/>
            </w:pPr>
            <w:r>
              <w:t>984.59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984.59</w:t>
            </w:r>
          </w:p>
        </w:tc>
        <w:tc>
          <w:tcPr>
            <w:tcW w:w="4535" w:type="dxa"/>
            <w:vAlign w:val="center"/>
          </w:tcPr>
          <w:p>
            <w:pPr>
              <w:pStyle w:val="14"/>
            </w:pPr>
            <w:r>
              <w:t>支出总计</w:t>
            </w:r>
          </w:p>
        </w:tc>
        <w:tc>
          <w:tcPr>
            <w:tcW w:w="2126" w:type="dxa"/>
            <w:vAlign w:val="center"/>
          </w:tcPr>
          <w:p>
            <w:pPr>
              <w:pStyle w:val="15"/>
            </w:pPr>
            <w:r>
              <w:t>984.59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984.59</w:t>
            </w:r>
          </w:p>
        </w:tc>
        <w:tc>
          <w:tcPr>
            <w:tcW w:w="1134" w:type="dxa"/>
            <w:vAlign w:val="center"/>
          </w:tcPr>
          <w:p>
            <w:pPr>
              <w:pStyle w:val="15"/>
            </w:pPr>
            <w:r>
              <w:t>984.59</w:t>
            </w:r>
          </w:p>
        </w:tc>
        <w:tc>
          <w:tcPr>
            <w:tcW w:w="1134" w:type="dxa"/>
            <w:vAlign w:val="center"/>
          </w:tcPr>
          <w:p>
            <w:pPr>
              <w:pStyle w:val="15"/>
            </w:pPr>
            <w:r>
              <w:t>984.59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832.99</w:t>
            </w:r>
          </w:p>
        </w:tc>
        <w:tc>
          <w:tcPr>
            <w:tcW w:w="1134" w:type="dxa"/>
            <w:vAlign w:val="center"/>
          </w:tcPr>
          <w:p>
            <w:pPr>
              <w:pStyle w:val="11"/>
            </w:pPr>
            <w:r>
              <w:t>832.99</w:t>
            </w:r>
          </w:p>
        </w:tc>
        <w:tc>
          <w:tcPr>
            <w:tcW w:w="1134" w:type="dxa"/>
            <w:vAlign w:val="center"/>
          </w:tcPr>
          <w:p>
            <w:pPr>
              <w:pStyle w:val="11"/>
            </w:pPr>
            <w:r>
              <w:t>832.99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832.99</w:t>
            </w:r>
          </w:p>
        </w:tc>
        <w:tc>
          <w:tcPr>
            <w:tcW w:w="1134" w:type="dxa"/>
            <w:vAlign w:val="center"/>
          </w:tcPr>
          <w:p>
            <w:pPr>
              <w:pStyle w:val="11"/>
            </w:pPr>
            <w:r>
              <w:t>832.99</w:t>
            </w:r>
          </w:p>
        </w:tc>
        <w:tc>
          <w:tcPr>
            <w:tcW w:w="1134" w:type="dxa"/>
            <w:vAlign w:val="center"/>
          </w:tcPr>
          <w:p>
            <w:pPr>
              <w:pStyle w:val="11"/>
            </w:pPr>
            <w:r>
              <w:t>832.99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422.99</w:t>
            </w:r>
          </w:p>
        </w:tc>
        <w:tc>
          <w:tcPr>
            <w:tcW w:w="1134" w:type="dxa"/>
            <w:vAlign w:val="center"/>
          </w:tcPr>
          <w:p>
            <w:pPr>
              <w:pStyle w:val="11"/>
            </w:pPr>
            <w:r>
              <w:t>422.99</w:t>
            </w:r>
          </w:p>
        </w:tc>
        <w:tc>
          <w:tcPr>
            <w:tcW w:w="1134" w:type="dxa"/>
            <w:vAlign w:val="center"/>
          </w:tcPr>
          <w:p>
            <w:pPr>
              <w:pStyle w:val="11"/>
            </w:pPr>
            <w:r>
              <w:t>422.99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410.00</w:t>
            </w:r>
          </w:p>
        </w:tc>
        <w:tc>
          <w:tcPr>
            <w:tcW w:w="1134" w:type="dxa"/>
            <w:vAlign w:val="center"/>
          </w:tcPr>
          <w:p>
            <w:pPr>
              <w:pStyle w:val="11"/>
            </w:pPr>
            <w:r>
              <w:t>410.00</w:t>
            </w:r>
          </w:p>
        </w:tc>
        <w:tc>
          <w:tcPr>
            <w:tcW w:w="1134" w:type="dxa"/>
            <w:vAlign w:val="center"/>
          </w:tcPr>
          <w:p>
            <w:pPr>
              <w:pStyle w:val="11"/>
            </w:pPr>
            <w:r>
              <w:t>410.00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64.28</w:t>
            </w:r>
          </w:p>
        </w:tc>
        <w:tc>
          <w:tcPr>
            <w:tcW w:w="1134" w:type="dxa"/>
            <w:vAlign w:val="center"/>
          </w:tcPr>
          <w:p>
            <w:pPr>
              <w:pStyle w:val="11"/>
            </w:pPr>
            <w:r>
              <w:t>64.28</w:t>
            </w:r>
          </w:p>
        </w:tc>
        <w:tc>
          <w:tcPr>
            <w:tcW w:w="1134" w:type="dxa"/>
            <w:vAlign w:val="center"/>
          </w:tcPr>
          <w:p>
            <w:pPr>
              <w:pStyle w:val="11"/>
            </w:pPr>
            <w:r>
              <w:t>64.28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64.28</w:t>
            </w:r>
          </w:p>
        </w:tc>
        <w:tc>
          <w:tcPr>
            <w:tcW w:w="1134" w:type="dxa"/>
            <w:vAlign w:val="center"/>
          </w:tcPr>
          <w:p>
            <w:pPr>
              <w:pStyle w:val="11"/>
            </w:pPr>
            <w:r>
              <w:t>64.28</w:t>
            </w:r>
          </w:p>
        </w:tc>
        <w:tc>
          <w:tcPr>
            <w:tcW w:w="1134" w:type="dxa"/>
            <w:vAlign w:val="center"/>
          </w:tcPr>
          <w:p>
            <w:pPr>
              <w:pStyle w:val="11"/>
            </w:pPr>
            <w:r>
              <w:t>64.28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8.01</w:t>
            </w:r>
          </w:p>
        </w:tc>
        <w:tc>
          <w:tcPr>
            <w:tcW w:w="1134" w:type="dxa"/>
            <w:vAlign w:val="center"/>
          </w:tcPr>
          <w:p>
            <w:pPr>
              <w:pStyle w:val="11"/>
            </w:pPr>
            <w:r>
              <w:t>8.01</w:t>
            </w:r>
          </w:p>
        </w:tc>
        <w:tc>
          <w:tcPr>
            <w:tcW w:w="1134" w:type="dxa"/>
            <w:vAlign w:val="center"/>
          </w:tcPr>
          <w:p>
            <w:pPr>
              <w:pStyle w:val="11"/>
            </w:pPr>
            <w:r>
              <w:t>8.01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53.29</w:t>
            </w:r>
          </w:p>
        </w:tc>
        <w:tc>
          <w:tcPr>
            <w:tcW w:w="1134" w:type="dxa"/>
            <w:vAlign w:val="center"/>
          </w:tcPr>
          <w:p>
            <w:pPr>
              <w:pStyle w:val="11"/>
            </w:pPr>
            <w:r>
              <w:t>53.29</w:t>
            </w:r>
          </w:p>
        </w:tc>
        <w:tc>
          <w:tcPr>
            <w:tcW w:w="1134" w:type="dxa"/>
            <w:vAlign w:val="center"/>
          </w:tcPr>
          <w:p>
            <w:pPr>
              <w:pStyle w:val="11"/>
            </w:pPr>
            <w:r>
              <w:t>53.29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43.86</w:t>
            </w:r>
          </w:p>
        </w:tc>
        <w:tc>
          <w:tcPr>
            <w:tcW w:w="1134" w:type="dxa"/>
            <w:vAlign w:val="center"/>
          </w:tcPr>
          <w:p>
            <w:pPr>
              <w:pStyle w:val="11"/>
            </w:pPr>
            <w:r>
              <w:t>43.86</w:t>
            </w:r>
          </w:p>
        </w:tc>
        <w:tc>
          <w:tcPr>
            <w:tcW w:w="1134" w:type="dxa"/>
            <w:vAlign w:val="center"/>
          </w:tcPr>
          <w:p>
            <w:pPr>
              <w:pStyle w:val="11"/>
            </w:pPr>
            <w:r>
              <w:t>43.86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43.86</w:t>
            </w:r>
          </w:p>
        </w:tc>
        <w:tc>
          <w:tcPr>
            <w:tcW w:w="1134" w:type="dxa"/>
            <w:vAlign w:val="center"/>
          </w:tcPr>
          <w:p>
            <w:pPr>
              <w:pStyle w:val="11"/>
            </w:pPr>
            <w:r>
              <w:t>43.86</w:t>
            </w:r>
          </w:p>
        </w:tc>
        <w:tc>
          <w:tcPr>
            <w:tcW w:w="1134" w:type="dxa"/>
            <w:vAlign w:val="center"/>
          </w:tcPr>
          <w:p>
            <w:pPr>
              <w:pStyle w:val="11"/>
            </w:pPr>
            <w:r>
              <w:t>43.86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43.86</w:t>
            </w:r>
          </w:p>
        </w:tc>
        <w:tc>
          <w:tcPr>
            <w:tcW w:w="1134" w:type="dxa"/>
            <w:vAlign w:val="center"/>
          </w:tcPr>
          <w:p>
            <w:pPr>
              <w:pStyle w:val="11"/>
            </w:pPr>
            <w:r>
              <w:t>43.86</w:t>
            </w:r>
          </w:p>
        </w:tc>
        <w:tc>
          <w:tcPr>
            <w:tcW w:w="1134" w:type="dxa"/>
            <w:vAlign w:val="center"/>
          </w:tcPr>
          <w:p>
            <w:pPr>
              <w:pStyle w:val="11"/>
            </w:pPr>
            <w:r>
              <w:t>43.86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43.45</w:t>
            </w:r>
          </w:p>
        </w:tc>
        <w:tc>
          <w:tcPr>
            <w:tcW w:w="1134" w:type="dxa"/>
            <w:vAlign w:val="center"/>
          </w:tcPr>
          <w:p>
            <w:pPr>
              <w:pStyle w:val="11"/>
            </w:pPr>
            <w:r>
              <w:t>43.45</w:t>
            </w:r>
          </w:p>
        </w:tc>
        <w:tc>
          <w:tcPr>
            <w:tcW w:w="1134" w:type="dxa"/>
            <w:vAlign w:val="center"/>
          </w:tcPr>
          <w:p>
            <w:pPr>
              <w:pStyle w:val="11"/>
            </w:pPr>
            <w:r>
              <w:t>43.45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43.45</w:t>
            </w:r>
          </w:p>
        </w:tc>
        <w:tc>
          <w:tcPr>
            <w:tcW w:w="1134" w:type="dxa"/>
            <w:vAlign w:val="center"/>
          </w:tcPr>
          <w:p>
            <w:pPr>
              <w:pStyle w:val="11"/>
            </w:pPr>
            <w:r>
              <w:t>43.45</w:t>
            </w:r>
          </w:p>
        </w:tc>
        <w:tc>
          <w:tcPr>
            <w:tcW w:w="1134" w:type="dxa"/>
            <w:vAlign w:val="center"/>
          </w:tcPr>
          <w:p>
            <w:pPr>
              <w:pStyle w:val="11"/>
            </w:pPr>
            <w:r>
              <w:t>43.45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43.45</w:t>
            </w:r>
          </w:p>
        </w:tc>
        <w:tc>
          <w:tcPr>
            <w:tcW w:w="1134" w:type="dxa"/>
            <w:vAlign w:val="center"/>
          </w:tcPr>
          <w:p>
            <w:pPr>
              <w:pStyle w:val="11"/>
            </w:pPr>
            <w:r>
              <w:t>43.45</w:t>
            </w:r>
          </w:p>
        </w:tc>
        <w:tc>
          <w:tcPr>
            <w:tcW w:w="1134" w:type="dxa"/>
            <w:vAlign w:val="center"/>
          </w:tcPr>
          <w:p>
            <w:pPr>
              <w:pStyle w:val="11"/>
            </w:pPr>
            <w:r>
              <w:t>43.45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984.59</w:t>
            </w:r>
          </w:p>
        </w:tc>
        <w:tc>
          <w:tcPr>
            <w:tcW w:w="1361" w:type="dxa"/>
            <w:vAlign w:val="center"/>
          </w:tcPr>
          <w:p>
            <w:pPr>
              <w:pStyle w:val="15"/>
            </w:pPr>
            <w:r>
              <w:t>574.59</w:t>
            </w:r>
          </w:p>
        </w:tc>
        <w:tc>
          <w:tcPr>
            <w:tcW w:w="1361" w:type="dxa"/>
            <w:vAlign w:val="center"/>
          </w:tcPr>
          <w:p>
            <w:pPr>
              <w:pStyle w:val="15"/>
            </w:pPr>
            <w:r>
              <w:t>410.00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832.99</w:t>
            </w:r>
          </w:p>
        </w:tc>
        <w:tc>
          <w:tcPr>
            <w:tcW w:w="1361" w:type="dxa"/>
            <w:vAlign w:val="center"/>
          </w:tcPr>
          <w:p>
            <w:pPr>
              <w:pStyle w:val="11"/>
            </w:pPr>
            <w:r>
              <w:t>422.99</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832.99</w:t>
            </w:r>
          </w:p>
        </w:tc>
        <w:tc>
          <w:tcPr>
            <w:tcW w:w="1361" w:type="dxa"/>
            <w:vAlign w:val="center"/>
          </w:tcPr>
          <w:p>
            <w:pPr>
              <w:pStyle w:val="11"/>
            </w:pPr>
            <w:r>
              <w:t>422.99</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2011301</w:t>
            </w:r>
          </w:p>
        </w:tc>
        <w:tc>
          <w:tcPr>
            <w:tcW w:w="4535" w:type="dxa"/>
            <w:vAlign w:val="center"/>
          </w:tcPr>
          <w:p>
            <w:pPr>
              <w:pStyle w:val="12"/>
            </w:pPr>
            <w:r>
              <w:t>行政运行</w:t>
            </w:r>
          </w:p>
        </w:tc>
        <w:tc>
          <w:tcPr>
            <w:tcW w:w="1361" w:type="dxa"/>
            <w:vAlign w:val="center"/>
          </w:tcPr>
          <w:p>
            <w:pPr>
              <w:pStyle w:val="11"/>
            </w:pPr>
            <w:r>
              <w:t>422.99</w:t>
            </w:r>
          </w:p>
        </w:tc>
        <w:tc>
          <w:tcPr>
            <w:tcW w:w="1361" w:type="dxa"/>
            <w:vAlign w:val="center"/>
          </w:tcPr>
          <w:p>
            <w:pPr>
              <w:pStyle w:val="11"/>
            </w:pPr>
            <w:r>
              <w:t>422.99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64.28</w:t>
            </w:r>
          </w:p>
        </w:tc>
        <w:tc>
          <w:tcPr>
            <w:tcW w:w="1361" w:type="dxa"/>
            <w:vAlign w:val="center"/>
          </w:tcPr>
          <w:p>
            <w:pPr>
              <w:pStyle w:val="11"/>
            </w:pPr>
            <w:r>
              <w:t>64.28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64.28</w:t>
            </w:r>
          </w:p>
        </w:tc>
        <w:tc>
          <w:tcPr>
            <w:tcW w:w="1361" w:type="dxa"/>
            <w:vAlign w:val="center"/>
          </w:tcPr>
          <w:p>
            <w:pPr>
              <w:pStyle w:val="11"/>
            </w:pPr>
            <w:r>
              <w:t>64.28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8.01</w:t>
            </w:r>
          </w:p>
        </w:tc>
        <w:tc>
          <w:tcPr>
            <w:tcW w:w="1361" w:type="dxa"/>
            <w:vAlign w:val="center"/>
          </w:tcPr>
          <w:p>
            <w:pPr>
              <w:pStyle w:val="11"/>
            </w:pPr>
            <w:r>
              <w:t>8.01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53.29</w:t>
            </w:r>
          </w:p>
        </w:tc>
        <w:tc>
          <w:tcPr>
            <w:tcW w:w="1361" w:type="dxa"/>
            <w:vAlign w:val="center"/>
          </w:tcPr>
          <w:p>
            <w:pPr>
              <w:pStyle w:val="11"/>
            </w:pPr>
            <w:r>
              <w:t>53.29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2.99</w:t>
            </w:r>
          </w:p>
        </w:tc>
        <w:tc>
          <w:tcPr>
            <w:tcW w:w="1361" w:type="dxa"/>
            <w:vAlign w:val="center"/>
          </w:tcPr>
          <w:p>
            <w:pPr>
              <w:pStyle w:val="11"/>
            </w:pPr>
            <w:r>
              <w:t>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43.86</w:t>
            </w:r>
          </w:p>
        </w:tc>
        <w:tc>
          <w:tcPr>
            <w:tcW w:w="1361" w:type="dxa"/>
            <w:vAlign w:val="center"/>
          </w:tcPr>
          <w:p>
            <w:pPr>
              <w:pStyle w:val="11"/>
            </w:pPr>
            <w:r>
              <w:t>43.86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43.86</w:t>
            </w:r>
          </w:p>
        </w:tc>
        <w:tc>
          <w:tcPr>
            <w:tcW w:w="1361" w:type="dxa"/>
            <w:vAlign w:val="center"/>
          </w:tcPr>
          <w:p>
            <w:pPr>
              <w:pStyle w:val="11"/>
            </w:pPr>
            <w:r>
              <w:t>43.86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43.86</w:t>
            </w:r>
          </w:p>
        </w:tc>
        <w:tc>
          <w:tcPr>
            <w:tcW w:w="1361" w:type="dxa"/>
            <w:vAlign w:val="center"/>
          </w:tcPr>
          <w:p>
            <w:pPr>
              <w:pStyle w:val="11"/>
            </w:pPr>
            <w:r>
              <w:t>43.86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43.45</w:t>
            </w:r>
          </w:p>
        </w:tc>
        <w:tc>
          <w:tcPr>
            <w:tcW w:w="1361" w:type="dxa"/>
            <w:vAlign w:val="center"/>
          </w:tcPr>
          <w:p>
            <w:pPr>
              <w:pStyle w:val="11"/>
            </w:pPr>
            <w:r>
              <w:t>43.45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43.45</w:t>
            </w:r>
          </w:p>
        </w:tc>
        <w:tc>
          <w:tcPr>
            <w:tcW w:w="1361" w:type="dxa"/>
            <w:vAlign w:val="center"/>
          </w:tcPr>
          <w:p>
            <w:pPr>
              <w:pStyle w:val="11"/>
            </w:pPr>
            <w:r>
              <w:t>43.45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43.45</w:t>
            </w:r>
          </w:p>
        </w:tc>
        <w:tc>
          <w:tcPr>
            <w:tcW w:w="1361" w:type="dxa"/>
            <w:vAlign w:val="center"/>
          </w:tcPr>
          <w:p>
            <w:pPr>
              <w:pStyle w:val="11"/>
            </w:pPr>
            <w:r>
              <w:t>43.45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984.59</w:t>
            </w:r>
          </w:p>
        </w:tc>
        <w:tc>
          <w:tcPr>
            <w:tcW w:w="3402" w:type="dxa"/>
            <w:vAlign w:val="center"/>
          </w:tcPr>
          <w:p>
            <w:pPr>
              <w:pStyle w:val="12"/>
            </w:pPr>
            <w:r>
              <w:t>一、一般公共服务支出</w:t>
            </w:r>
          </w:p>
        </w:tc>
        <w:tc>
          <w:tcPr>
            <w:tcW w:w="1474" w:type="dxa"/>
            <w:vAlign w:val="center"/>
          </w:tcPr>
          <w:p>
            <w:pPr>
              <w:pStyle w:val="11"/>
            </w:pPr>
            <w:r>
              <w:t>832.99</w:t>
            </w:r>
          </w:p>
        </w:tc>
        <w:tc>
          <w:tcPr>
            <w:tcW w:w="1474" w:type="dxa"/>
            <w:vAlign w:val="center"/>
          </w:tcPr>
          <w:p>
            <w:pPr>
              <w:pStyle w:val="11"/>
            </w:pPr>
            <w:r>
              <w:t>832.99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64.28</w:t>
            </w:r>
          </w:p>
        </w:tc>
        <w:tc>
          <w:tcPr>
            <w:tcW w:w="1474" w:type="dxa"/>
            <w:vAlign w:val="center"/>
          </w:tcPr>
          <w:p>
            <w:pPr>
              <w:pStyle w:val="11"/>
            </w:pPr>
            <w:r>
              <w:t>64.28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43.86</w:t>
            </w:r>
          </w:p>
        </w:tc>
        <w:tc>
          <w:tcPr>
            <w:tcW w:w="1474" w:type="dxa"/>
            <w:vAlign w:val="center"/>
          </w:tcPr>
          <w:p>
            <w:pPr>
              <w:pStyle w:val="11"/>
            </w:pPr>
            <w:r>
              <w:t>43.86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43.45</w:t>
            </w:r>
          </w:p>
        </w:tc>
        <w:tc>
          <w:tcPr>
            <w:tcW w:w="1474" w:type="dxa"/>
            <w:vAlign w:val="center"/>
          </w:tcPr>
          <w:p>
            <w:pPr>
              <w:pStyle w:val="11"/>
            </w:pPr>
            <w:r>
              <w:t>43.45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984.59</w:t>
            </w:r>
          </w:p>
        </w:tc>
        <w:tc>
          <w:tcPr>
            <w:tcW w:w="3402" w:type="dxa"/>
            <w:vAlign w:val="center"/>
          </w:tcPr>
          <w:p>
            <w:pPr>
              <w:pStyle w:val="14"/>
            </w:pPr>
            <w:r>
              <w:t>本年支出合计</w:t>
            </w:r>
          </w:p>
        </w:tc>
        <w:tc>
          <w:tcPr>
            <w:tcW w:w="1474" w:type="dxa"/>
            <w:vAlign w:val="center"/>
          </w:tcPr>
          <w:p>
            <w:pPr>
              <w:pStyle w:val="15"/>
            </w:pPr>
            <w:r>
              <w:t>984.59</w:t>
            </w:r>
          </w:p>
        </w:tc>
        <w:tc>
          <w:tcPr>
            <w:tcW w:w="1474" w:type="dxa"/>
            <w:vAlign w:val="center"/>
          </w:tcPr>
          <w:p>
            <w:pPr>
              <w:pStyle w:val="15"/>
            </w:pPr>
            <w:r>
              <w:t>984.59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984.59</w:t>
            </w:r>
          </w:p>
        </w:tc>
        <w:tc>
          <w:tcPr>
            <w:tcW w:w="3402" w:type="dxa"/>
            <w:vAlign w:val="center"/>
          </w:tcPr>
          <w:p>
            <w:pPr>
              <w:pStyle w:val="14"/>
            </w:pPr>
            <w:r>
              <w:t>支出总计</w:t>
            </w:r>
          </w:p>
        </w:tc>
        <w:tc>
          <w:tcPr>
            <w:tcW w:w="1474" w:type="dxa"/>
            <w:vAlign w:val="center"/>
          </w:tcPr>
          <w:p>
            <w:pPr>
              <w:pStyle w:val="15"/>
            </w:pPr>
            <w:r>
              <w:t>984.59</w:t>
            </w:r>
          </w:p>
        </w:tc>
        <w:tc>
          <w:tcPr>
            <w:tcW w:w="1474" w:type="dxa"/>
            <w:vAlign w:val="center"/>
          </w:tcPr>
          <w:p>
            <w:pPr>
              <w:pStyle w:val="15"/>
            </w:pPr>
            <w:r>
              <w:t>984.59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984.59</w:t>
            </w:r>
          </w:p>
        </w:tc>
        <w:tc>
          <w:tcPr>
            <w:tcW w:w="2551" w:type="dxa"/>
            <w:vAlign w:val="center"/>
          </w:tcPr>
          <w:p>
            <w:pPr>
              <w:pStyle w:val="15"/>
            </w:pPr>
            <w:r>
              <w:t>574.59</w:t>
            </w:r>
          </w:p>
        </w:tc>
        <w:tc>
          <w:tcPr>
            <w:tcW w:w="2551" w:type="dxa"/>
            <w:vAlign w:val="center"/>
          </w:tcPr>
          <w:p>
            <w:pPr>
              <w:pStyle w:val="15"/>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832.99</w:t>
            </w:r>
          </w:p>
        </w:tc>
        <w:tc>
          <w:tcPr>
            <w:tcW w:w="2551" w:type="dxa"/>
            <w:vAlign w:val="center"/>
          </w:tcPr>
          <w:p>
            <w:pPr>
              <w:pStyle w:val="11"/>
            </w:pPr>
            <w:r>
              <w:t>422.99</w:t>
            </w:r>
          </w:p>
        </w:tc>
        <w:tc>
          <w:tcPr>
            <w:tcW w:w="2551" w:type="dxa"/>
            <w:vAlign w:val="center"/>
          </w:tcPr>
          <w:p>
            <w:pPr>
              <w:pStyle w:val="11"/>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832.99</w:t>
            </w:r>
          </w:p>
        </w:tc>
        <w:tc>
          <w:tcPr>
            <w:tcW w:w="2551" w:type="dxa"/>
            <w:vAlign w:val="center"/>
          </w:tcPr>
          <w:p>
            <w:pPr>
              <w:pStyle w:val="11"/>
            </w:pPr>
            <w:r>
              <w:t>422.99</w:t>
            </w:r>
          </w:p>
        </w:tc>
        <w:tc>
          <w:tcPr>
            <w:tcW w:w="2551" w:type="dxa"/>
            <w:vAlign w:val="center"/>
          </w:tcPr>
          <w:p>
            <w:pPr>
              <w:pStyle w:val="11"/>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422.99</w:t>
            </w:r>
          </w:p>
        </w:tc>
        <w:tc>
          <w:tcPr>
            <w:tcW w:w="2551" w:type="dxa"/>
            <w:vAlign w:val="center"/>
          </w:tcPr>
          <w:p>
            <w:pPr>
              <w:pStyle w:val="11"/>
            </w:pPr>
            <w:r>
              <w:t>422.99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410.00</w:t>
            </w:r>
          </w:p>
        </w:tc>
        <w:tc>
          <w:tcPr>
            <w:tcW w:w="2551" w:type="dxa"/>
            <w:vAlign w:val="center"/>
          </w:tcPr>
          <w:p>
            <w:pPr>
              <w:pStyle w:val="11"/>
            </w:pPr>
          </w:p>
        </w:tc>
        <w:tc>
          <w:tcPr>
            <w:tcW w:w="2551" w:type="dxa"/>
            <w:vAlign w:val="center"/>
          </w:tcPr>
          <w:p>
            <w:pPr>
              <w:pStyle w:val="11"/>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64.28</w:t>
            </w:r>
          </w:p>
        </w:tc>
        <w:tc>
          <w:tcPr>
            <w:tcW w:w="2551" w:type="dxa"/>
            <w:vAlign w:val="center"/>
          </w:tcPr>
          <w:p>
            <w:pPr>
              <w:pStyle w:val="11"/>
            </w:pPr>
            <w:r>
              <w:t>64.28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64.28</w:t>
            </w:r>
          </w:p>
        </w:tc>
        <w:tc>
          <w:tcPr>
            <w:tcW w:w="2551" w:type="dxa"/>
            <w:vAlign w:val="center"/>
          </w:tcPr>
          <w:p>
            <w:pPr>
              <w:pStyle w:val="11"/>
            </w:pPr>
            <w:r>
              <w:t>64.28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8.01</w:t>
            </w:r>
          </w:p>
        </w:tc>
        <w:tc>
          <w:tcPr>
            <w:tcW w:w="2551" w:type="dxa"/>
            <w:vAlign w:val="center"/>
          </w:tcPr>
          <w:p>
            <w:pPr>
              <w:pStyle w:val="11"/>
            </w:pPr>
            <w:r>
              <w:t>8.01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53.29</w:t>
            </w:r>
          </w:p>
        </w:tc>
        <w:tc>
          <w:tcPr>
            <w:tcW w:w="2551" w:type="dxa"/>
            <w:vAlign w:val="center"/>
          </w:tcPr>
          <w:p>
            <w:pPr>
              <w:pStyle w:val="11"/>
            </w:pPr>
            <w:r>
              <w:t>53.29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43.86</w:t>
            </w:r>
          </w:p>
        </w:tc>
        <w:tc>
          <w:tcPr>
            <w:tcW w:w="2551" w:type="dxa"/>
            <w:vAlign w:val="center"/>
          </w:tcPr>
          <w:p>
            <w:pPr>
              <w:pStyle w:val="11"/>
            </w:pPr>
            <w:r>
              <w:t>43.86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43.86</w:t>
            </w:r>
          </w:p>
        </w:tc>
        <w:tc>
          <w:tcPr>
            <w:tcW w:w="2551" w:type="dxa"/>
            <w:vAlign w:val="center"/>
          </w:tcPr>
          <w:p>
            <w:pPr>
              <w:pStyle w:val="11"/>
            </w:pPr>
            <w:r>
              <w:t>43.86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43.86</w:t>
            </w:r>
          </w:p>
        </w:tc>
        <w:tc>
          <w:tcPr>
            <w:tcW w:w="2551" w:type="dxa"/>
            <w:vAlign w:val="center"/>
          </w:tcPr>
          <w:p>
            <w:pPr>
              <w:pStyle w:val="11"/>
            </w:pPr>
            <w:r>
              <w:t>43.86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43.45</w:t>
            </w:r>
          </w:p>
        </w:tc>
        <w:tc>
          <w:tcPr>
            <w:tcW w:w="2551" w:type="dxa"/>
            <w:vAlign w:val="center"/>
          </w:tcPr>
          <w:p>
            <w:pPr>
              <w:pStyle w:val="11"/>
            </w:pPr>
            <w:r>
              <w:t>43.45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43.45</w:t>
            </w:r>
          </w:p>
        </w:tc>
        <w:tc>
          <w:tcPr>
            <w:tcW w:w="2551" w:type="dxa"/>
            <w:vAlign w:val="center"/>
          </w:tcPr>
          <w:p>
            <w:pPr>
              <w:pStyle w:val="11"/>
            </w:pPr>
            <w:r>
              <w:t>43.45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43.45</w:t>
            </w:r>
          </w:p>
        </w:tc>
        <w:tc>
          <w:tcPr>
            <w:tcW w:w="2551" w:type="dxa"/>
            <w:vAlign w:val="center"/>
          </w:tcPr>
          <w:p>
            <w:pPr>
              <w:pStyle w:val="11"/>
            </w:pPr>
            <w:r>
              <w:t>43.45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574.59</w:t>
            </w:r>
          </w:p>
        </w:tc>
        <w:tc>
          <w:tcPr>
            <w:tcW w:w="2551" w:type="dxa"/>
            <w:vAlign w:val="center"/>
          </w:tcPr>
          <w:p>
            <w:pPr>
              <w:pStyle w:val="15"/>
            </w:pPr>
            <w:r>
              <w:t>540.03</w:t>
            </w:r>
          </w:p>
        </w:tc>
        <w:tc>
          <w:tcPr>
            <w:tcW w:w="2551" w:type="dxa"/>
            <w:vAlign w:val="center"/>
          </w:tcPr>
          <w:p>
            <w:pPr>
              <w:pStyle w:val="15"/>
            </w:pPr>
            <w: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532.24</w:t>
            </w:r>
          </w:p>
        </w:tc>
        <w:tc>
          <w:tcPr>
            <w:tcW w:w="2551" w:type="dxa"/>
            <w:vAlign w:val="center"/>
          </w:tcPr>
          <w:p>
            <w:pPr>
              <w:pStyle w:val="11"/>
            </w:pPr>
            <w:r>
              <w:t>532.24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109.26</w:t>
            </w:r>
          </w:p>
        </w:tc>
        <w:tc>
          <w:tcPr>
            <w:tcW w:w="2551" w:type="dxa"/>
            <w:vAlign w:val="center"/>
          </w:tcPr>
          <w:p>
            <w:pPr>
              <w:pStyle w:val="11"/>
            </w:pPr>
            <w:r>
              <w:t>109.26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38.98</w:t>
            </w:r>
          </w:p>
        </w:tc>
        <w:tc>
          <w:tcPr>
            <w:tcW w:w="2551" w:type="dxa"/>
            <w:vAlign w:val="center"/>
          </w:tcPr>
          <w:p>
            <w:pPr>
              <w:pStyle w:val="11"/>
            </w:pPr>
            <w:r>
              <w:t>38.98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82.22</w:t>
            </w:r>
          </w:p>
        </w:tc>
        <w:tc>
          <w:tcPr>
            <w:tcW w:w="2551" w:type="dxa"/>
            <w:vAlign w:val="center"/>
          </w:tcPr>
          <w:p>
            <w:pPr>
              <w:pStyle w:val="11"/>
            </w:pPr>
            <w:r>
              <w:t>82.22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155.15</w:t>
            </w:r>
          </w:p>
        </w:tc>
        <w:tc>
          <w:tcPr>
            <w:tcW w:w="2551" w:type="dxa"/>
            <w:vAlign w:val="center"/>
          </w:tcPr>
          <w:p>
            <w:pPr>
              <w:pStyle w:val="11"/>
            </w:pPr>
            <w:r>
              <w:t>155.15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53.29</w:t>
            </w:r>
          </w:p>
        </w:tc>
        <w:tc>
          <w:tcPr>
            <w:tcW w:w="2551" w:type="dxa"/>
            <w:vAlign w:val="center"/>
          </w:tcPr>
          <w:p>
            <w:pPr>
              <w:pStyle w:val="11"/>
            </w:pPr>
            <w:r>
              <w:t>53.29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43.86</w:t>
            </w:r>
          </w:p>
        </w:tc>
        <w:tc>
          <w:tcPr>
            <w:tcW w:w="2551" w:type="dxa"/>
            <w:vAlign w:val="center"/>
          </w:tcPr>
          <w:p>
            <w:pPr>
              <w:pStyle w:val="11"/>
            </w:pPr>
            <w:r>
              <w:t>43.86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3.04</w:t>
            </w:r>
          </w:p>
        </w:tc>
        <w:tc>
          <w:tcPr>
            <w:tcW w:w="2551" w:type="dxa"/>
            <w:vAlign w:val="center"/>
          </w:tcPr>
          <w:p>
            <w:pPr>
              <w:pStyle w:val="11"/>
            </w:pPr>
            <w:r>
              <w:t>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43.45</w:t>
            </w:r>
          </w:p>
        </w:tc>
        <w:tc>
          <w:tcPr>
            <w:tcW w:w="2551" w:type="dxa"/>
            <w:vAlign w:val="center"/>
          </w:tcPr>
          <w:p>
            <w:pPr>
              <w:pStyle w:val="11"/>
            </w:pPr>
            <w:r>
              <w:t>43.45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33.40</w:t>
            </w:r>
          </w:p>
        </w:tc>
        <w:tc>
          <w:tcPr>
            <w:tcW w:w="2551" w:type="dxa"/>
            <w:vAlign w:val="center"/>
          </w:tcPr>
          <w:p>
            <w:pPr>
              <w:pStyle w:val="11"/>
            </w:pPr>
          </w:p>
        </w:tc>
        <w:tc>
          <w:tcPr>
            <w:tcW w:w="2551" w:type="dxa"/>
            <w:vAlign w:val="center"/>
          </w:tcPr>
          <w:p>
            <w:pPr>
              <w:pStyle w:val="11"/>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4.64</w:t>
            </w:r>
          </w:p>
        </w:tc>
        <w:tc>
          <w:tcPr>
            <w:tcW w:w="2551" w:type="dxa"/>
            <w:vAlign w:val="center"/>
          </w:tcPr>
          <w:p>
            <w:pPr>
              <w:pStyle w:val="11"/>
            </w:pPr>
          </w:p>
        </w:tc>
        <w:tc>
          <w:tcPr>
            <w:tcW w:w="2551" w:type="dxa"/>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3.15</w:t>
            </w:r>
          </w:p>
        </w:tc>
        <w:tc>
          <w:tcPr>
            <w:tcW w:w="2551" w:type="dxa"/>
            <w:vAlign w:val="center"/>
          </w:tcPr>
          <w:p>
            <w:pPr>
              <w:pStyle w:val="11"/>
            </w:pPr>
          </w:p>
        </w:tc>
        <w:tc>
          <w:tcPr>
            <w:tcW w:w="2551" w:type="dxa"/>
            <w:vAlign w:val="center"/>
          </w:tcPr>
          <w:p>
            <w:pPr>
              <w:pStyle w:val="11"/>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2.48</w:t>
            </w:r>
          </w:p>
        </w:tc>
        <w:tc>
          <w:tcPr>
            <w:tcW w:w="2551" w:type="dxa"/>
            <w:vAlign w:val="center"/>
          </w:tcPr>
          <w:p>
            <w:pPr>
              <w:pStyle w:val="11"/>
            </w:pPr>
          </w:p>
        </w:tc>
        <w:tc>
          <w:tcPr>
            <w:tcW w:w="2551"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40.31</w:t>
            </w:r>
          </w:p>
        </w:tc>
        <w:tc>
          <w:tcPr>
            <w:tcW w:w="2381" w:type="dxa"/>
            <w:vAlign w:val="center"/>
          </w:tcPr>
          <w:p>
            <w:pPr>
              <w:pStyle w:val="15"/>
            </w:pPr>
            <w:r>
              <w:t>40.31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40.31</w:t>
            </w:r>
          </w:p>
        </w:tc>
        <w:tc>
          <w:tcPr>
            <w:tcW w:w="2381" w:type="dxa"/>
            <w:vAlign w:val="center"/>
          </w:tcPr>
          <w:p>
            <w:pPr>
              <w:pStyle w:val="11"/>
            </w:pPr>
            <w:r>
              <w:t>40.31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40.31</w:t>
            </w:r>
          </w:p>
        </w:tc>
        <w:tc>
          <w:tcPr>
            <w:tcW w:w="2381" w:type="dxa"/>
            <w:vAlign w:val="center"/>
          </w:tcPr>
          <w:p>
            <w:pPr>
              <w:pStyle w:val="11"/>
            </w:pPr>
            <w:r>
              <w:t>40.31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秦皇岛北戴河新区招商和投资促进局本级2024年单位预算信息公开情况说明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按照《中华人民共和国预算法》、《地方预决算公开操作规程》和《关于进一步推进预算公开工作的实施意见》规定，现将秦皇岛北戴河新区招商和投资促进局本级2024年单位预算公开如下：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区有关招商引资战略、政策和相关法律法规，组织拟订全区招商引资战略、中长期规划、方针政策及招商引资工作流程、服务规范，建立健全招商引资综合考核评价体系，报管委会批准后组织实施。</w:t>
      </w:r>
    </w:p>
    <w:p>
      <w:pPr>
        <w:pStyle w:val="17"/>
      </w:pPr>
      <w:r>
        <w:t>（二）制定全区阶段性招商引资工作目标和年度招商工作计划，报管委会批准后组织实施。</w:t>
      </w:r>
    </w:p>
    <w:p>
      <w:pPr>
        <w:pStyle w:val="17"/>
      </w:pPr>
      <w:r>
        <w:t>（三）组织全区招商工作相关会议，统筹全区招商引资工作，会同有关部门做好全区招商项目签约工作。</w:t>
      </w:r>
    </w:p>
    <w:p>
      <w:pPr>
        <w:pStyle w:val="17"/>
      </w:pPr>
      <w:r>
        <w:t>（四）负责统筹全区招商引资活动，做好招商渠道建设及维护工作，开展产业项目招商。</w:t>
      </w:r>
    </w:p>
    <w:p>
      <w:pPr>
        <w:pStyle w:val="17"/>
      </w:pPr>
      <w:r>
        <w:t>（五）负责新区驻外招商联络处及投资之家的建设和管理工作。</w:t>
      </w:r>
    </w:p>
    <w:p>
      <w:pPr>
        <w:pStyle w:val="17"/>
      </w:pPr>
      <w:r>
        <w:t>（六）负责联络来区投资企业及各级涉侨涉外机构，做好招商项目协调服务工作，会同有关部门协调、落实重大招商项目落地条件。</w:t>
      </w:r>
    </w:p>
    <w:p>
      <w:pPr>
        <w:pStyle w:val="17"/>
      </w:pPr>
      <w:r>
        <w:t>（七）负责侨梦苑（侨商产业聚集区）开发建设工作。</w:t>
      </w:r>
    </w:p>
    <w:p>
      <w:pPr>
        <w:pStyle w:val="17"/>
      </w:pPr>
      <w:r>
        <w:t>（八）完成新区工委、管委交办的其他任务。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秦皇岛北戴河新区招商和投资促进局本级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984.59万元，其中：一般公共预算收入984.59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招商和投资促进局本级年度单位预算中支出预算的总体情况。2024年支出预算984.59万元，其中基本支出574.59万元，包括人员经费540.03万元和日常公用经费34.56万元；项目支出410.00万元，主要为招商日常工作经费10万元，招商活动经费400万元。</w:t>
      </w:r>
    </w:p>
    <w:p>
      <w:pPr>
        <w:pStyle w:val="18"/>
      </w:pPr>
      <w:r>
        <w:t>3、比上年增减情况</w:t>
      </w:r>
    </w:p>
    <w:p>
      <w:pPr>
        <w:pStyle w:val="18"/>
      </w:pPr>
      <w:r>
        <w:t>2024年预算收支安排984.59万元，较2023年预算增加197.90万元，其中：基本支出增加97.90万元，主要为人员变动导致金额增加。项目支出增加100.00万元，主要为加大招商力度，增加“请进来”“走出去”次数，所以招商项目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ascii="Times New Roman" w:hAnsi="Times New Roman" w:eastAsia="方正仿宋_GBK" w:cs="Times New Roman"/>
          <w:sz w:val="28"/>
          <w:szCs w:val="24"/>
          <w:lang w:val="en-US" w:eastAsia="uk-UA" w:bidi="ar-SA"/>
        </w:rPr>
        <w:t>2024年，我部门机关运行经费共计安排</w:t>
      </w:r>
      <w:r>
        <w:rPr>
          <w:rFonts w:hint="eastAsia" w:ascii="Times New Roman" w:hAnsi="Times New Roman" w:eastAsia="方正仿宋_GBK" w:cs="Times New Roman"/>
          <w:sz w:val="28"/>
          <w:szCs w:val="24"/>
          <w:lang w:val="en-US" w:eastAsia="uk-UA" w:bidi="ar-SA"/>
        </w:rPr>
        <w:t>34.56万元，主要用于日常维修、办公用房水电费、办公用房取暖费、 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40.31万元，其中因公出国（境）费0.00万元；公务用车购置及运维费0.00万元（其中：公务用车购置费为0.00万元，公务用车运维费0.00万元)；公务接待费40.31万元。与2023年相比增加10.01万元，增减变化的主要原因是加大招商引资力度，增加小团组招商频次，所以公务接待费较上年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1、招商日常工作经费绩效目标表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13031324P00880510383G</w:t>
            </w:r>
          </w:p>
        </w:tc>
        <w:tc>
          <w:tcPr>
            <w:tcW w:w="2835" w:type="dxa"/>
            <w:vAlign w:val="center"/>
          </w:tcPr>
          <w:p>
            <w:pPr>
              <w:pStyle w:val="10"/>
            </w:pPr>
            <w:r>
              <w:t>项目名称</w:t>
            </w:r>
          </w:p>
        </w:tc>
        <w:tc>
          <w:tcPr>
            <w:tcW w:w="6094" w:type="dxa"/>
            <w:gridSpan w:val="3"/>
            <w:vAlign w:val="center"/>
          </w:tcPr>
          <w:p>
            <w:pPr>
              <w:pStyle w:val="12"/>
            </w:pPr>
            <w:r>
              <w:t>招商日常工作经费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招商日常工作主要用于支付招商日常工作办公费、差旅费以及办公设备购置费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1.举办招商引资活动</w:t>
            </w:r>
          </w:p>
          <w:p>
            <w:pPr>
              <w:pStyle w:val="12"/>
            </w:pPr>
            <w:r>
              <w:t>2.签约招商项目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到会客商人数</w:t>
            </w:r>
          </w:p>
        </w:tc>
        <w:tc>
          <w:tcPr>
            <w:tcW w:w="5386" w:type="dxa"/>
            <w:vAlign w:val="center"/>
          </w:tcPr>
          <w:p>
            <w:pPr>
              <w:pStyle w:val="12"/>
            </w:pPr>
            <w:r>
              <w:t>到会客商人数</w:t>
            </w:r>
          </w:p>
        </w:tc>
        <w:tc>
          <w:tcPr>
            <w:tcW w:w="2268" w:type="dxa"/>
            <w:vAlign w:val="center"/>
          </w:tcPr>
          <w:p>
            <w:pPr>
              <w:pStyle w:val="12"/>
            </w:pPr>
            <w:r>
              <w:t>≥100人</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累计发布信息数</w:t>
            </w:r>
          </w:p>
        </w:tc>
        <w:tc>
          <w:tcPr>
            <w:tcW w:w="5386" w:type="dxa"/>
            <w:vAlign w:val="center"/>
          </w:tcPr>
          <w:p>
            <w:pPr>
              <w:pStyle w:val="12"/>
            </w:pPr>
            <w:r>
              <w:t>累计发布信息数</w:t>
            </w:r>
          </w:p>
        </w:tc>
        <w:tc>
          <w:tcPr>
            <w:tcW w:w="2268" w:type="dxa"/>
            <w:vAlign w:val="center"/>
          </w:tcPr>
          <w:p>
            <w:pPr>
              <w:pStyle w:val="12"/>
            </w:pPr>
            <w:r>
              <w:t>≥20次</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招商活动的签约项目个数（个）</w:t>
            </w:r>
          </w:p>
        </w:tc>
        <w:tc>
          <w:tcPr>
            <w:tcW w:w="5386" w:type="dxa"/>
            <w:vAlign w:val="center"/>
          </w:tcPr>
          <w:p>
            <w:pPr>
              <w:pStyle w:val="12"/>
            </w:pPr>
            <w:r>
              <w:t>招商活动的签约项目个数（个）</w:t>
            </w:r>
          </w:p>
        </w:tc>
        <w:tc>
          <w:tcPr>
            <w:tcW w:w="2268" w:type="dxa"/>
            <w:vAlign w:val="center"/>
          </w:tcPr>
          <w:p>
            <w:pPr>
              <w:pStyle w:val="12"/>
            </w:pPr>
            <w:r>
              <w:t>≥30个</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会议费标准</w:t>
            </w:r>
          </w:p>
        </w:tc>
        <w:tc>
          <w:tcPr>
            <w:tcW w:w="5386" w:type="dxa"/>
            <w:vAlign w:val="center"/>
          </w:tcPr>
          <w:p>
            <w:pPr>
              <w:pStyle w:val="12"/>
            </w:pPr>
            <w:r>
              <w:t>会议费标准</w:t>
            </w:r>
          </w:p>
        </w:tc>
        <w:tc>
          <w:tcPr>
            <w:tcW w:w="2268" w:type="dxa"/>
            <w:vAlign w:val="center"/>
          </w:tcPr>
          <w:p>
            <w:pPr>
              <w:pStyle w:val="12"/>
            </w:pPr>
            <w:r>
              <w:t>≤400元</w:t>
            </w:r>
          </w:p>
        </w:tc>
        <w:tc>
          <w:tcPr>
            <w:tcW w:w="1276" w:type="dxa"/>
            <w:vAlign w:val="center"/>
          </w:tcPr>
          <w:p>
            <w:pPr>
              <w:pStyle w:val="12"/>
            </w:pPr>
            <w:r>
              <w:t>会议费文件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招商活动的签约项目金额（亿元）</w:t>
            </w:r>
          </w:p>
        </w:tc>
        <w:tc>
          <w:tcPr>
            <w:tcW w:w="5386" w:type="dxa"/>
            <w:vAlign w:val="center"/>
          </w:tcPr>
          <w:p>
            <w:pPr>
              <w:pStyle w:val="12"/>
            </w:pPr>
            <w:r>
              <w:t>招商活动的签约项目金额（亿元）</w:t>
            </w:r>
          </w:p>
        </w:tc>
        <w:tc>
          <w:tcPr>
            <w:tcW w:w="2268" w:type="dxa"/>
            <w:vAlign w:val="center"/>
          </w:tcPr>
          <w:p>
            <w:pPr>
              <w:pStyle w:val="12"/>
            </w:pPr>
            <w:r>
              <w:t>≥2亿元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保障机关单位正常运转</w:t>
            </w:r>
          </w:p>
        </w:tc>
        <w:tc>
          <w:tcPr>
            <w:tcW w:w="5386" w:type="dxa"/>
            <w:vAlign w:val="center"/>
          </w:tcPr>
          <w:p>
            <w:pPr>
              <w:pStyle w:val="12"/>
            </w:pPr>
            <w:r>
              <w:t>保障机关单位正常运转</w:t>
            </w:r>
          </w:p>
        </w:tc>
        <w:tc>
          <w:tcPr>
            <w:tcW w:w="2268" w:type="dxa"/>
            <w:vAlign w:val="center"/>
          </w:tcPr>
          <w:p>
            <w:pPr>
              <w:pStyle w:val="12"/>
            </w:pPr>
            <w:r>
              <w:t>正常</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实际参会企业数</w:t>
            </w:r>
          </w:p>
        </w:tc>
        <w:tc>
          <w:tcPr>
            <w:tcW w:w="5386" w:type="dxa"/>
            <w:vAlign w:val="center"/>
          </w:tcPr>
          <w:p>
            <w:pPr>
              <w:pStyle w:val="12"/>
            </w:pPr>
            <w:r>
              <w:t>实际参会企业数</w:t>
            </w:r>
          </w:p>
        </w:tc>
        <w:tc>
          <w:tcPr>
            <w:tcW w:w="2268" w:type="dxa"/>
            <w:vAlign w:val="center"/>
          </w:tcPr>
          <w:p>
            <w:pPr>
              <w:pStyle w:val="12"/>
            </w:pPr>
            <w:r>
              <w:t>≥20家</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使用公共交通工具出差</w:t>
            </w:r>
          </w:p>
        </w:tc>
        <w:tc>
          <w:tcPr>
            <w:tcW w:w="5386" w:type="dxa"/>
            <w:vAlign w:val="center"/>
          </w:tcPr>
          <w:p>
            <w:pPr>
              <w:pStyle w:val="12"/>
            </w:pPr>
            <w:r>
              <w:t>使用公共交通工具出差人数占差旅总人数的百分比</w:t>
            </w:r>
          </w:p>
        </w:tc>
        <w:tc>
          <w:tcPr>
            <w:tcW w:w="2268" w:type="dxa"/>
            <w:vAlign w:val="center"/>
          </w:tcPr>
          <w:p>
            <w:pPr>
              <w:pStyle w:val="12"/>
            </w:pPr>
            <w:r>
              <w:t>≥95百分比</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13031324P00880110754Y</w:t>
            </w:r>
          </w:p>
        </w:tc>
        <w:tc>
          <w:tcPr>
            <w:tcW w:w="2835" w:type="dxa"/>
            <w:vAlign w:val="center"/>
          </w:tcPr>
          <w:p>
            <w:pPr>
              <w:pStyle w:val="10"/>
            </w:pPr>
            <w:r>
              <w:t>项目名称</w:t>
            </w:r>
          </w:p>
        </w:tc>
        <w:tc>
          <w:tcPr>
            <w:tcW w:w="6094" w:type="dxa"/>
            <w:gridSpan w:val="3"/>
            <w:vAlign w:val="center"/>
          </w:tcPr>
          <w:p>
            <w:pPr>
              <w:pStyle w:val="12"/>
            </w:pPr>
            <w:r>
              <w:t>招商活动经费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招商活动经费主要用于招商活动委托业务 差旅费 公务接待以及印刷使用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1.举办招商引资活动数</w:t>
            </w:r>
          </w:p>
          <w:p>
            <w:pPr>
              <w:pStyle w:val="12"/>
            </w:pPr>
            <w:r>
              <w:t>2.签约招商项目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举办招商引资活动数量（个）</w:t>
            </w:r>
          </w:p>
        </w:tc>
        <w:tc>
          <w:tcPr>
            <w:tcW w:w="5386" w:type="dxa"/>
            <w:vAlign w:val="center"/>
          </w:tcPr>
          <w:p>
            <w:pPr>
              <w:pStyle w:val="12"/>
            </w:pPr>
            <w:r>
              <w:t>举办招商引资活动数量（个）</w:t>
            </w:r>
          </w:p>
        </w:tc>
        <w:tc>
          <w:tcPr>
            <w:tcW w:w="2268" w:type="dxa"/>
            <w:vAlign w:val="center"/>
          </w:tcPr>
          <w:p>
            <w:pPr>
              <w:pStyle w:val="12"/>
            </w:pPr>
            <w:r>
              <w:t>≥200个</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招商活动的签约项目个数</w:t>
            </w:r>
          </w:p>
        </w:tc>
        <w:tc>
          <w:tcPr>
            <w:tcW w:w="5386" w:type="dxa"/>
            <w:vAlign w:val="center"/>
          </w:tcPr>
          <w:p>
            <w:pPr>
              <w:pStyle w:val="12"/>
            </w:pPr>
            <w:r>
              <w:t>招商活动的签约项目个数</w:t>
            </w:r>
          </w:p>
        </w:tc>
        <w:tc>
          <w:tcPr>
            <w:tcW w:w="2268" w:type="dxa"/>
            <w:vAlign w:val="center"/>
          </w:tcPr>
          <w:p>
            <w:pPr>
              <w:pStyle w:val="12"/>
            </w:pPr>
            <w:r>
              <w:t>≥40个</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按时完成印刷任务</w:t>
            </w:r>
          </w:p>
        </w:tc>
        <w:tc>
          <w:tcPr>
            <w:tcW w:w="5386" w:type="dxa"/>
            <w:vAlign w:val="center"/>
          </w:tcPr>
          <w:p>
            <w:pPr>
              <w:pStyle w:val="12"/>
            </w:pPr>
            <w:r>
              <w:t>按时完成印刷任务</w:t>
            </w:r>
          </w:p>
        </w:tc>
        <w:tc>
          <w:tcPr>
            <w:tcW w:w="2268" w:type="dxa"/>
            <w:vAlign w:val="center"/>
          </w:tcPr>
          <w:p>
            <w:pPr>
              <w:pStyle w:val="12"/>
            </w:pPr>
            <w:r>
              <w:t>≥90百分比</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接待标准</w:t>
            </w:r>
          </w:p>
        </w:tc>
        <w:tc>
          <w:tcPr>
            <w:tcW w:w="5386" w:type="dxa"/>
            <w:vAlign w:val="center"/>
          </w:tcPr>
          <w:p>
            <w:pPr>
              <w:pStyle w:val="12"/>
            </w:pPr>
            <w:r>
              <w:t>接待标准</w:t>
            </w:r>
          </w:p>
        </w:tc>
        <w:tc>
          <w:tcPr>
            <w:tcW w:w="2268" w:type="dxa"/>
            <w:vAlign w:val="center"/>
          </w:tcPr>
          <w:p>
            <w:pPr>
              <w:pStyle w:val="12"/>
            </w:pPr>
            <w:r>
              <w:t>≤300元/人</w:t>
            </w:r>
          </w:p>
        </w:tc>
        <w:tc>
          <w:tcPr>
            <w:tcW w:w="1276" w:type="dxa"/>
            <w:vAlign w:val="center"/>
          </w:tcPr>
          <w:p>
            <w:pPr>
              <w:pStyle w:val="12"/>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招商活动的签约项目金额（亿元）</w:t>
            </w:r>
          </w:p>
        </w:tc>
        <w:tc>
          <w:tcPr>
            <w:tcW w:w="5386" w:type="dxa"/>
            <w:vAlign w:val="center"/>
          </w:tcPr>
          <w:p>
            <w:pPr>
              <w:pStyle w:val="12"/>
            </w:pPr>
            <w:r>
              <w:t>招商活动的签约项目金额（亿元）</w:t>
            </w:r>
          </w:p>
        </w:tc>
        <w:tc>
          <w:tcPr>
            <w:tcW w:w="2268" w:type="dxa"/>
            <w:vAlign w:val="center"/>
          </w:tcPr>
          <w:p>
            <w:pPr>
              <w:pStyle w:val="12"/>
            </w:pPr>
            <w:r>
              <w:t>≥2亿元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项目带动就业能力</w:t>
            </w:r>
          </w:p>
        </w:tc>
        <w:tc>
          <w:tcPr>
            <w:tcW w:w="5386" w:type="dxa"/>
            <w:vAlign w:val="center"/>
          </w:tcPr>
          <w:p>
            <w:pPr>
              <w:pStyle w:val="12"/>
            </w:pPr>
            <w:r>
              <w:t>项目带动就业能力</w:t>
            </w:r>
          </w:p>
        </w:tc>
        <w:tc>
          <w:tcPr>
            <w:tcW w:w="2268" w:type="dxa"/>
            <w:vAlign w:val="center"/>
          </w:tcPr>
          <w:p>
            <w:pPr>
              <w:pStyle w:val="12"/>
            </w:pPr>
            <w:r>
              <w:t>≥1000人</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使用公共交通次数</w:t>
            </w:r>
          </w:p>
        </w:tc>
        <w:tc>
          <w:tcPr>
            <w:tcW w:w="5386" w:type="dxa"/>
            <w:vAlign w:val="center"/>
          </w:tcPr>
          <w:p>
            <w:pPr>
              <w:pStyle w:val="12"/>
            </w:pPr>
            <w:r>
              <w:t>使用公共交通工具出差的次数占总出差次数的百分比</w:t>
            </w:r>
          </w:p>
        </w:tc>
        <w:tc>
          <w:tcPr>
            <w:tcW w:w="2268" w:type="dxa"/>
            <w:vAlign w:val="center"/>
          </w:tcPr>
          <w:p>
            <w:pPr>
              <w:pStyle w:val="12"/>
            </w:pPr>
            <w:r>
              <w:t>≥80百分比</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实际参会企业数</w:t>
            </w:r>
          </w:p>
        </w:tc>
        <w:tc>
          <w:tcPr>
            <w:tcW w:w="5386" w:type="dxa"/>
            <w:vAlign w:val="center"/>
          </w:tcPr>
          <w:p>
            <w:pPr>
              <w:pStyle w:val="12"/>
            </w:pPr>
            <w:r>
              <w:t>实际参会企业数</w:t>
            </w:r>
          </w:p>
        </w:tc>
        <w:tc>
          <w:tcPr>
            <w:tcW w:w="2268" w:type="dxa"/>
            <w:vAlign w:val="center"/>
          </w:tcPr>
          <w:p>
            <w:pPr>
              <w:pStyle w:val="12"/>
            </w:pPr>
            <w:r>
              <w:t>≥100家</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133.42</w:t>
            </w:r>
          </w:p>
        </w:tc>
        <w:tc>
          <w:tcPr>
            <w:tcW w:w="964" w:type="dxa"/>
            <w:vAlign w:val="center"/>
          </w:tcPr>
          <w:p>
            <w:pPr>
              <w:pStyle w:val="15"/>
            </w:pPr>
            <w:r>
              <w:t>133.42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秦皇岛北戴河新区招商和投资促进局本级小计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133.42</w:t>
            </w:r>
          </w:p>
        </w:tc>
        <w:tc>
          <w:tcPr>
            <w:tcW w:w="964" w:type="dxa"/>
            <w:vAlign w:val="center"/>
          </w:tcPr>
          <w:p>
            <w:pPr>
              <w:pStyle w:val="15"/>
            </w:pPr>
            <w:r>
              <w:t>133.42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18.90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场</w:t>
            </w:r>
          </w:p>
        </w:tc>
        <w:tc>
          <w:tcPr>
            <w:tcW w:w="850" w:type="dxa"/>
            <w:vAlign w:val="center"/>
          </w:tcPr>
          <w:p>
            <w:pPr>
              <w:pStyle w:val="11"/>
            </w:pPr>
            <w:r>
              <w:t>2</w:t>
            </w:r>
          </w:p>
        </w:tc>
        <w:tc>
          <w:tcPr>
            <w:tcW w:w="850" w:type="dxa"/>
            <w:vAlign w:val="center"/>
          </w:tcPr>
          <w:p>
            <w:pPr>
              <w:pStyle w:val="11"/>
            </w:pPr>
            <w:r>
              <w:t>1.20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15.66</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15.66</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15.66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0.58</w:t>
            </w:r>
          </w:p>
        </w:tc>
        <w:tc>
          <w:tcPr>
            <w:tcW w:w="964" w:type="dxa"/>
            <w:vAlign w:val="center"/>
          </w:tcPr>
          <w:p>
            <w:pPr>
              <w:pStyle w:val="11"/>
            </w:pPr>
            <w:r>
              <w:t>1.16</w:t>
            </w:r>
          </w:p>
        </w:tc>
        <w:tc>
          <w:tcPr>
            <w:tcW w:w="964" w:type="dxa"/>
            <w:vAlign w:val="center"/>
          </w:tcPr>
          <w:p>
            <w:pPr>
              <w:pStyle w:val="11"/>
            </w:pPr>
            <w:r>
              <w:t>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15.66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8.70</w:t>
            </w:r>
          </w:p>
        </w:tc>
        <w:tc>
          <w:tcPr>
            <w:tcW w:w="964" w:type="dxa"/>
            <w:vAlign w:val="center"/>
          </w:tcPr>
          <w:p>
            <w:pPr>
              <w:pStyle w:val="11"/>
            </w:pPr>
            <w:r>
              <w:t>8.70</w:t>
            </w:r>
          </w:p>
        </w:tc>
        <w:tc>
          <w:tcPr>
            <w:tcW w:w="964" w:type="dxa"/>
            <w:vAlign w:val="center"/>
          </w:tcPr>
          <w:p>
            <w:pPr>
              <w:pStyle w:val="11"/>
            </w:pPr>
            <w:r>
              <w:t>8.70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招商活动经费</w:t>
            </w:r>
          </w:p>
        </w:tc>
        <w:tc>
          <w:tcPr>
            <w:tcW w:w="964" w:type="dxa"/>
            <w:vAlign w:val="center"/>
          </w:tcPr>
          <w:p>
            <w:pPr>
              <w:pStyle w:val="11"/>
            </w:pPr>
            <w:r>
              <w:t>400.00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10.00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招商活动经费</w:t>
            </w:r>
          </w:p>
        </w:tc>
        <w:tc>
          <w:tcPr>
            <w:tcW w:w="964" w:type="dxa"/>
            <w:vAlign w:val="center"/>
          </w:tcPr>
          <w:p>
            <w:pPr>
              <w:pStyle w:val="11"/>
            </w:pPr>
            <w:r>
              <w:t>400.00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秦皇岛北戴河新区招商和投资促进局本级上年末固定资产金额为75.89万元（详见下表）。本年度拟购置固定资产总额为2.00万元，已按要求列入政府采购预算，详见政府采购预算表。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322001秦皇岛北戴河新区招商和投资促进局本级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198</w:t>
            </w:r>
          </w:p>
        </w:tc>
        <w:tc>
          <w:tcPr>
            <w:tcW w:w="2835" w:type="dxa"/>
            <w:vAlign w:val="center"/>
          </w:tcPr>
          <w:p>
            <w:pPr>
              <w:pStyle w:val="11"/>
            </w:pPr>
            <w:r>
              <w:t>56.28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6BF5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2024-02-28T11:47:52Z</dcterms:created>
  <dcterms:modified xsi:type="dcterms:W3CDTF">2024-02-28T03:47:52Z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2024-02-28T11:47:57Z</dcterms:created>
  <dcterms:modified xsi:type="dcterms:W3CDTF">2024-02-28T03:47:57Z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2024-02-28T11:47:57Z</dcterms:created>
  <dcterms:modified xsi:type="dcterms:W3CDTF">2024-02-28T03:47:57Z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2024-02-28T11:47:57Z</dcterms:created>
  <dcterms:modified xsi:type="dcterms:W3CDTF">2024-02-28T03:47:56Z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2024-02-28T11:47:56Z</dcterms:created>
  <dcterms:modified xsi:type="dcterms:W3CDTF">2024-02-28T03:47:56Z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c44b592-f4e6-4577-bebe-e6e54a190e6e}">
  <ds:schemaRefs/>
</ds:datastoreItem>
</file>

<file path=customXml/itemProps11.xml><?xml version="1.0" encoding="utf-8"?>
<ds:datastoreItem xmlns:ds="http://schemas.openxmlformats.org/officeDocument/2006/customXml" ds:itemID="{e9afdd29-6ceb-4e24-be83-20e9e07bb5d6}">
  <ds:schemaRefs/>
</ds:datastoreItem>
</file>

<file path=customXml/itemProps2.xml><?xml version="1.0" encoding="utf-8"?>
<ds:datastoreItem xmlns:ds="http://schemas.openxmlformats.org/officeDocument/2006/customXml" ds:itemID="{8b0fc760-5f84-4d27-8fc3-07aaa48852d8}">
  <ds:schemaRefs/>
</ds:datastoreItem>
</file>

<file path=customXml/itemProps3.xml><?xml version="1.0" encoding="utf-8"?>
<ds:datastoreItem xmlns:ds="http://schemas.openxmlformats.org/officeDocument/2006/customXml" ds:itemID="{29e2e08c-fafa-424c-8f6e-1562339dec16}">
  <ds:schemaRefs/>
</ds:datastoreItem>
</file>

<file path=customXml/itemProps4.xml><?xml version="1.0" encoding="utf-8"?>
<ds:datastoreItem xmlns:ds="http://schemas.openxmlformats.org/officeDocument/2006/customXml" ds:itemID="{745dd360-aba6-427b-b7ec-b761f6b96dad}">
  <ds:schemaRefs/>
</ds:datastoreItem>
</file>

<file path=customXml/itemProps5.xml><?xml version="1.0" encoding="utf-8"?>
<ds:datastoreItem xmlns:ds="http://schemas.openxmlformats.org/officeDocument/2006/customXml" ds:itemID="{0ec353f3-4e24-4e0b-8370-3875dab71f5b}">
  <ds:schemaRefs/>
</ds:datastoreItem>
</file>

<file path=customXml/itemProps6.xml><?xml version="1.0" encoding="utf-8"?>
<ds:datastoreItem xmlns:ds="http://schemas.openxmlformats.org/officeDocument/2006/customXml" ds:itemID="{300846ac-df66-4d40-bde9-0a6f6053fa76}">
  <ds:schemaRefs/>
</ds:datastoreItem>
</file>

<file path=customXml/itemProps7.xml><?xml version="1.0" encoding="utf-8"?>
<ds:datastoreItem xmlns:ds="http://schemas.openxmlformats.org/officeDocument/2006/customXml" ds:itemID="{b84a5031-dbea-41cc-abc2-7fe24f66e8b0}">
  <ds:schemaRefs/>
</ds:datastoreItem>
</file>

<file path=customXml/itemProps8.xml><?xml version="1.0" encoding="utf-8"?>
<ds:datastoreItem xmlns:ds="http://schemas.openxmlformats.org/officeDocument/2006/customXml" ds:itemID="{9972f82c-24f1-401b-a48c-d3f856aba724}">
  <ds:schemaRefs/>
</ds:datastoreItem>
</file>

<file path=customXml/itemProps9.xml><?xml version="1.0" encoding="utf-8"?>
<ds:datastoreItem xmlns:ds="http://schemas.openxmlformats.org/officeDocument/2006/customXml" ds:itemID="{867e831a-d02c-493b-ac41-d9db71d6048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2024-02-28T11:47:00Z</dcterms:created>
  <dc:creator>Administrator</dc:creator>
  <cp:lastModifiedBy>Administrator</cp:lastModifiedBy>
  <dcterms:modified xsi:type="dcterms:W3CDTF">2024-02-28T04:02:06Z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