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pacing w:line="700" w:lineRule="exact"/>
        <w:rPr>
          <w:rFonts w:ascii="方正小标宋简体" w:cs="方正小标宋简体"/>
        </w:rPr>
      </w:pPr>
      <w:r>
        <w:rPr>
          <w:rFonts w:hint="eastAsia" w:ascii="方正小标宋简体" w:hAnsi="方正小标宋简体" w:cs="方正小标宋简体"/>
        </w:rPr>
        <w:t>北戴河新区</w:t>
      </w:r>
    </w:p>
    <w:p>
      <w:pPr>
        <w:pStyle w:val="2"/>
        <w:keepNext w:val="0"/>
        <w:keepLines w:val="0"/>
        <w:widowControl w:val="0"/>
        <w:spacing w:line="700" w:lineRule="exact"/>
        <w:rPr>
          <w:rFonts w:ascii="方正小标宋简体" w:cs="方正小标宋简体"/>
          <w:w w:val="95"/>
        </w:rPr>
      </w:pPr>
      <w:r>
        <w:rPr>
          <w:rFonts w:hint="eastAsia" w:ascii="方正小标宋简体" w:hAnsi="方正小标宋简体" w:cs="方正小标宋简体"/>
          <w:w w:val="95"/>
        </w:rPr>
        <w:t>关于</w:t>
      </w:r>
      <w:r>
        <w:rPr>
          <w:rFonts w:ascii="方正小标宋简体" w:hAnsi="方正小标宋简体" w:cs="方正小标宋简体"/>
          <w:w w:val="95"/>
        </w:rPr>
        <w:t>202</w:t>
      </w:r>
      <w:r>
        <w:rPr>
          <w:rFonts w:hint="eastAsia" w:ascii="方正小标宋简体" w:hAnsi="方正小标宋简体" w:cs="方正小标宋简体"/>
          <w:w w:val="95"/>
          <w:lang w:val="en-US" w:eastAsia="zh-CN"/>
        </w:rPr>
        <w:t>3</w:t>
      </w:r>
      <w:r>
        <w:rPr>
          <w:rFonts w:hint="eastAsia" w:ascii="方正小标宋简体" w:hAnsi="方正小标宋简体" w:cs="方正小标宋简体"/>
          <w:w w:val="95"/>
        </w:rPr>
        <w:t>年预算执行及</w:t>
      </w:r>
      <w:r>
        <w:rPr>
          <w:rFonts w:ascii="方正小标宋简体" w:hAnsi="方正小标宋简体" w:cs="方正小标宋简体"/>
          <w:w w:val="95"/>
        </w:rPr>
        <w:t>202</w:t>
      </w:r>
      <w:r>
        <w:rPr>
          <w:rFonts w:hint="eastAsia" w:ascii="方正小标宋简体" w:hAnsi="方正小标宋简体" w:cs="方正小标宋简体"/>
          <w:w w:val="95"/>
          <w:lang w:val="en-US" w:eastAsia="zh-CN"/>
        </w:rPr>
        <w:t>4</w:t>
      </w:r>
      <w:r>
        <w:rPr>
          <w:rFonts w:hint="eastAsia" w:ascii="方正小标宋简体" w:hAnsi="方正小标宋简体" w:cs="方正小标宋简体"/>
          <w:w w:val="95"/>
        </w:rPr>
        <w:t>年预算草案的说明</w:t>
      </w:r>
    </w:p>
    <w:p>
      <w:pPr>
        <w:pStyle w:val="2"/>
        <w:keepNext w:val="0"/>
        <w:keepLines w:val="0"/>
        <w:widowControl w:val="0"/>
        <w:spacing w:line="700" w:lineRule="exact"/>
        <w:rPr>
          <w:spacing w:val="-28"/>
          <w:w w:val="95"/>
        </w:rPr>
      </w:pPr>
    </w:p>
    <w:p>
      <w:pPr>
        <w:widowControl w:val="0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一、</w:t>
      </w:r>
      <w:r>
        <w:rPr>
          <w:rFonts w:eastAsia="黑体"/>
          <w:szCs w:val="32"/>
        </w:rPr>
        <w:t>2023</w:t>
      </w:r>
      <w:r>
        <w:rPr>
          <w:rFonts w:hint="eastAsia" w:eastAsia="黑体"/>
          <w:szCs w:val="32"/>
        </w:rPr>
        <w:t>年预算执行情况</w:t>
      </w:r>
    </w:p>
    <w:p>
      <w:pPr>
        <w:widowControl w:val="0"/>
        <w:ind w:firstLine="640" w:firstLineChars="20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（一）</w:t>
      </w:r>
      <w:r>
        <w:rPr>
          <w:rFonts w:eastAsia="楷体_GB2312"/>
          <w:szCs w:val="32"/>
        </w:rPr>
        <w:t>2023</w:t>
      </w:r>
      <w:r>
        <w:rPr>
          <w:rFonts w:hint="eastAsia" w:eastAsia="楷体_GB2312"/>
          <w:szCs w:val="32"/>
        </w:rPr>
        <w:t>年预算执行的基本情况</w:t>
      </w:r>
    </w:p>
    <w:p>
      <w:pPr>
        <w:widowControl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1.</w:t>
      </w:r>
      <w:r>
        <w:rPr>
          <w:rFonts w:hint="eastAsia" w:eastAsia="仿宋_GB2312"/>
          <w:szCs w:val="32"/>
        </w:rPr>
        <w:t>一般公共预算完成情况</w:t>
      </w:r>
    </w:p>
    <w:p>
      <w:pPr>
        <w:widowControl w:val="0"/>
        <w:ind w:firstLine="640" w:firstLineChars="200"/>
        <w:rPr>
          <w:rFonts w:eastAsia="仿宋_GB2312"/>
          <w:szCs w:val="32"/>
          <w:shd w:val="clear" w:color="auto" w:fill="FFFFFF"/>
        </w:rPr>
      </w:pPr>
      <w:r>
        <w:rPr>
          <w:rFonts w:eastAsia="仿宋_GB2312"/>
          <w:szCs w:val="32"/>
        </w:rPr>
        <w:t>2023</w:t>
      </w:r>
      <w:r>
        <w:rPr>
          <w:rFonts w:hint="eastAsia" w:eastAsia="仿宋_GB2312"/>
          <w:szCs w:val="32"/>
        </w:rPr>
        <w:t>年一般公共预算收入</w:t>
      </w:r>
      <w:r>
        <w:rPr>
          <w:rFonts w:eastAsia="仿宋_GB2312"/>
          <w:szCs w:val="32"/>
        </w:rPr>
        <w:t>124090</w:t>
      </w:r>
      <w:r>
        <w:rPr>
          <w:rFonts w:hint="eastAsia" w:eastAsia="仿宋_GB2312"/>
          <w:szCs w:val="32"/>
        </w:rPr>
        <w:t>万元，完成年初预算的</w:t>
      </w:r>
      <w:r>
        <w:rPr>
          <w:rFonts w:eastAsia="仿宋_GB2312"/>
          <w:szCs w:val="32"/>
        </w:rPr>
        <w:t>104%</w:t>
      </w:r>
      <w:r>
        <w:rPr>
          <w:rFonts w:hint="eastAsia" w:eastAsia="仿宋_GB2312"/>
          <w:szCs w:val="32"/>
        </w:rPr>
        <w:t>，同比增长</w:t>
      </w:r>
      <w:r>
        <w:rPr>
          <w:rFonts w:eastAsia="仿宋_GB2312"/>
          <w:szCs w:val="32"/>
        </w:rPr>
        <w:t>11.3%</w:t>
      </w:r>
      <w:r>
        <w:rPr>
          <w:rFonts w:hint="eastAsia" w:eastAsia="仿宋_GB2312"/>
          <w:szCs w:val="32"/>
        </w:rPr>
        <w:t>，其中：税收收入</w:t>
      </w:r>
      <w:r>
        <w:rPr>
          <w:rFonts w:eastAsia="仿宋_GB2312"/>
          <w:szCs w:val="32"/>
        </w:rPr>
        <w:t>62127</w:t>
      </w:r>
      <w:r>
        <w:rPr>
          <w:rFonts w:hint="eastAsia" w:eastAsia="仿宋_GB2312"/>
          <w:szCs w:val="32"/>
        </w:rPr>
        <w:t>万元，完成年初预算的</w:t>
      </w:r>
      <w:r>
        <w:rPr>
          <w:rFonts w:eastAsia="仿宋_GB2312"/>
          <w:szCs w:val="32"/>
        </w:rPr>
        <w:t>98.3%</w:t>
      </w:r>
      <w:r>
        <w:rPr>
          <w:rFonts w:hint="eastAsia" w:eastAsia="仿宋_GB2312"/>
          <w:szCs w:val="32"/>
        </w:rPr>
        <w:t>，同比增长</w:t>
      </w:r>
      <w:r>
        <w:rPr>
          <w:rFonts w:eastAsia="仿宋_GB2312"/>
          <w:szCs w:val="32"/>
        </w:rPr>
        <w:t>73.9%</w:t>
      </w:r>
      <w:r>
        <w:rPr>
          <w:rFonts w:hint="eastAsia" w:eastAsia="仿宋_GB2312"/>
          <w:szCs w:val="32"/>
        </w:rPr>
        <w:t>，非税收入</w:t>
      </w:r>
      <w:r>
        <w:rPr>
          <w:rFonts w:eastAsia="仿宋_GB2312"/>
          <w:szCs w:val="32"/>
        </w:rPr>
        <w:t>61963</w:t>
      </w:r>
      <w:r>
        <w:rPr>
          <w:rFonts w:hint="eastAsia" w:eastAsia="仿宋_GB2312"/>
          <w:szCs w:val="32"/>
        </w:rPr>
        <w:t>万元，完成年初预算的</w:t>
      </w:r>
      <w:r>
        <w:rPr>
          <w:rFonts w:eastAsia="仿宋_GB2312"/>
          <w:szCs w:val="32"/>
        </w:rPr>
        <w:t>110.4%</w:t>
      </w:r>
      <w:r>
        <w:rPr>
          <w:rFonts w:hint="eastAsia" w:eastAsia="仿宋_GB2312"/>
          <w:szCs w:val="32"/>
        </w:rPr>
        <w:t>，同比下降</w:t>
      </w:r>
      <w:r>
        <w:rPr>
          <w:rFonts w:eastAsia="仿宋_GB2312"/>
          <w:szCs w:val="32"/>
        </w:rPr>
        <w:t>18.3%</w:t>
      </w:r>
      <w:r>
        <w:rPr>
          <w:rFonts w:hint="eastAsia" w:eastAsia="仿宋_GB2312"/>
          <w:szCs w:val="32"/>
        </w:rPr>
        <w:t>，非税收入占比</w:t>
      </w:r>
      <w:r>
        <w:rPr>
          <w:rFonts w:eastAsia="仿宋_GB2312"/>
          <w:szCs w:val="32"/>
        </w:rPr>
        <w:t>49.9%</w:t>
      </w:r>
      <w:r>
        <w:rPr>
          <w:rFonts w:hint="eastAsia" w:eastAsia="仿宋_GB2312"/>
          <w:szCs w:val="32"/>
          <w:shd w:val="clear" w:color="auto" w:fill="FFFFFF"/>
        </w:rPr>
        <w:t>。加上上级补助收入</w:t>
      </w:r>
      <w:r>
        <w:rPr>
          <w:rFonts w:hint="eastAsia" w:eastAsia="仿宋_GB2312"/>
          <w:szCs w:val="32"/>
          <w:shd w:val="clear" w:color="auto" w:fill="FFFFFF"/>
          <w:lang w:val="en-US" w:eastAsia="zh-CN"/>
        </w:rPr>
        <w:t>24365</w:t>
      </w:r>
      <w:r>
        <w:rPr>
          <w:rFonts w:hint="eastAsia" w:eastAsia="仿宋_GB2312"/>
          <w:szCs w:val="32"/>
          <w:shd w:val="clear" w:color="auto" w:fill="FFFFFF"/>
        </w:rPr>
        <w:t>万元、上年结余收入</w:t>
      </w:r>
      <w:r>
        <w:rPr>
          <w:rFonts w:eastAsia="仿宋_GB2312"/>
          <w:szCs w:val="32"/>
          <w:shd w:val="clear" w:color="auto" w:fill="FFFFFF"/>
        </w:rPr>
        <w:t>12836</w:t>
      </w:r>
      <w:r>
        <w:rPr>
          <w:rFonts w:hint="eastAsia" w:eastAsia="仿宋_GB2312"/>
          <w:szCs w:val="32"/>
          <w:shd w:val="clear" w:color="auto" w:fill="FFFFFF"/>
        </w:rPr>
        <w:t>万元、债务转贷收入（再融资债券）</w:t>
      </w:r>
      <w:r>
        <w:rPr>
          <w:rFonts w:eastAsia="仿宋_GB2312"/>
          <w:szCs w:val="32"/>
          <w:shd w:val="clear" w:color="auto" w:fill="FFFFFF"/>
        </w:rPr>
        <w:t>93900</w:t>
      </w:r>
      <w:r>
        <w:rPr>
          <w:rFonts w:hint="eastAsia" w:eastAsia="仿宋_GB2312"/>
          <w:szCs w:val="32"/>
          <w:shd w:val="clear" w:color="auto" w:fill="FFFFFF"/>
        </w:rPr>
        <w:t>万元、调入预算稳定调节基金</w:t>
      </w:r>
      <w:r>
        <w:rPr>
          <w:rFonts w:eastAsia="仿宋_GB2312"/>
          <w:szCs w:val="32"/>
          <w:shd w:val="clear" w:color="auto" w:fill="FFFFFF"/>
        </w:rPr>
        <w:t>2485</w:t>
      </w:r>
      <w:r>
        <w:rPr>
          <w:rFonts w:hint="eastAsia" w:eastAsia="仿宋_GB2312"/>
          <w:szCs w:val="32"/>
          <w:shd w:val="clear" w:color="auto" w:fill="FFFFFF"/>
        </w:rPr>
        <w:t>万元和调入资金</w:t>
      </w:r>
      <w:r>
        <w:rPr>
          <w:rFonts w:eastAsia="仿宋_GB2312"/>
          <w:szCs w:val="32"/>
          <w:shd w:val="clear" w:color="auto" w:fill="FFFFFF"/>
        </w:rPr>
        <w:t>1</w:t>
      </w:r>
      <w:r>
        <w:rPr>
          <w:rFonts w:hint="eastAsia" w:eastAsia="仿宋_GB2312"/>
          <w:szCs w:val="32"/>
          <w:shd w:val="clear" w:color="auto" w:fill="FFFFFF"/>
          <w:lang w:val="en-US" w:eastAsia="zh-CN"/>
        </w:rPr>
        <w:t>5232</w:t>
      </w:r>
      <w:r>
        <w:rPr>
          <w:rFonts w:hint="eastAsia" w:eastAsia="仿宋_GB2312"/>
          <w:szCs w:val="32"/>
          <w:shd w:val="clear" w:color="auto" w:fill="FFFFFF"/>
        </w:rPr>
        <w:t>万元，收入总计</w:t>
      </w:r>
      <w:r>
        <w:rPr>
          <w:rFonts w:eastAsia="仿宋_GB2312"/>
          <w:szCs w:val="32"/>
          <w:shd w:val="clear" w:color="auto" w:fill="FFFFFF"/>
        </w:rPr>
        <w:t>2</w:t>
      </w:r>
      <w:r>
        <w:rPr>
          <w:rFonts w:hint="eastAsia" w:eastAsia="仿宋_GB2312"/>
          <w:szCs w:val="32"/>
          <w:shd w:val="clear" w:color="auto" w:fill="FFFFFF"/>
          <w:lang w:val="en-US" w:eastAsia="zh-CN"/>
        </w:rPr>
        <w:t>72</w:t>
      </w:r>
      <w:r>
        <w:rPr>
          <w:rFonts w:eastAsia="仿宋_GB2312"/>
          <w:szCs w:val="32"/>
          <w:shd w:val="clear" w:color="auto" w:fill="FFFFFF"/>
        </w:rPr>
        <w:t>908</w:t>
      </w:r>
      <w:r>
        <w:rPr>
          <w:rFonts w:hint="eastAsia" w:eastAsia="仿宋_GB2312"/>
          <w:szCs w:val="32"/>
          <w:shd w:val="clear" w:color="auto" w:fill="FFFFFF"/>
        </w:rPr>
        <w:t>万元。</w:t>
      </w:r>
    </w:p>
    <w:p>
      <w:pPr>
        <w:widowControl w:val="0"/>
        <w:ind w:firstLine="640" w:firstLineChars="200"/>
        <w:rPr>
          <w:rFonts w:eastAsia="仿宋_GB2312"/>
          <w:szCs w:val="32"/>
          <w:shd w:val="clear" w:color="auto" w:fill="FFFFFF"/>
        </w:rPr>
      </w:pPr>
      <w:r>
        <w:rPr>
          <w:rFonts w:eastAsia="仿宋_GB2312"/>
          <w:szCs w:val="32"/>
          <w:shd w:val="clear" w:color="auto" w:fill="FFFFFF"/>
        </w:rPr>
        <w:t>2023</w:t>
      </w:r>
      <w:r>
        <w:rPr>
          <w:rFonts w:hint="eastAsia" w:eastAsia="仿宋_GB2312"/>
          <w:szCs w:val="32"/>
          <w:shd w:val="clear" w:color="auto" w:fill="FFFFFF"/>
        </w:rPr>
        <w:t>年一般公共预算支出</w:t>
      </w:r>
      <w:r>
        <w:rPr>
          <w:rFonts w:eastAsia="仿宋_GB2312"/>
          <w:szCs w:val="32"/>
          <w:shd w:val="clear" w:color="auto" w:fill="FFFFFF"/>
        </w:rPr>
        <w:t>168</w:t>
      </w:r>
      <w:r>
        <w:rPr>
          <w:rFonts w:hint="eastAsia" w:eastAsia="仿宋_GB2312"/>
          <w:szCs w:val="32"/>
          <w:shd w:val="clear" w:color="auto" w:fill="FFFFFF"/>
          <w:lang w:val="en-US" w:eastAsia="zh-CN"/>
        </w:rPr>
        <w:t>57</w:t>
      </w:r>
      <w:r>
        <w:rPr>
          <w:rFonts w:eastAsia="仿宋_GB2312"/>
          <w:szCs w:val="32"/>
          <w:shd w:val="clear" w:color="auto" w:fill="FFFFFF"/>
        </w:rPr>
        <w:t>0</w:t>
      </w:r>
      <w:r>
        <w:rPr>
          <w:rFonts w:hint="eastAsia" w:eastAsia="仿宋_GB2312"/>
          <w:szCs w:val="32"/>
          <w:shd w:val="clear" w:color="auto" w:fill="FFFFFF"/>
        </w:rPr>
        <w:t>万元，</w:t>
      </w:r>
      <w:r>
        <w:rPr>
          <w:rFonts w:hint="eastAsia" w:eastAsia="仿宋_GB2312"/>
          <w:szCs w:val="32"/>
        </w:rPr>
        <w:t>同比增长</w:t>
      </w:r>
      <w:r>
        <w:rPr>
          <w:rFonts w:eastAsia="仿宋_GB2312"/>
          <w:szCs w:val="32"/>
        </w:rPr>
        <w:t>3.5%</w:t>
      </w:r>
      <w:r>
        <w:rPr>
          <w:rFonts w:hint="eastAsia" w:eastAsia="仿宋_GB2312"/>
          <w:szCs w:val="32"/>
        </w:rPr>
        <w:t>。</w:t>
      </w:r>
      <w:r>
        <w:rPr>
          <w:rFonts w:hint="eastAsia" w:eastAsia="仿宋_GB2312"/>
          <w:szCs w:val="32"/>
          <w:shd w:val="clear" w:color="auto" w:fill="FFFFFF"/>
        </w:rPr>
        <w:t>加上上解上级支出</w:t>
      </w:r>
      <w:r>
        <w:rPr>
          <w:rFonts w:hint="eastAsia" w:eastAsia="仿宋_GB2312"/>
          <w:szCs w:val="32"/>
          <w:shd w:val="clear" w:color="auto" w:fill="FFFFFF"/>
          <w:lang w:val="en-US" w:eastAsia="zh-CN"/>
        </w:rPr>
        <w:t>2290</w:t>
      </w:r>
      <w:r>
        <w:rPr>
          <w:rFonts w:hint="eastAsia" w:eastAsia="仿宋_GB2312"/>
          <w:szCs w:val="32"/>
          <w:shd w:val="clear" w:color="auto" w:fill="FFFFFF"/>
        </w:rPr>
        <w:t>万元、债务还本支出</w:t>
      </w:r>
      <w:r>
        <w:rPr>
          <w:rFonts w:eastAsia="仿宋_GB2312"/>
          <w:szCs w:val="32"/>
          <w:shd w:val="clear" w:color="auto" w:fill="FFFFFF"/>
        </w:rPr>
        <w:t>94051</w:t>
      </w:r>
      <w:r>
        <w:rPr>
          <w:rFonts w:hint="eastAsia" w:eastAsia="仿宋_GB2312"/>
          <w:szCs w:val="32"/>
          <w:shd w:val="clear" w:color="auto" w:fill="FFFFFF"/>
        </w:rPr>
        <w:t>万元</w:t>
      </w:r>
      <w:r>
        <w:rPr>
          <w:rFonts w:hint="eastAsia" w:eastAsia="仿宋_GB2312"/>
          <w:szCs w:val="32"/>
          <w:shd w:val="clear" w:color="auto" w:fill="FFFFFF"/>
          <w:lang w:val="en-US" w:eastAsia="zh-CN"/>
        </w:rPr>
        <w:t>和调出资金3917万元</w:t>
      </w:r>
      <w:r>
        <w:rPr>
          <w:rFonts w:hint="eastAsia" w:eastAsia="仿宋_GB2312"/>
          <w:szCs w:val="32"/>
          <w:shd w:val="clear" w:color="auto" w:fill="FFFFFF"/>
        </w:rPr>
        <w:t>，支出总计</w:t>
      </w:r>
      <w:r>
        <w:rPr>
          <w:rFonts w:hint="eastAsia" w:eastAsia="仿宋_GB2312"/>
          <w:szCs w:val="32"/>
          <w:shd w:val="clear" w:color="auto" w:fill="FFFFFF"/>
          <w:lang w:val="en-US" w:eastAsia="zh-CN"/>
        </w:rPr>
        <w:t>268228</w:t>
      </w:r>
      <w:r>
        <w:rPr>
          <w:rFonts w:hint="eastAsia" w:eastAsia="仿宋_GB2312"/>
          <w:szCs w:val="32"/>
          <w:shd w:val="clear" w:color="auto" w:fill="FFFFFF"/>
        </w:rPr>
        <w:t>万元。收支相抵，结转下年</w:t>
      </w:r>
      <w:r>
        <w:rPr>
          <w:rFonts w:hint="eastAsia" w:eastAsia="仿宋_GB2312"/>
          <w:szCs w:val="32"/>
          <w:shd w:val="clear" w:color="auto" w:fill="FFFFFF"/>
          <w:lang w:val="en-US" w:eastAsia="zh-CN"/>
        </w:rPr>
        <w:t>4080</w:t>
      </w:r>
      <w:r>
        <w:rPr>
          <w:rFonts w:hint="eastAsia" w:eastAsia="仿宋_GB2312"/>
          <w:szCs w:val="32"/>
          <w:shd w:val="clear" w:color="auto" w:fill="FFFFFF"/>
        </w:rPr>
        <w:t>万元。</w:t>
      </w:r>
    </w:p>
    <w:p>
      <w:pPr>
        <w:widowControl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2.</w:t>
      </w:r>
      <w:r>
        <w:rPr>
          <w:rFonts w:hint="eastAsia" w:eastAsia="仿宋_GB2312"/>
          <w:szCs w:val="32"/>
        </w:rPr>
        <w:t>政府性基金预算完成情况</w:t>
      </w:r>
    </w:p>
    <w:p>
      <w:pPr>
        <w:widowControl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2023</w:t>
      </w:r>
      <w:r>
        <w:rPr>
          <w:rFonts w:hint="eastAsia" w:eastAsia="仿宋_GB2312"/>
          <w:szCs w:val="32"/>
        </w:rPr>
        <w:t>年政府性基金收入完成</w:t>
      </w:r>
      <w:r>
        <w:rPr>
          <w:rFonts w:eastAsia="仿宋_GB2312"/>
          <w:szCs w:val="32"/>
        </w:rPr>
        <w:t>82971</w:t>
      </w:r>
      <w:r>
        <w:rPr>
          <w:rFonts w:hint="eastAsia" w:eastAsia="仿宋_GB2312"/>
          <w:szCs w:val="32"/>
        </w:rPr>
        <w:t>万元，同比下降</w:t>
      </w:r>
      <w:r>
        <w:rPr>
          <w:rFonts w:eastAsia="仿宋_GB2312"/>
          <w:szCs w:val="32"/>
        </w:rPr>
        <w:t>39.7%</w:t>
      </w:r>
      <w:r>
        <w:rPr>
          <w:rFonts w:hint="eastAsia" w:eastAsia="仿宋_GB2312"/>
          <w:szCs w:val="32"/>
        </w:rPr>
        <w:t>，其中：国有土地使用权出让收入</w:t>
      </w:r>
      <w:r>
        <w:rPr>
          <w:rFonts w:eastAsia="仿宋_GB2312"/>
          <w:szCs w:val="32"/>
        </w:rPr>
        <w:t>79454</w:t>
      </w:r>
      <w:r>
        <w:rPr>
          <w:rFonts w:hint="eastAsia" w:eastAsia="仿宋_GB2312"/>
          <w:szCs w:val="32"/>
        </w:rPr>
        <w:t>万元，同比下降</w:t>
      </w:r>
      <w:r>
        <w:rPr>
          <w:rFonts w:eastAsia="仿宋_GB2312"/>
          <w:szCs w:val="32"/>
        </w:rPr>
        <w:t>39.4%</w:t>
      </w:r>
      <w:r>
        <w:rPr>
          <w:rFonts w:hint="eastAsia" w:eastAsia="仿宋_GB2312"/>
          <w:szCs w:val="32"/>
        </w:rPr>
        <w:t>，城市基础设施配套费收入</w:t>
      </w:r>
      <w:r>
        <w:rPr>
          <w:rFonts w:eastAsia="仿宋_GB2312"/>
          <w:szCs w:val="32"/>
        </w:rPr>
        <w:t>3498</w:t>
      </w:r>
      <w:r>
        <w:rPr>
          <w:rFonts w:hint="eastAsia" w:eastAsia="仿宋_GB2312"/>
          <w:szCs w:val="32"/>
        </w:rPr>
        <w:t>万元，同比下降</w:t>
      </w:r>
      <w:r>
        <w:rPr>
          <w:rFonts w:eastAsia="仿宋_GB2312"/>
          <w:szCs w:val="32"/>
        </w:rPr>
        <w:t>46.5%</w:t>
      </w:r>
      <w:r>
        <w:rPr>
          <w:rFonts w:hint="eastAsia" w:eastAsia="仿宋_GB2312"/>
          <w:szCs w:val="32"/>
        </w:rPr>
        <w:t>。加上上级补助收入</w:t>
      </w:r>
      <w:r>
        <w:rPr>
          <w:rFonts w:hint="eastAsia" w:eastAsia="仿宋_GB2312"/>
          <w:szCs w:val="32"/>
          <w:lang w:val="en-US" w:eastAsia="zh-CN"/>
        </w:rPr>
        <w:t>4690</w:t>
      </w:r>
      <w:r>
        <w:rPr>
          <w:rFonts w:hint="eastAsia" w:eastAsia="仿宋_GB2312"/>
          <w:szCs w:val="32"/>
        </w:rPr>
        <w:t>万元、</w:t>
      </w:r>
      <w:r>
        <w:rPr>
          <w:rFonts w:hint="eastAsia" w:eastAsia="仿宋_GB2312"/>
          <w:szCs w:val="32"/>
          <w:lang w:val="en-US" w:eastAsia="zh-CN"/>
        </w:rPr>
        <w:t>调入资金3917万元、</w:t>
      </w:r>
      <w:r>
        <w:rPr>
          <w:rFonts w:hint="eastAsia" w:eastAsia="仿宋_GB2312"/>
          <w:szCs w:val="32"/>
        </w:rPr>
        <w:t>债务转贷收入</w:t>
      </w:r>
      <w:r>
        <w:rPr>
          <w:rFonts w:eastAsia="仿宋_GB2312"/>
          <w:szCs w:val="32"/>
        </w:rPr>
        <w:t>144400</w:t>
      </w:r>
      <w:r>
        <w:rPr>
          <w:rFonts w:hint="eastAsia" w:eastAsia="仿宋_GB2312"/>
          <w:szCs w:val="32"/>
        </w:rPr>
        <w:t>万元</w:t>
      </w:r>
      <w:r>
        <w:rPr>
          <w:rFonts w:hint="eastAsia" w:eastAsia="仿宋_GB2312"/>
          <w:szCs w:val="32"/>
          <w:shd w:val="clear" w:color="auto" w:fill="FFFFFF"/>
        </w:rPr>
        <w:t>（其中，再融资债券</w:t>
      </w:r>
      <w:r>
        <w:rPr>
          <w:rFonts w:eastAsia="仿宋_GB2312"/>
          <w:szCs w:val="32"/>
        </w:rPr>
        <w:t>27400</w:t>
      </w:r>
      <w:r>
        <w:rPr>
          <w:rFonts w:hint="eastAsia" w:eastAsia="仿宋_GB2312"/>
          <w:szCs w:val="32"/>
        </w:rPr>
        <w:t>万元，新增专项债券</w:t>
      </w:r>
      <w:r>
        <w:rPr>
          <w:rFonts w:eastAsia="仿宋_GB2312"/>
          <w:szCs w:val="32"/>
        </w:rPr>
        <w:t>117000</w:t>
      </w:r>
      <w:r>
        <w:rPr>
          <w:rFonts w:hint="eastAsia" w:eastAsia="仿宋_GB2312"/>
          <w:szCs w:val="32"/>
        </w:rPr>
        <w:t>万元</w:t>
      </w:r>
      <w:r>
        <w:rPr>
          <w:rFonts w:hint="eastAsia" w:eastAsia="仿宋_GB2312"/>
          <w:szCs w:val="32"/>
          <w:shd w:val="clear" w:color="auto" w:fill="FFFFFF"/>
        </w:rPr>
        <w:t>）</w:t>
      </w:r>
      <w:r>
        <w:rPr>
          <w:rFonts w:hint="eastAsia" w:eastAsia="仿宋_GB2312"/>
          <w:szCs w:val="32"/>
        </w:rPr>
        <w:t>和上年结余收入</w:t>
      </w:r>
      <w:r>
        <w:rPr>
          <w:rFonts w:eastAsia="仿宋_GB2312"/>
          <w:szCs w:val="32"/>
        </w:rPr>
        <w:t>66032</w:t>
      </w:r>
      <w:r>
        <w:rPr>
          <w:rFonts w:hint="eastAsia" w:eastAsia="仿宋_GB2312"/>
          <w:szCs w:val="32"/>
        </w:rPr>
        <w:t>万元，收入总计</w:t>
      </w:r>
      <w:r>
        <w:rPr>
          <w:rFonts w:hint="eastAsia" w:eastAsia="仿宋_GB2312"/>
          <w:szCs w:val="32"/>
          <w:lang w:val="en-US" w:eastAsia="zh-CN"/>
        </w:rPr>
        <w:t>302010</w:t>
      </w:r>
      <w:r>
        <w:rPr>
          <w:rFonts w:hint="eastAsia" w:eastAsia="仿宋_GB2312"/>
          <w:szCs w:val="32"/>
        </w:rPr>
        <w:t>万元。</w:t>
      </w:r>
    </w:p>
    <w:p>
      <w:pPr>
        <w:widowControl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2023</w:t>
      </w:r>
      <w:r>
        <w:rPr>
          <w:rFonts w:hint="eastAsia" w:eastAsia="仿宋_GB2312"/>
          <w:szCs w:val="32"/>
        </w:rPr>
        <w:t>年政府性基金区级支出</w:t>
      </w:r>
      <w:r>
        <w:rPr>
          <w:rFonts w:eastAsia="仿宋_GB2312"/>
          <w:szCs w:val="32"/>
        </w:rPr>
        <w:t>186</w:t>
      </w:r>
      <w:r>
        <w:rPr>
          <w:rFonts w:hint="eastAsia" w:eastAsia="仿宋_GB2312"/>
          <w:szCs w:val="32"/>
          <w:lang w:val="en-US" w:eastAsia="zh-CN"/>
        </w:rPr>
        <w:t>32</w:t>
      </w:r>
      <w:r>
        <w:rPr>
          <w:rFonts w:eastAsia="仿宋_GB2312"/>
          <w:szCs w:val="32"/>
        </w:rPr>
        <w:t>4</w:t>
      </w:r>
      <w:r>
        <w:rPr>
          <w:rFonts w:hint="eastAsia" w:eastAsia="仿宋_GB2312"/>
          <w:szCs w:val="32"/>
        </w:rPr>
        <w:t>万元，同比增长</w:t>
      </w:r>
      <w:r>
        <w:rPr>
          <w:rFonts w:eastAsia="仿宋_GB2312"/>
          <w:szCs w:val="32"/>
        </w:rPr>
        <w:t>3%</w:t>
      </w:r>
      <w:r>
        <w:rPr>
          <w:rFonts w:hint="eastAsia" w:eastAsia="仿宋_GB2312"/>
          <w:szCs w:val="32"/>
        </w:rPr>
        <w:t>。加上还本支出</w:t>
      </w:r>
      <w:r>
        <w:rPr>
          <w:rFonts w:eastAsia="仿宋_GB2312"/>
          <w:szCs w:val="32"/>
        </w:rPr>
        <w:t>33390</w:t>
      </w:r>
      <w:r>
        <w:rPr>
          <w:rFonts w:hint="eastAsia" w:eastAsia="仿宋_GB2312"/>
          <w:szCs w:val="32"/>
        </w:rPr>
        <w:t>万元和调出资金</w:t>
      </w:r>
      <w:r>
        <w:rPr>
          <w:rFonts w:hint="eastAsia" w:eastAsia="仿宋_GB2312"/>
          <w:szCs w:val="32"/>
          <w:lang w:val="en-US" w:eastAsia="zh-CN"/>
        </w:rPr>
        <w:t>3978</w:t>
      </w:r>
      <w:r>
        <w:rPr>
          <w:rFonts w:hint="eastAsia" w:eastAsia="仿宋_GB2312"/>
          <w:szCs w:val="32"/>
        </w:rPr>
        <w:t>万元，支出总计</w:t>
      </w:r>
      <w:r>
        <w:rPr>
          <w:rFonts w:eastAsia="仿宋_GB2312"/>
          <w:szCs w:val="32"/>
        </w:rPr>
        <w:t>22</w:t>
      </w:r>
      <w:r>
        <w:rPr>
          <w:rFonts w:hint="eastAsia" w:eastAsia="仿宋_GB2312"/>
          <w:szCs w:val="32"/>
          <w:lang w:val="en-US" w:eastAsia="zh-CN"/>
        </w:rPr>
        <w:t>3692</w:t>
      </w:r>
      <w:r>
        <w:rPr>
          <w:rFonts w:hint="eastAsia" w:eastAsia="仿宋_GB2312"/>
          <w:szCs w:val="32"/>
        </w:rPr>
        <w:t>万元。收支相抵，结转下年</w:t>
      </w:r>
      <w:r>
        <w:rPr>
          <w:rFonts w:eastAsia="仿宋_GB2312"/>
          <w:szCs w:val="32"/>
        </w:rPr>
        <w:t>78318</w:t>
      </w:r>
      <w:r>
        <w:rPr>
          <w:rFonts w:hint="eastAsia" w:eastAsia="仿宋_GB2312"/>
          <w:szCs w:val="32"/>
        </w:rPr>
        <w:t>万元。</w:t>
      </w:r>
    </w:p>
    <w:p>
      <w:pPr>
        <w:widowControl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3.</w:t>
      </w:r>
      <w:r>
        <w:rPr>
          <w:rFonts w:hint="eastAsia" w:eastAsia="仿宋_GB2312"/>
          <w:szCs w:val="32"/>
        </w:rPr>
        <w:t>社会保险基金预算完成情况</w:t>
      </w:r>
    </w:p>
    <w:p>
      <w:pPr>
        <w:widowControl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2023</w:t>
      </w:r>
      <w:r>
        <w:rPr>
          <w:rFonts w:hint="eastAsia" w:eastAsia="仿宋_GB2312"/>
          <w:szCs w:val="32"/>
        </w:rPr>
        <w:t>年社会保险基金收入</w:t>
      </w:r>
      <w:r>
        <w:rPr>
          <w:rFonts w:eastAsia="仿宋_GB2312"/>
          <w:szCs w:val="32"/>
        </w:rPr>
        <w:t>8344</w:t>
      </w:r>
      <w:r>
        <w:rPr>
          <w:rFonts w:hint="eastAsia" w:eastAsia="仿宋_GB2312"/>
          <w:szCs w:val="32"/>
        </w:rPr>
        <w:t>万元，加上上年结余</w:t>
      </w:r>
      <w:r>
        <w:rPr>
          <w:rFonts w:eastAsia="仿宋_GB2312"/>
          <w:szCs w:val="32"/>
        </w:rPr>
        <w:t>8773</w:t>
      </w:r>
      <w:r>
        <w:rPr>
          <w:rFonts w:hint="eastAsia" w:eastAsia="仿宋_GB2312"/>
          <w:szCs w:val="32"/>
        </w:rPr>
        <w:t>万元，收入总计</w:t>
      </w:r>
      <w:r>
        <w:rPr>
          <w:rFonts w:eastAsia="仿宋_GB2312"/>
          <w:szCs w:val="32"/>
        </w:rPr>
        <w:t>17117</w:t>
      </w:r>
      <w:r>
        <w:rPr>
          <w:rFonts w:hint="eastAsia" w:eastAsia="仿宋_GB2312"/>
          <w:szCs w:val="32"/>
        </w:rPr>
        <w:t>万元。社会保险基金支出</w:t>
      </w:r>
      <w:r>
        <w:rPr>
          <w:rFonts w:eastAsia="仿宋_GB2312"/>
          <w:szCs w:val="32"/>
        </w:rPr>
        <w:t>8783</w:t>
      </w:r>
      <w:r>
        <w:rPr>
          <w:rFonts w:hint="eastAsia" w:eastAsia="仿宋_GB2312"/>
          <w:szCs w:val="32"/>
        </w:rPr>
        <w:t>万元。收支相抵，年末滚存结余</w:t>
      </w:r>
      <w:r>
        <w:rPr>
          <w:rFonts w:eastAsia="仿宋_GB2312"/>
          <w:szCs w:val="32"/>
        </w:rPr>
        <w:t>8334</w:t>
      </w:r>
      <w:r>
        <w:rPr>
          <w:rFonts w:hint="eastAsia" w:eastAsia="仿宋_GB2312"/>
          <w:szCs w:val="32"/>
        </w:rPr>
        <w:t>万元。</w:t>
      </w:r>
    </w:p>
    <w:p>
      <w:pPr>
        <w:widowControl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4.</w:t>
      </w:r>
      <w:r>
        <w:rPr>
          <w:rFonts w:hint="eastAsia" w:eastAsia="仿宋_GB2312"/>
          <w:szCs w:val="32"/>
        </w:rPr>
        <w:t>政府债务情况</w:t>
      </w:r>
    </w:p>
    <w:p>
      <w:pPr>
        <w:widowControl w:val="0"/>
        <w:ind w:firstLine="640" w:firstLineChars="200"/>
        <w:rPr>
          <w:rFonts w:eastAsia="仿宋_GB2312"/>
          <w:szCs w:val="32"/>
          <w:shd w:val="clear" w:color="auto" w:fill="FFFFFF"/>
        </w:rPr>
      </w:pPr>
      <w:r>
        <w:rPr>
          <w:rFonts w:eastAsia="仿宋_GB2312"/>
          <w:szCs w:val="32"/>
          <w:shd w:val="clear" w:color="auto" w:fill="FFFFFF"/>
        </w:rPr>
        <w:t>2023</w:t>
      </w:r>
      <w:r>
        <w:rPr>
          <w:rFonts w:hint="eastAsia" w:eastAsia="仿宋_GB2312"/>
          <w:szCs w:val="32"/>
          <w:shd w:val="clear" w:color="auto" w:fill="FFFFFF"/>
        </w:rPr>
        <w:t>年年初债务余额为</w:t>
      </w:r>
      <w:r>
        <w:rPr>
          <w:rFonts w:eastAsia="仿宋_GB2312"/>
          <w:szCs w:val="32"/>
          <w:shd w:val="clear" w:color="auto" w:fill="FFFFFF"/>
        </w:rPr>
        <w:t>534320</w:t>
      </w:r>
      <w:r>
        <w:rPr>
          <w:rFonts w:hint="eastAsia" w:eastAsia="仿宋_GB2312"/>
          <w:szCs w:val="32"/>
          <w:shd w:val="clear" w:color="auto" w:fill="FFFFFF"/>
        </w:rPr>
        <w:t>万元，偿还政府债券本金</w:t>
      </w:r>
      <w:r>
        <w:rPr>
          <w:rFonts w:eastAsia="仿宋_GB2312"/>
          <w:szCs w:val="32"/>
          <w:shd w:val="clear" w:color="auto" w:fill="FFFFFF"/>
        </w:rPr>
        <w:t>6141</w:t>
      </w:r>
      <w:r>
        <w:rPr>
          <w:rFonts w:hint="eastAsia" w:eastAsia="仿宋_GB2312"/>
          <w:szCs w:val="32"/>
          <w:shd w:val="clear" w:color="auto" w:fill="FFFFFF"/>
        </w:rPr>
        <w:t>万元，新增专项债券资金</w:t>
      </w:r>
      <w:r>
        <w:rPr>
          <w:rFonts w:eastAsia="仿宋_GB2312"/>
          <w:szCs w:val="32"/>
          <w:shd w:val="clear" w:color="auto" w:fill="FFFFFF"/>
        </w:rPr>
        <w:t>117000</w:t>
      </w:r>
      <w:r>
        <w:rPr>
          <w:rFonts w:hint="eastAsia" w:eastAsia="仿宋_GB2312"/>
          <w:szCs w:val="32"/>
          <w:shd w:val="clear" w:color="auto" w:fill="FFFFFF"/>
        </w:rPr>
        <w:t>万元。截至</w:t>
      </w:r>
      <w:r>
        <w:rPr>
          <w:rFonts w:eastAsia="仿宋_GB2312"/>
          <w:szCs w:val="32"/>
          <w:shd w:val="clear" w:color="auto" w:fill="FFFFFF"/>
        </w:rPr>
        <w:t>2023</w:t>
      </w:r>
      <w:r>
        <w:rPr>
          <w:rFonts w:hint="eastAsia" w:eastAsia="仿宋_GB2312"/>
          <w:szCs w:val="32"/>
          <w:shd w:val="clear" w:color="auto" w:fill="FFFFFF"/>
        </w:rPr>
        <w:t>年底，政府债务余额</w:t>
      </w:r>
      <w:r>
        <w:rPr>
          <w:rFonts w:eastAsia="仿宋_GB2312"/>
          <w:szCs w:val="32"/>
          <w:shd w:val="clear" w:color="auto" w:fill="FFFFFF"/>
        </w:rPr>
        <w:t>645179</w:t>
      </w:r>
      <w:r>
        <w:rPr>
          <w:rFonts w:hint="eastAsia" w:eastAsia="仿宋_GB2312"/>
          <w:szCs w:val="32"/>
          <w:shd w:val="clear" w:color="auto" w:fill="FFFFFF"/>
        </w:rPr>
        <w:t>万元，政府债务限额</w:t>
      </w:r>
      <w:r>
        <w:rPr>
          <w:rFonts w:eastAsia="仿宋_GB2312"/>
          <w:szCs w:val="32"/>
          <w:shd w:val="clear" w:color="auto" w:fill="FFFFFF"/>
        </w:rPr>
        <w:t>831502</w:t>
      </w:r>
      <w:r>
        <w:rPr>
          <w:rFonts w:hint="eastAsia" w:eastAsia="仿宋_GB2312"/>
          <w:szCs w:val="32"/>
          <w:shd w:val="clear" w:color="auto" w:fill="FFFFFF"/>
        </w:rPr>
        <w:t>万元，并超额完成隐性债务化解任务。</w:t>
      </w:r>
    </w:p>
    <w:p>
      <w:pPr>
        <w:widowControl w:val="0"/>
        <w:ind w:firstLine="66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需要说明的是，随着上级财政部门结算的批复，上述预算执行结果还会有所变动，届时将依照程序向市人大常委会报告决算情况。</w:t>
      </w:r>
    </w:p>
    <w:p>
      <w:pPr>
        <w:widowControl w:val="0"/>
        <w:ind w:firstLine="640" w:firstLineChars="20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（二）落实市人大决议和重点工作开展情况</w:t>
      </w:r>
    </w:p>
    <w:p>
      <w:pPr>
        <w:widowControl w:val="0"/>
        <w:adjustRightInd w:val="0"/>
        <w:snapToGrid w:val="0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一年来，在市委、市政府的正确领导和市人大、市政协的监督支持下，北戴河新区认真贯彻预算法及其实施条例、人大预算审查监督重点向支出预算和政策拓展的要求，全面落实市人大预算决议和审查意见，统筹发展和安全，积极发挥财政调控保障作用，有力促进了全区高质量发展。</w:t>
      </w:r>
    </w:p>
    <w:p>
      <w:pPr>
        <w:widowControl w:val="0"/>
        <w:adjustRightInd w:val="0"/>
        <w:snapToGrid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1.</w:t>
      </w:r>
      <w:r>
        <w:rPr>
          <w:rFonts w:hint="eastAsia" w:eastAsia="仿宋_GB2312"/>
          <w:szCs w:val="32"/>
        </w:rPr>
        <w:t>着力促进生态环境改善。自觉践行绿水青山就是金山银山的理念，全区生态环保支出</w:t>
      </w:r>
      <w:r>
        <w:rPr>
          <w:rFonts w:eastAsia="仿宋_GB2312"/>
          <w:szCs w:val="32"/>
        </w:rPr>
        <w:t>13779</w:t>
      </w:r>
      <w:r>
        <w:rPr>
          <w:rFonts w:hint="eastAsia" w:eastAsia="仿宋_GB2312"/>
          <w:szCs w:val="32"/>
        </w:rPr>
        <w:t>万元，支持建设天蓝、地绿、水秀的美丽新区。一是助力打好污染防治攻坚战。统筹大气污染防治资金</w:t>
      </w:r>
      <w:r>
        <w:rPr>
          <w:rFonts w:eastAsia="仿宋_GB2312"/>
          <w:szCs w:val="32"/>
        </w:rPr>
        <w:t>2080</w:t>
      </w:r>
      <w:r>
        <w:rPr>
          <w:rFonts w:hint="eastAsia" w:eastAsia="仿宋_GB2312"/>
          <w:szCs w:val="32"/>
        </w:rPr>
        <w:t>万元，保障农村地区冬季清洁取暖；落实水污染防治相关资金</w:t>
      </w:r>
      <w:r>
        <w:rPr>
          <w:rFonts w:eastAsia="仿宋_GB2312"/>
          <w:szCs w:val="32"/>
        </w:rPr>
        <w:t>5445</w:t>
      </w:r>
      <w:r>
        <w:rPr>
          <w:rFonts w:hint="eastAsia" w:eastAsia="仿宋_GB2312"/>
          <w:szCs w:val="32"/>
        </w:rPr>
        <w:t>万元，推进重点河流生态治理项目，加强水污染防治，持续推动水生态环境改善；统筹资金</w:t>
      </w:r>
      <w:r>
        <w:rPr>
          <w:rFonts w:eastAsia="仿宋_GB2312"/>
          <w:szCs w:val="32"/>
        </w:rPr>
        <w:t>1387</w:t>
      </w:r>
      <w:r>
        <w:rPr>
          <w:rFonts w:hint="eastAsia" w:eastAsia="仿宋_GB2312"/>
          <w:szCs w:val="32"/>
        </w:rPr>
        <w:t>万元，用于开展农村环境综合整治。二是助力推动生态环境保护修复。安排造林绿化及土地流转资金</w:t>
      </w:r>
      <w:r>
        <w:rPr>
          <w:rFonts w:eastAsia="仿宋_GB2312"/>
          <w:szCs w:val="32"/>
        </w:rPr>
        <w:t>2507</w:t>
      </w:r>
      <w:r>
        <w:rPr>
          <w:rFonts w:hint="eastAsia" w:eastAsia="仿宋_GB2312"/>
          <w:szCs w:val="32"/>
        </w:rPr>
        <w:t>万元，保障城区绿地养护、公园保洁和绿化补植工作；安排退养资金</w:t>
      </w:r>
      <w:r>
        <w:rPr>
          <w:rFonts w:eastAsia="仿宋_GB2312"/>
          <w:szCs w:val="32"/>
        </w:rPr>
        <w:t>2360</w:t>
      </w:r>
      <w:r>
        <w:rPr>
          <w:rFonts w:hint="eastAsia" w:eastAsia="仿宋_GB2312"/>
          <w:szCs w:val="32"/>
        </w:rPr>
        <w:t>万元，推进七里海海洋生态保护修复工程开展。</w:t>
      </w:r>
    </w:p>
    <w:p>
      <w:pPr>
        <w:widowControl w:val="0"/>
        <w:adjustRightInd w:val="0"/>
        <w:snapToGrid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2.</w:t>
      </w:r>
      <w:r>
        <w:rPr>
          <w:rFonts w:hint="eastAsia" w:eastAsia="仿宋_GB2312"/>
          <w:szCs w:val="32"/>
        </w:rPr>
        <w:t>着力支持乡村全面振兴。坚持农业农村优先发展，强化财政支农投入保障，全区农业农村支出</w:t>
      </w:r>
      <w:r>
        <w:rPr>
          <w:rFonts w:eastAsia="仿宋_GB2312"/>
          <w:szCs w:val="32"/>
        </w:rPr>
        <w:t>10290</w:t>
      </w:r>
      <w:r>
        <w:rPr>
          <w:rFonts w:hint="eastAsia" w:eastAsia="仿宋_GB2312"/>
          <w:szCs w:val="32"/>
        </w:rPr>
        <w:t>万元。一是支持渔业产业发展。统筹资金</w:t>
      </w:r>
      <w:r>
        <w:rPr>
          <w:rFonts w:eastAsia="仿宋_GB2312"/>
          <w:szCs w:val="32"/>
        </w:rPr>
        <w:t>3442</w:t>
      </w:r>
      <w:r>
        <w:rPr>
          <w:rFonts w:hint="eastAsia" w:eastAsia="仿宋_GB2312"/>
          <w:szCs w:val="32"/>
        </w:rPr>
        <w:t>万元，支持渔船渔港综合保障和渔业资源养护，落实渔业成品油价格补贴，支持打造优势特色产业集群。二是推动城乡环境提升。统筹资金</w:t>
      </w:r>
      <w:r>
        <w:rPr>
          <w:rFonts w:eastAsia="仿宋_GB2312"/>
          <w:szCs w:val="32"/>
        </w:rPr>
        <w:t>1521</w:t>
      </w:r>
      <w:r>
        <w:rPr>
          <w:rFonts w:hint="eastAsia" w:eastAsia="仿宋_GB2312"/>
          <w:szCs w:val="32"/>
        </w:rPr>
        <w:t>万元，支持城乡环卫保洁及农村环卫保洁。三是推进乡村建设行动。统筹资金</w:t>
      </w:r>
      <w:r>
        <w:rPr>
          <w:rFonts w:eastAsia="仿宋_GB2312"/>
          <w:szCs w:val="32"/>
        </w:rPr>
        <w:t>2267</w:t>
      </w:r>
      <w:r>
        <w:rPr>
          <w:rFonts w:hint="eastAsia" w:eastAsia="仿宋_GB2312"/>
          <w:szCs w:val="32"/>
        </w:rPr>
        <w:t>万元，支持农村人居环境整治，通过以奖代补鼓励美丽乡村建设，推动农村厕所新改建，农村污水、垃圾治理和村容村貌清洁提升，农村人居环境持续改善。四是加大水利基础设施投入。统筹各类资金</w:t>
      </w:r>
      <w:r>
        <w:rPr>
          <w:rFonts w:eastAsia="仿宋_GB2312"/>
          <w:szCs w:val="32"/>
        </w:rPr>
        <w:t>3060</w:t>
      </w:r>
      <w:r>
        <w:rPr>
          <w:rFonts w:hint="eastAsia" w:eastAsia="仿宋_GB2312"/>
          <w:szCs w:val="32"/>
        </w:rPr>
        <w:t>万元，推进地下水超采综合治理，加快小型农村水利设施建设。</w:t>
      </w:r>
    </w:p>
    <w:p>
      <w:pPr>
        <w:widowControl w:val="0"/>
        <w:adjustRightInd w:val="0"/>
        <w:snapToGrid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3.</w:t>
      </w:r>
      <w:r>
        <w:rPr>
          <w:rFonts w:hint="eastAsia" w:eastAsia="仿宋_GB2312"/>
          <w:szCs w:val="32"/>
        </w:rPr>
        <w:t>着力保障和改善民生。认真落实以人民为中心的发展思想，坚持尽力而为、量力而行，全区民生支出持续增加，保障各项民生实事顺利实施。一是落实就业优先战略。筹集各类资金</w:t>
      </w:r>
      <w:r>
        <w:rPr>
          <w:rFonts w:eastAsia="仿宋_GB2312"/>
          <w:szCs w:val="32"/>
        </w:rPr>
        <w:t>558</w:t>
      </w:r>
      <w:r>
        <w:rPr>
          <w:rFonts w:hint="eastAsia" w:eastAsia="仿宋_GB2312"/>
          <w:szCs w:val="32"/>
        </w:rPr>
        <w:t>万元，落实鼓励企业吸纳就业、支持自主创业和灵活就业等财政政策措施，落实创业担保贷款贴息及奖补等。二是推动社会事业全面发展。全区教育支出</w:t>
      </w:r>
      <w:r>
        <w:rPr>
          <w:rFonts w:eastAsia="仿宋_GB2312"/>
          <w:szCs w:val="32"/>
        </w:rPr>
        <w:t>22019</w:t>
      </w:r>
      <w:r>
        <w:rPr>
          <w:rFonts w:hint="eastAsia" w:eastAsia="仿宋_GB2312"/>
          <w:szCs w:val="32"/>
        </w:rPr>
        <w:t>万元，改善学校办学条件，有力保障各项教学工作开展；全区卫生健康支出</w:t>
      </w:r>
      <w:r>
        <w:rPr>
          <w:rFonts w:eastAsia="仿宋_GB2312"/>
          <w:szCs w:val="32"/>
        </w:rPr>
        <w:t>7943</w:t>
      </w:r>
      <w:r>
        <w:rPr>
          <w:rFonts w:hint="eastAsia" w:eastAsia="仿宋_GB2312"/>
          <w:szCs w:val="32"/>
        </w:rPr>
        <w:t>万元，基本公共卫生服务人均财政补助标准提高到</w:t>
      </w:r>
      <w:r>
        <w:rPr>
          <w:rFonts w:eastAsia="仿宋_GB2312"/>
          <w:szCs w:val="32"/>
        </w:rPr>
        <w:t>89</w:t>
      </w:r>
      <w:r>
        <w:rPr>
          <w:rFonts w:hint="eastAsia" w:eastAsia="仿宋_GB2312"/>
          <w:szCs w:val="32"/>
        </w:rPr>
        <w:t>元，强化疫情防控经费保障，加快建设健康新区；全区文化旅游体育与传媒支出</w:t>
      </w:r>
      <w:r>
        <w:rPr>
          <w:rFonts w:eastAsia="仿宋_GB2312"/>
          <w:szCs w:val="32"/>
        </w:rPr>
        <w:t>1027</w:t>
      </w:r>
      <w:r>
        <w:rPr>
          <w:rFonts w:hint="eastAsia" w:eastAsia="仿宋_GB2312"/>
          <w:szCs w:val="32"/>
        </w:rPr>
        <w:t>万元，推动公共文化服务体系建设和文化产业繁荣。三是完善社会保障体系。全区社会保障支出</w:t>
      </w:r>
      <w:r>
        <w:rPr>
          <w:rFonts w:eastAsia="仿宋_GB2312"/>
          <w:szCs w:val="32"/>
        </w:rPr>
        <w:t>13944</w:t>
      </w:r>
      <w:r>
        <w:rPr>
          <w:rFonts w:hint="eastAsia" w:eastAsia="仿宋_GB2312"/>
          <w:szCs w:val="32"/>
        </w:rPr>
        <w:t>万元，调整基本养老金待遇水平，企业和机关事业单位退休职工月人均养老金水平提高</w:t>
      </w:r>
      <w:r>
        <w:rPr>
          <w:rFonts w:eastAsia="仿宋_GB2312"/>
          <w:szCs w:val="32"/>
        </w:rPr>
        <w:t>4%</w:t>
      </w:r>
      <w:r>
        <w:rPr>
          <w:rFonts w:hint="eastAsia" w:eastAsia="仿宋_GB2312"/>
          <w:szCs w:val="32"/>
        </w:rPr>
        <w:t>，城乡居民基础养老金最低标准提高</w:t>
      </w:r>
      <w:r>
        <w:rPr>
          <w:rFonts w:eastAsia="仿宋_GB2312"/>
          <w:szCs w:val="32"/>
        </w:rPr>
        <w:t>17</w:t>
      </w:r>
      <w:r>
        <w:rPr>
          <w:rFonts w:hint="eastAsia" w:eastAsia="仿宋_GB2312"/>
          <w:szCs w:val="32"/>
        </w:rPr>
        <w:t>元；扎实推进企业养老保险全国统筹，确保养老金按时足额发放；保障困难群众基本生活，落实低保对象、特困人员生活补贴；保障全区优抚对象和退役军人各项政策待遇落实。</w:t>
      </w:r>
    </w:p>
    <w:p>
      <w:pPr>
        <w:widowControl w:val="0"/>
        <w:adjustRightInd w:val="0"/>
        <w:snapToGrid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4.</w:t>
      </w:r>
      <w:r>
        <w:rPr>
          <w:rFonts w:hint="eastAsia" w:eastAsia="仿宋_GB2312"/>
          <w:szCs w:val="32"/>
        </w:rPr>
        <w:t>着力推动经济平稳运行。一是充分发挥专项债券拉动投资作用，优化专项债券投向领域，加快债券发行使用。</w:t>
      </w:r>
      <w:r>
        <w:rPr>
          <w:rFonts w:eastAsia="仿宋_GB2312"/>
          <w:szCs w:val="32"/>
        </w:rPr>
        <w:t>2023</w:t>
      </w:r>
      <w:r>
        <w:rPr>
          <w:rFonts w:hint="eastAsia" w:eastAsia="仿宋_GB2312"/>
          <w:szCs w:val="32"/>
        </w:rPr>
        <w:t>年申请到位新增专项债券</w:t>
      </w:r>
      <w:r>
        <w:rPr>
          <w:rFonts w:eastAsia="仿宋_GB2312"/>
          <w:szCs w:val="32"/>
        </w:rPr>
        <w:t>11.7</w:t>
      </w:r>
      <w:r>
        <w:rPr>
          <w:rFonts w:hint="eastAsia" w:eastAsia="仿宋_GB2312"/>
          <w:szCs w:val="32"/>
        </w:rPr>
        <w:t>亿元，有力支持了</w:t>
      </w:r>
      <w:r>
        <w:rPr>
          <w:rFonts w:eastAsia="仿宋_GB2312"/>
          <w:szCs w:val="32"/>
        </w:rPr>
        <w:t>9</w:t>
      </w:r>
      <w:r>
        <w:rPr>
          <w:rFonts w:hint="eastAsia" w:eastAsia="仿宋_GB2312"/>
          <w:szCs w:val="32"/>
        </w:rPr>
        <w:t>个公益性项目建设，对扩投资、稳增长发挥了重要作用。二是助企纾困政策有力有效。增加政府采购面向中小企业预留份额，提高小微企业价格评审优惠，开展政府采购领域保证金专项清理，全区政府采购授予中小微企业合同金额占政府采购规模的比例达</w:t>
      </w:r>
      <w:r>
        <w:rPr>
          <w:szCs w:val="32"/>
        </w:rPr>
        <w:t>95.9%</w:t>
      </w:r>
      <w:r>
        <w:rPr>
          <w:rFonts w:hint="eastAsia" w:eastAsia="仿宋_GB2312"/>
          <w:szCs w:val="32"/>
        </w:rPr>
        <w:t>。</w:t>
      </w:r>
    </w:p>
    <w:p>
      <w:pPr>
        <w:widowControl w:val="0"/>
        <w:adjustRightInd w:val="0"/>
        <w:snapToGrid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5.</w:t>
      </w:r>
      <w:r>
        <w:rPr>
          <w:rFonts w:hint="eastAsia" w:eastAsia="仿宋_GB2312"/>
          <w:szCs w:val="32"/>
        </w:rPr>
        <w:t>着力提升财政管理效能。牢固树立法治意识和绩效理念，建立健全管理制度和运行机制，财政管理科学化规范化水平进一步提升。一是严格预算执行管理。依法组织收入，坚持应减尽减、应收尽收，杜绝违规揽税收费及虚收空转；严格落实过紧日子要求，大力压减一般性支出，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三公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经费支出持续下降；健全财政支出约束机制，严格规范预算调整和调剂，积极盘活财政存量资金和闲置资产，推进行政事业单位资产共享共用。二是完善财政体制机制。深化预算绩效管理改革，进一步提升绩效目标指标质量，全面开展绩效运行监控，精心组织财政重点绩效评价</w:t>
      </w:r>
      <w:r>
        <w:rPr>
          <w:rFonts w:eastAsia="仿宋_GB2312"/>
          <w:szCs w:val="32"/>
        </w:rPr>
        <w:t>18</w:t>
      </w:r>
      <w:r>
        <w:rPr>
          <w:rFonts w:hint="eastAsia" w:eastAsia="仿宋_GB2312"/>
          <w:szCs w:val="32"/>
        </w:rPr>
        <w:t>项、涉及资金</w:t>
      </w:r>
      <w:r>
        <w:rPr>
          <w:rFonts w:eastAsia="仿宋_GB2312"/>
          <w:szCs w:val="32"/>
        </w:rPr>
        <w:t>1.78</w:t>
      </w:r>
      <w:r>
        <w:rPr>
          <w:rFonts w:hint="eastAsia" w:eastAsia="仿宋_GB2312"/>
          <w:szCs w:val="32"/>
        </w:rPr>
        <w:t>亿元；深入推进预算管理一体化，直达资金监控、行政事业单位资产、地方政府债务等全部纳入一体化系统，实现同平台互联互通。三是依法接受监督。依法向市人大及其常委会报告预算执行、决算等情况，着力打造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阳光财政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，进一步提升预决算公开水平。</w:t>
      </w:r>
    </w:p>
    <w:p>
      <w:pPr>
        <w:widowControl w:val="0"/>
        <w:adjustRightInd w:val="0"/>
        <w:snapToGrid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6.</w:t>
      </w:r>
      <w:r>
        <w:rPr>
          <w:rFonts w:hint="eastAsia" w:eastAsia="仿宋_GB2312"/>
          <w:szCs w:val="32"/>
        </w:rPr>
        <w:t>着力防范化解财政风险。加强源头防范、过程管控，牢牢守住不发生系统性区域性风险的底线。一是狠抓基层运转保障。加大财政保障能力，强化运行监控，按要求编制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三保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预算，确保财政正常运转。二是有效防范债务风险。加强政府债券还本付息全流程管理，全区到期债券本息全部按时偿还，继续保持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零违约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；用好借新还旧政策，发行再融资债券</w:t>
      </w:r>
      <w:r>
        <w:rPr>
          <w:rFonts w:eastAsia="仿宋_GB2312"/>
          <w:szCs w:val="32"/>
        </w:rPr>
        <w:t>12.13</w:t>
      </w:r>
      <w:r>
        <w:rPr>
          <w:rFonts w:hint="eastAsia" w:eastAsia="仿宋_GB2312"/>
          <w:szCs w:val="32"/>
        </w:rPr>
        <w:t>亿元，偿还各类债务本息</w:t>
      </w:r>
      <w:r>
        <w:rPr>
          <w:rFonts w:eastAsia="仿宋_GB2312"/>
          <w:szCs w:val="32"/>
        </w:rPr>
        <w:t>8.66</w:t>
      </w:r>
      <w:r>
        <w:rPr>
          <w:rFonts w:hint="eastAsia" w:eastAsia="仿宋_GB2312"/>
          <w:szCs w:val="32"/>
        </w:rPr>
        <w:t>亿元，有效缓解了财政运行压力；对隐性债务风险化解进行全面核查，确保不出现债务风险事件。三是严格维护财经纪律。对照</w:t>
      </w:r>
      <w:r>
        <w:rPr>
          <w:rFonts w:eastAsia="仿宋_GB2312"/>
          <w:szCs w:val="32"/>
        </w:rPr>
        <w:t>7</w:t>
      </w:r>
      <w:r>
        <w:rPr>
          <w:rFonts w:hint="eastAsia" w:eastAsia="仿宋_GB2312"/>
          <w:szCs w:val="32"/>
        </w:rPr>
        <w:t>个领域、</w:t>
      </w:r>
      <w:r>
        <w:rPr>
          <w:rFonts w:eastAsia="仿宋_GB2312"/>
          <w:szCs w:val="32"/>
        </w:rPr>
        <w:t>44</w:t>
      </w:r>
      <w:r>
        <w:rPr>
          <w:rFonts w:hint="eastAsia" w:eastAsia="仿宋_GB2312"/>
          <w:szCs w:val="32"/>
        </w:rPr>
        <w:t>项专项整治内容，扎实开展地方财经秩序专项整治行动；深入开展涉企违规收费专项整治，建立健全长效机制。</w:t>
      </w:r>
      <w:r>
        <w:rPr>
          <w:rFonts w:eastAsia="仿宋_GB2312"/>
          <w:szCs w:val="32"/>
        </w:rPr>
        <w:t> </w:t>
      </w:r>
    </w:p>
    <w:p>
      <w:pPr>
        <w:widowControl w:val="0"/>
        <w:adjustRightInd w:val="0"/>
        <w:snapToGrid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2023</w:t>
      </w:r>
      <w:r>
        <w:rPr>
          <w:rFonts w:hint="eastAsia" w:eastAsia="仿宋_GB2312"/>
          <w:szCs w:val="32"/>
        </w:rPr>
        <w:t>年的成绩来之不易，这是市委、市政府坚强领导的结果，是市人大依法监督、市政协民主监督的结果，也是全区各部门团结一心、共同努力的结果。在总结成绩的同时，我们也清醒地认识到，预算执行和财政工作中还存在一些困难和问题，主要是：受经济下行压力加大影响，财政收入持续增长的基础还不牢固，收入结构有待优化；民生政策提标等支出需求刚性增长，财政收支矛盾更加突出，预算平衡压力进一步加大。对此，我们一定高度重视，认真研究，积极采取措施予以解决。</w:t>
      </w:r>
      <w:r>
        <w:rPr>
          <w:rFonts w:eastAsia="仿宋_GB2312"/>
          <w:szCs w:val="32"/>
        </w:rPr>
        <w:t> </w:t>
      </w:r>
    </w:p>
    <w:p>
      <w:pPr>
        <w:widowControl w:val="0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二、</w:t>
      </w:r>
      <w:r>
        <w:rPr>
          <w:rFonts w:eastAsia="黑体"/>
          <w:szCs w:val="32"/>
        </w:rPr>
        <w:t>2024</w:t>
      </w:r>
      <w:r>
        <w:rPr>
          <w:rFonts w:hint="eastAsia" w:eastAsia="黑体"/>
          <w:szCs w:val="32"/>
        </w:rPr>
        <w:t>年预算安排情况</w:t>
      </w:r>
    </w:p>
    <w:p>
      <w:pPr>
        <w:widowControl w:val="0"/>
        <w:ind w:firstLine="640" w:firstLineChars="20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（一）</w:t>
      </w:r>
      <w:r>
        <w:rPr>
          <w:rFonts w:eastAsia="楷体_GB2312"/>
          <w:szCs w:val="32"/>
        </w:rPr>
        <w:t>2024</w:t>
      </w:r>
      <w:r>
        <w:rPr>
          <w:rFonts w:hint="eastAsia" w:eastAsia="楷体_GB2312"/>
          <w:szCs w:val="32"/>
        </w:rPr>
        <w:t>年预算安排的指导思想和总体思路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2024</w:t>
      </w:r>
      <w:r>
        <w:rPr>
          <w:rFonts w:hint="eastAsia" w:eastAsia="仿宋_GB2312"/>
          <w:szCs w:val="32"/>
        </w:rPr>
        <w:t>年是中华人民共和国成立</w:t>
      </w:r>
      <w:r>
        <w:rPr>
          <w:rFonts w:eastAsia="仿宋_GB2312"/>
          <w:szCs w:val="32"/>
        </w:rPr>
        <w:t>75</w:t>
      </w:r>
      <w:r>
        <w:rPr>
          <w:rFonts w:hint="eastAsia" w:eastAsia="仿宋_GB2312"/>
          <w:szCs w:val="32"/>
        </w:rPr>
        <w:t>周年，是实施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十四五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规划的关键一年。编制好</w:t>
      </w:r>
      <w:r>
        <w:rPr>
          <w:rFonts w:eastAsia="仿宋_GB2312"/>
          <w:szCs w:val="32"/>
        </w:rPr>
        <w:t>2024</w:t>
      </w:r>
      <w:r>
        <w:rPr>
          <w:rFonts w:hint="eastAsia" w:eastAsia="仿宋_GB2312"/>
          <w:szCs w:val="32"/>
        </w:rPr>
        <w:t>年预算、做好各项财政工作，具有十分重要的意义。编制</w:t>
      </w:r>
      <w:r>
        <w:rPr>
          <w:rFonts w:eastAsia="仿宋_GB2312"/>
          <w:szCs w:val="32"/>
        </w:rPr>
        <w:t>2024</w:t>
      </w:r>
      <w:r>
        <w:rPr>
          <w:rFonts w:hint="eastAsia" w:eastAsia="仿宋_GB2312"/>
          <w:szCs w:val="32"/>
        </w:rPr>
        <w:t>年预算的指导思想是：以习近平新时代中国特色社会主义思想为指导，全面贯彻落实党的二十大和二十届二中全会精神，按照中央经济工作会议部署，坚持稳中求进工作总基调，完整、准确、全面贯彻新发展理念，加快构建新发展格局，着力推动高质量发展。落实好结构性减税降费政策，合理把握政策力度，重点支持科技创新和制造业发展；稳妥安排政府专项债券规模，发挥</w:t>
      </w:r>
      <w:r>
        <w:rPr>
          <w:rFonts w:eastAsia="仿宋_GB2312"/>
          <w:szCs w:val="32"/>
        </w:rPr>
        <w:t>2023</w:t>
      </w:r>
      <w:r>
        <w:rPr>
          <w:rFonts w:hint="eastAsia" w:eastAsia="仿宋_GB2312"/>
          <w:szCs w:val="32"/>
        </w:rPr>
        <w:t>年增发国债资金作用，加大财政资金统筹力度，保持必要的支出强度，集中力量办大事，强化国家重大战略任务财力保障；完善预算安排和管理措施，强化绩效结果应用，大力优化支出结构，坚持过紧日子不动摇，严控一般性支出，兜牢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三保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底线，把财政资金用好、用在刀刃上，提高资金效益和政策效果；加强财政承受能力评估，抓好政府债务风险化解，促进财政健康平稳可持续运行，持续推动经济实现质的有效提升和量的合理增长，为示范区跨越发展提供有力保障。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围绕上述指导思想，</w:t>
      </w:r>
      <w:r>
        <w:rPr>
          <w:rFonts w:eastAsia="仿宋_GB2312"/>
          <w:szCs w:val="32"/>
        </w:rPr>
        <w:t>2024</w:t>
      </w:r>
      <w:r>
        <w:rPr>
          <w:rFonts w:hint="eastAsia" w:eastAsia="仿宋_GB2312"/>
          <w:szCs w:val="32"/>
        </w:rPr>
        <w:t>年预算编制坚持政治引领、务实创新，统筹兼顾、突出重点，厉行节约、讲求绩效，积极稳妥、防控风险的基本原则，重点把握了以下几个方面：一是全面落实各项决策部署。深入学习贯彻党的二十大和二十届二中全会精神，着力保障中央、省、市重大决策部署落实。二是调整优化支出结构。坚持零基预算理念，打破基数概念和支出固化格局，清理到期政策，压减非急需项目，腾出资金保基本、保运转、保重点。三是加力提效落实积极的财政政策。积极争取中央、省政策支持，加快债券资金发行使用，拉动项目投资。四是稳步提升民生福祉。坚持尽力而为、量力而行，稳步提高居民养老、城乡低保、残疾人生活和护理补贴等保障标准，落实就业优先政策，支持办好民生实事，增进人民福祉。五是坚决落实过紧日子要求。充分估计困难挑战，实事求是、科学预测，稳妥安排收入预算；坚持勤俭办一切事业，继续压减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三公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经费财政拨款预算，严控一般性支出，把有限资金用在关键处、紧要时。六是更加突出绩效导向。坚持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花钱必问效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，强化预算绩效全过程管理；深化预算管理制度改革，提升预算管理水平。七是有效防控财政风险。兜牢兜实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三保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底线；合理安排新增政府债务规模，落实还本付息资金，防范化解债务风险。</w:t>
      </w:r>
      <w:r>
        <w:rPr>
          <w:rFonts w:eastAsia="仿宋_GB2312"/>
          <w:szCs w:val="32"/>
        </w:rPr>
        <w:t> </w:t>
      </w:r>
    </w:p>
    <w:p>
      <w:pPr>
        <w:widowControl w:val="0"/>
        <w:ind w:firstLine="640" w:firstLineChars="20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（二）</w:t>
      </w:r>
      <w:r>
        <w:rPr>
          <w:rFonts w:eastAsia="楷体_GB2312"/>
          <w:szCs w:val="32"/>
        </w:rPr>
        <w:t>2024</w:t>
      </w:r>
      <w:r>
        <w:rPr>
          <w:rFonts w:hint="eastAsia" w:eastAsia="楷体_GB2312"/>
          <w:szCs w:val="32"/>
        </w:rPr>
        <w:t>年区级预算草案</w:t>
      </w:r>
    </w:p>
    <w:p>
      <w:pPr>
        <w:pStyle w:val="4"/>
        <w:keepNext w:val="0"/>
        <w:keepLines w:val="0"/>
        <w:widowControl w:val="0"/>
        <w:ind w:firstLine="64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1.</w:t>
      </w:r>
      <w:r>
        <w:rPr>
          <w:rFonts w:hint="eastAsia" w:ascii="Times New Roman" w:hAnsi="Times New Roman" w:eastAsia="仿宋_GB2312"/>
          <w:szCs w:val="32"/>
        </w:rPr>
        <w:t>一般公共预算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收入总计</w:t>
      </w:r>
      <w:r>
        <w:rPr>
          <w:rFonts w:eastAsia="仿宋_GB2312"/>
          <w:szCs w:val="32"/>
          <w:highlight w:val="yellow"/>
        </w:rPr>
        <w:t>2432</w:t>
      </w:r>
      <w:r>
        <w:rPr>
          <w:rFonts w:hint="eastAsia" w:eastAsia="仿宋_GB2312"/>
          <w:szCs w:val="32"/>
          <w:highlight w:val="yellow"/>
          <w:lang w:val="en-US" w:eastAsia="zh-CN"/>
        </w:rPr>
        <w:t>0</w:t>
      </w:r>
      <w:r>
        <w:rPr>
          <w:rFonts w:eastAsia="仿宋_GB2312"/>
          <w:szCs w:val="32"/>
          <w:highlight w:val="yellow"/>
        </w:rPr>
        <w:t>9</w:t>
      </w:r>
      <w:r>
        <w:rPr>
          <w:rFonts w:hint="eastAsia" w:eastAsia="仿宋_GB2312"/>
          <w:szCs w:val="32"/>
        </w:rPr>
        <w:t>万元，包括：①本级收入预算安排</w:t>
      </w:r>
      <w:r>
        <w:rPr>
          <w:rFonts w:eastAsia="仿宋_GB2312"/>
          <w:szCs w:val="32"/>
        </w:rPr>
        <w:t>136500</w:t>
      </w:r>
      <w:r>
        <w:rPr>
          <w:rFonts w:hint="eastAsia" w:eastAsia="仿宋_GB2312"/>
          <w:szCs w:val="32"/>
        </w:rPr>
        <w:t>万元，增长</w:t>
      </w:r>
      <w:r>
        <w:rPr>
          <w:rFonts w:eastAsia="仿宋_GB2312"/>
          <w:szCs w:val="32"/>
        </w:rPr>
        <w:t>10%</w:t>
      </w:r>
      <w:r>
        <w:rPr>
          <w:rFonts w:hint="eastAsia" w:eastAsia="仿宋_GB2312"/>
          <w:szCs w:val="32"/>
        </w:rPr>
        <w:t>，其中：税收收入</w:t>
      </w:r>
      <w:r>
        <w:rPr>
          <w:rFonts w:eastAsia="仿宋_GB2312"/>
          <w:szCs w:val="32"/>
        </w:rPr>
        <w:t>82000</w:t>
      </w:r>
      <w:r>
        <w:rPr>
          <w:rFonts w:hint="eastAsia" w:eastAsia="仿宋_GB2312"/>
          <w:szCs w:val="32"/>
        </w:rPr>
        <w:t>万元、非税收入</w:t>
      </w:r>
      <w:r>
        <w:rPr>
          <w:rFonts w:eastAsia="仿宋_GB2312"/>
          <w:szCs w:val="32"/>
        </w:rPr>
        <w:t>54500</w:t>
      </w:r>
      <w:r>
        <w:rPr>
          <w:rFonts w:hint="eastAsia" w:eastAsia="仿宋_GB2312"/>
          <w:szCs w:val="32"/>
        </w:rPr>
        <w:t>万元；②上级税收返还收入</w:t>
      </w:r>
      <w:r>
        <w:rPr>
          <w:rFonts w:eastAsia="仿宋_GB2312"/>
          <w:szCs w:val="32"/>
        </w:rPr>
        <w:t>8581</w:t>
      </w:r>
      <w:r>
        <w:rPr>
          <w:rFonts w:hint="eastAsia" w:eastAsia="仿宋_GB2312"/>
          <w:szCs w:val="32"/>
        </w:rPr>
        <w:t>万元；③财力性转移支付收入</w:t>
      </w:r>
      <w:r>
        <w:rPr>
          <w:rFonts w:eastAsia="仿宋_GB2312"/>
          <w:szCs w:val="32"/>
        </w:rPr>
        <w:t>709</w:t>
      </w:r>
      <w:r>
        <w:rPr>
          <w:rFonts w:hint="eastAsia" w:eastAsia="仿宋_GB2312"/>
          <w:szCs w:val="32"/>
        </w:rPr>
        <w:t>万元；④提前通知的转移支付资金</w:t>
      </w:r>
      <w:r>
        <w:rPr>
          <w:rFonts w:eastAsia="仿宋_GB2312"/>
          <w:szCs w:val="32"/>
          <w:highlight w:val="yellow"/>
        </w:rPr>
        <w:t>14687</w:t>
      </w:r>
      <w:r>
        <w:rPr>
          <w:rFonts w:hint="eastAsia" w:eastAsia="仿宋_GB2312"/>
          <w:szCs w:val="32"/>
        </w:rPr>
        <w:t>万元；⑤债务转贷收入</w:t>
      </w:r>
      <w:r>
        <w:rPr>
          <w:rFonts w:eastAsia="仿宋_GB2312"/>
          <w:szCs w:val="32"/>
        </w:rPr>
        <w:t>100</w:t>
      </w:r>
      <w:r>
        <w:rPr>
          <w:rFonts w:hint="eastAsia" w:eastAsia="仿宋_GB2312"/>
          <w:szCs w:val="32"/>
        </w:rPr>
        <w:t>万元，为争取再融资一般债券收入；⑥调入资金</w:t>
      </w:r>
      <w:r>
        <w:rPr>
          <w:rFonts w:eastAsia="仿宋_GB2312"/>
          <w:szCs w:val="32"/>
        </w:rPr>
        <w:t>826</w:t>
      </w:r>
      <w:r>
        <w:rPr>
          <w:rFonts w:hint="eastAsia" w:eastAsia="仿宋_GB2312"/>
          <w:szCs w:val="32"/>
          <w:lang w:val="en-US" w:eastAsia="zh-CN"/>
        </w:rPr>
        <w:t>3</w:t>
      </w:r>
      <w:r>
        <w:rPr>
          <w:rFonts w:eastAsia="仿宋_GB2312"/>
          <w:szCs w:val="32"/>
        </w:rPr>
        <w:t>2</w:t>
      </w:r>
      <w:r>
        <w:rPr>
          <w:rFonts w:hint="eastAsia" w:eastAsia="仿宋_GB2312"/>
          <w:szCs w:val="32"/>
        </w:rPr>
        <w:t>万元。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支出总计</w:t>
      </w:r>
      <w:r>
        <w:rPr>
          <w:rFonts w:eastAsia="仿宋_GB2312"/>
          <w:szCs w:val="32"/>
          <w:highlight w:val="yellow"/>
        </w:rPr>
        <w:t>2432</w:t>
      </w:r>
      <w:r>
        <w:rPr>
          <w:rFonts w:hint="eastAsia" w:eastAsia="仿宋_GB2312"/>
          <w:szCs w:val="32"/>
          <w:highlight w:val="yellow"/>
          <w:lang w:val="en-US" w:eastAsia="zh-CN"/>
        </w:rPr>
        <w:t>0</w:t>
      </w:r>
      <w:r>
        <w:rPr>
          <w:rFonts w:eastAsia="仿宋_GB2312"/>
          <w:szCs w:val="32"/>
          <w:highlight w:val="yellow"/>
        </w:rPr>
        <w:t>9</w:t>
      </w:r>
      <w:r>
        <w:rPr>
          <w:rFonts w:hint="eastAsia" w:eastAsia="仿宋_GB2312"/>
          <w:szCs w:val="32"/>
        </w:rPr>
        <w:t>万元，包括：①一般公共预算支出</w:t>
      </w:r>
      <w:r>
        <w:rPr>
          <w:rFonts w:eastAsia="仿宋_GB2312"/>
          <w:szCs w:val="32"/>
        </w:rPr>
        <w:t>216</w:t>
      </w:r>
      <w:r>
        <w:rPr>
          <w:rFonts w:hint="eastAsia" w:eastAsia="仿宋_GB2312"/>
          <w:szCs w:val="32"/>
          <w:lang w:val="en-US" w:eastAsia="zh-CN"/>
        </w:rPr>
        <w:t>508</w:t>
      </w:r>
      <w:r>
        <w:rPr>
          <w:rFonts w:hint="eastAsia" w:eastAsia="仿宋_GB2312"/>
          <w:szCs w:val="32"/>
        </w:rPr>
        <w:t>万元，其中：区级财力安排支出</w:t>
      </w:r>
      <w:r>
        <w:rPr>
          <w:rFonts w:eastAsia="仿宋_GB2312"/>
          <w:szCs w:val="32"/>
        </w:rPr>
        <w:t>201</w:t>
      </w:r>
      <w:r>
        <w:rPr>
          <w:rFonts w:hint="eastAsia" w:eastAsia="仿宋_GB2312"/>
          <w:szCs w:val="32"/>
          <w:lang w:val="en-US" w:eastAsia="zh-CN"/>
        </w:rPr>
        <w:t>821</w:t>
      </w:r>
      <w:r>
        <w:rPr>
          <w:rFonts w:hint="eastAsia" w:eastAsia="仿宋_GB2312"/>
          <w:szCs w:val="32"/>
        </w:rPr>
        <w:t>万元；②上解上级支出</w:t>
      </w:r>
      <w:r>
        <w:rPr>
          <w:rFonts w:eastAsia="仿宋_GB2312"/>
          <w:szCs w:val="32"/>
        </w:rPr>
        <w:t>26</w:t>
      </w:r>
      <w:r>
        <w:rPr>
          <w:rFonts w:hint="eastAsia" w:eastAsia="仿宋_GB2312"/>
          <w:szCs w:val="32"/>
          <w:lang w:val="en-US" w:eastAsia="zh-CN"/>
        </w:rPr>
        <w:t>532</w:t>
      </w:r>
      <w:r>
        <w:rPr>
          <w:rFonts w:hint="eastAsia" w:eastAsia="仿宋_GB2312"/>
          <w:szCs w:val="32"/>
        </w:rPr>
        <w:t>万元，主要是市级税收增量分成</w:t>
      </w:r>
      <w:r>
        <w:rPr>
          <w:rFonts w:eastAsia="仿宋_GB2312"/>
          <w:szCs w:val="32"/>
        </w:rPr>
        <w:t>20578</w:t>
      </w:r>
      <w:r>
        <w:rPr>
          <w:rFonts w:hint="eastAsia" w:eastAsia="仿宋_GB2312"/>
          <w:szCs w:val="32"/>
        </w:rPr>
        <w:t>万元；③债务还本支出</w:t>
      </w:r>
      <w:r>
        <w:rPr>
          <w:rFonts w:eastAsia="仿宋_GB2312"/>
          <w:szCs w:val="32"/>
        </w:rPr>
        <w:t>169</w:t>
      </w:r>
      <w:r>
        <w:rPr>
          <w:rFonts w:hint="eastAsia" w:eastAsia="仿宋_GB2312"/>
          <w:szCs w:val="32"/>
        </w:rPr>
        <w:t>万元。</w:t>
      </w:r>
    </w:p>
    <w:p>
      <w:pPr>
        <w:pStyle w:val="4"/>
        <w:keepNext w:val="0"/>
        <w:keepLines w:val="0"/>
        <w:widowControl w:val="0"/>
        <w:ind w:firstLine="64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2.</w:t>
      </w:r>
      <w:r>
        <w:rPr>
          <w:rFonts w:hint="eastAsia" w:ascii="Times New Roman" w:hAnsi="Times New Roman" w:eastAsia="仿宋_GB2312"/>
          <w:szCs w:val="32"/>
        </w:rPr>
        <w:t>政府性基金预算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本级收入预算安排</w:t>
      </w:r>
      <w:r>
        <w:rPr>
          <w:rFonts w:eastAsia="仿宋_GB2312"/>
          <w:szCs w:val="32"/>
        </w:rPr>
        <w:t>2000</w:t>
      </w:r>
      <w:r>
        <w:rPr>
          <w:rFonts w:hint="eastAsia" w:eastAsia="仿宋_GB2312"/>
          <w:szCs w:val="32"/>
          <w:lang w:val="en-US" w:eastAsia="zh-CN"/>
        </w:rPr>
        <w:t>0</w:t>
      </w:r>
      <w:r>
        <w:rPr>
          <w:rFonts w:eastAsia="仿宋_GB2312"/>
          <w:szCs w:val="32"/>
        </w:rPr>
        <w:t>0</w:t>
      </w:r>
      <w:r>
        <w:rPr>
          <w:rFonts w:hint="eastAsia" w:eastAsia="仿宋_GB2312"/>
          <w:szCs w:val="32"/>
        </w:rPr>
        <w:t>万元，其中：国有土地使用权出让收入</w:t>
      </w:r>
      <w:r>
        <w:rPr>
          <w:rFonts w:eastAsia="仿宋_GB2312"/>
          <w:szCs w:val="32"/>
        </w:rPr>
        <w:t>19</w:t>
      </w:r>
      <w:r>
        <w:rPr>
          <w:rFonts w:hint="eastAsia" w:eastAsia="仿宋_GB2312"/>
          <w:szCs w:val="32"/>
          <w:lang w:val="en-US" w:eastAsia="zh-CN"/>
        </w:rPr>
        <w:t>499</w:t>
      </w:r>
      <w:r>
        <w:rPr>
          <w:rFonts w:eastAsia="仿宋_GB2312"/>
          <w:szCs w:val="32"/>
        </w:rPr>
        <w:t>0</w:t>
      </w:r>
      <w:r>
        <w:rPr>
          <w:rFonts w:hint="eastAsia" w:eastAsia="仿宋_GB2312"/>
          <w:szCs w:val="32"/>
        </w:rPr>
        <w:t>万元，城市基础设施配套费收入</w:t>
      </w:r>
      <w:r>
        <w:rPr>
          <w:rFonts w:eastAsia="仿宋_GB2312"/>
          <w:szCs w:val="32"/>
        </w:rPr>
        <w:t>5000</w:t>
      </w:r>
      <w:r>
        <w:rPr>
          <w:rFonts w:hint="eastAsia" w:eastAsia="仿宋_GB2312"/>
          <w:szCs w:val="32"/>
        </w:rPr>
        <w:t>万元，污水处理费收入</w:t>
      </w:r>
      <w:r>
        <w:rPr>
          <w:rFonts w:eastAsia="仿宋_GB2312"/>
          <w:szCs w:val="32"/>
        </w:rPr>
        <w:t>10</w:t>
      </w:r>
      <w:r>
        <w:rPr>
          <w:rFonts w:hint="eastAsia" w:eastAsia="仿宋_GB2312"/>
          <w:szCs w:val="32"/>
        </w:rPr>
        <w:t>万元。加上专项债券再融资收入</w:t>
      </w:r>
      <w:r>
        <w:rPr>
          <w:rFonts w:eastAsia="仿宋_GB2312"/>
          <w:szCs w:val="32"/>
        </w:rPr>
        <w:t>16500</w:t>
      </w:r>
      <w:r>
        <w:rPr>
          <w:rFonts w:hint="eastAsia" w:eastAsia="仿宋_GB2312"/>
          <w:szCs w:val="32"/>
        </w:rPr>
        <w:t>万元，提前通知的转移支付资金</w:t>
      </w:r>
      <w:r>
        <w:rPr>
          <w:rFonts w:eastAsia="仿宋_GB2312"/>
          <w:szCs w:val="32"/>
        </w:rPr>
        <w:t>277</w:t>
      </w:r>
      <w:r>
        <w:rPr>
          <w:rFonts w:hint="eastAsia" w:eastAsia="仿宋_GB2312"/>
          <w:szCs w:val="32"/>
        </w:rPr>
        <w:t>万元，收入总计</w:t>
      </w:r>
      <w:r>
        <w:rPr>
          <w:rFonts w:eastAsia="仿宋_GB2312"/>
          <w:szCs w:val="32"/>
        </w:rPr>
        <w:t>2167</w:t>
      </w:r>
      <w:r>
        <w:rPr>
          <w:rFonts w:hint="eastAsia" w:eastAsia="仿宋_GB2312"/>
          <w:szCs w:val="32"/>
          <w:lang w:val="en-US" w:eastAsia="zh-CN"/>
        </w:rPr>
        <w:t>7</w:t>
      </w:r>
      <w:r>
        <w:rPr>
          <w:rFonts w:eastAsia="仿宋_GB2312"/>
          <w:szCs w:val="32"/>
        </w:rPr>
        <w:t>7</w:t>
      </w:r>
      <w:r>
        <w:rPr>
          <w:rFonts w:hint="eastAsia" w:eastAsia="仿宋_GB2312"/>
          <w:szCs w:val="32"/>
        </w:rPr>
        <w:t>万元。</w:t>
      </w:r>
    </w:p>
    <w:p>
      <w:pPr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根据收支平衡原则，本级支出预算安排</w:t>
      </w:r>
      <w:r>
        <w:rPr>
          <w:rFonts w:eastAsia="仿宋_GB2312"/>
          <w:szCs w:val="32"/>
        </w:rPr>
        <w:t>115645</w:t>
      </w:r>
      <w:r>
        <w:rPr>
          <w:rFonts w:hint="eastAsia" w:eastAsia="仿宋_GB2312"/>
          <w:szCs w:val="32"/>
        </w:rPr>
        <w:t>万元，加上调出资金</w:t>
      </w:r>
      <w:r>
        <w:rPr>
          <w:rFonts w:eastAsia="仿宋_GB2312"/>
          <w:szCs w:val="32"/>
        </w:rPr>
        <w:t>826</w:t>
      </w:r>
      <w:r>
        <w:rPr>
          <w:rFonts w:hint="eastAsia" w:eastAsia="仿宋_GB2312"/>
          <w:szCs w:val="32"/>
          <w:lang w:val="en-US" w:eastAsia="zh-CN"/>
        </w:rPr>
        <w:t>3</w:t>
      </w:r>
      <w:r>
        <w:rPr>
          <w:rFonts w:eastAsia="仿宋_GB2312"/>
          <w:szCs w:val="32"/>
        </w:rPr>
        <w:t>2</w:t>
      </w:r>
      <w:r>
        <w:rPr>
          <w:rFonts w:hint="eastAsia" w:eastAsia="仿宋_GB2312"/>
          <w:szCs w:val="32"/>
        </w:rPr>
        <w:t>万元、债务还本支出</w:t>
      </w:r>
      <w:r>
        <w:rPr>
          <w:rFonts w:eastAsia="仿宋_GB2312"/>
          <w:szCs w:val="32"/>
        </w:rPr>
        <w:t>18500</w:t>
      </w:r>
      <w:r>
        <w:rPr>
          <w:rFonts w:hint="eastAsia" w:eastAsia="仿宋_GB2312"/>
          <w:szCs w:val="32"/>
        </w:rPr>
        <w:t>万元，其中：专项债还本支出</w:t>
      </w:r>
      <w:r>
        <w:rPr>
          <w:rFonts w:eastAsia="仿宋_GB2312"/>
          <w:szCs w:val="32"/>
        </w:rPr>
        <w:t>2000</w:t>
      </w:r>
      <w:r>
        <w:rPr>
          <w:rFonts w:hint="eastAsia" w:eastAsia="仿宋_GB2312"/>
          <w:szCs w:val="32"/>
        </w:rPr>
        <w:t>万元，再融资债还本支出</w:t>
      </w:r>
      <w:r>
        <w:rPr>
          <w:rFonts w:eastAsia="仿宋_GB2312"/>
          <w:szCs w:val="32"/>
        </w:rPr>
        <w:t>16500</w:t>
      </w:r>
      <w:r>
        <w:rPr>
          <w:rFonts w:hint="eastAsia" w:eastAsia="仿宋_GB2312"/>
          <w:szCs w:val="32"/>
        </w:rPr>
        <w:t>万元，支出总计</w:t>
      </w:r>
      <w:r>
        <w:rPr>
          <w:rFonts w:eastAsia="仿宋_GB2312"/>
          <w:szCs w:val="32"/>
        </w:rPr>
        <w:t>2167</w:t>
      </w:r>
      <w:r>
        <w:rPr>
          <w:rFonts w:hint="eastAsia" w:eastAsia="仿宋_GB2312"/>
          <w:szCs w:val="32"/>
          <w:lang w:val="en-US" w:eastAsia="zh-CN"/>
        </w:rPr>
        <w:t>7</w:t>
      </w:r>
      <w:r>
        <w:rPr>
          <w:rFonts w:eastAsia="仿宋_GB2312"/>
          <w:szCs w:val="32"/>
        </w:rPr>
        <w:t>7</w:t>
      </w:r>
      <w:r>
        <w:rPr>
          <w:rFonts w:hint="eastAsia" w:eastAsia="仿宋_GB2312"/>
          <w:szCs w:val="32"/>
        </w:rPr>
        <w:t>万元。</w:t>
      </w:r>
    </w:p>
    <w:p>
      <w:pPr>
        <w:pStyle w:val="4"/>
        <w:keepNext w:val="0"/>
        <w:keepLines w:val="0"/>
        <w:widowControl w:val="0"/>
        <w:ind w:firstLine="64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3.</w:t>
      </w:r>
      <w:r>
        <w:rPr>
          <w:rFonts w:hint="eastAsia" w:ascii="Times New Roman" w:hAnsi="Times New Roman" w:eastAsia="仿宋_GB2312"/>
          <w:szCs w:val="32"/>
        </w:rPr>
        <w:t>社会保险基金预算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社会保险基金上年结余</w:t>
      </w:r>
      <w:r>
        <w:rPr>
          <w:rFonts w:eastAsia="仿宋_GB2312"/>
          <w:szCs w:val="32"/>
        </w:rPr>
        <w:t>8334</w:t>
      </w:r>
      <w:r>
        <w:rPr>
          <w:rFonts w:hint="eastAsia" w:eastAsia="仿宋_GB2312"/>
          <w:szCs w:val="32"/>
        </w:rPr>
        <w:t>万元，本年收入安排</w:t>
      </w:r>
      <w:r>
        <w:rPr>
          <w:rFonts w:eastAsia="仿宋_GB2312"/>
          <w:szCs w:val="32"/>
        </w:rPr>
        <w:t>10391 </w:t>
      </w:r>
      <w:r>
        <w:rPr>
          <w:rFonts w:hint="eastAsia" w:eastAsia="仿宋_GB2312"/>
          <w:szCs w:val="32"/>
        </w:rPr>
        <w:t>万元，其中，城乡居民基本养老保险基金收入</w:t>
      </w:r>
      <w:r>
        <w:rPr>
          <w:rFonts w:eastAsia="仿宋_GB2312"/>
          <w:szCs w:val="32"/>
        </w:rPr>
        <w:t>4088</w:t>
      </w:r>
      <w:r>
        <w:rPr>
          <w:rFonts w:hint="eastAsia" w:eastAsia="仿宋_GB2312"/>
          <w:szCs w:val="32"/>
        </w:rPr>
        <w:t>万元，机关事业单位基本养老保险基金收入</w:t>
      </w:r>
      <w:r>
        <w:rPr>
          <w:rFonts w:eastAsia="仿宋_GB2312"/>
          <w:szCs w:val="32"/>
        </w:rPr>
        <w:t>6303</w:t>
      </w:r>
      <w:r>
        <w:rPr>
          <w:rFonts w:hint="eastAsia" w:eastAsia="仿宋_GB2312"/>
          <w:szCs w:val="32"/>
        </w:rPr>
        <w:t>万元。本年支出安排</w:t>
      </w:r>
      <w:r>
        <w:rPr>
          <w:rFonts w:eastAsia="仿宋_GB2312"/>
          <w:szCs w:val="32"/>
        </w:rPr>
        <w:t>9984</w:t>
      </w:r>
      <w:r>
        <w:rPr>
          <w:rFonts w:hint="eastAsia" w:eastAsia="仿宋_GB2312"/>
          <w:szCs w:val="32"/>
        </w:rPr>
        <w:t>万元，其中，城乡居民基本养老保险基金支出</w:t>
      </w:r>
      <w:r>
        <w:rPr>
          <w:rFonts w:eastAsia="仿宋_GB2312"/>
          <w:szCs w:val="32"/>
        </w:rPr>
        <w:t>3479</w:t>
      </w:r>
      <w:r>
        <w:rPr>
          <w:rFonts w:hint="eastAsia" w:eastAsia="仿宋_GB2312"/>
          <w:szCs w:val="32"/>
        </w:rPr>
        <w:t>万元，机关事业单位基本养老保险基金支出</w:t>
      </w:r>
      <w:r>
        <w:rPr>
          <w:rFonts w:eastAsia="仿宋_GB2312"/>
          <w:szCs w:val="32"/>
        </w:rPr>
        <w:t>6505</w:t>
      </w:r>
      <w:r>
        <w:rPr>
          <w:rFonts w:hint="eastAsia" w:eastAsia="仿宋_GB2312"/>
          <w:szCs w:val="32"/>
        </w:rPr>
        <w:t>万元。年末滚存结余预计为</w:t>
      </w:r>
      <w:r>
        <w:rPr>
          <w:rFonts w:eastAsia="仿宋_GB2312"/>
          <w:szCs w:val="32"/>
        </w:rPr>
        <w:t>8741</w:t>
      </w:r>
      <w:r>
        <w:rPr>
          <w:rFonts w:hint="eastAsia" w:eastAsia="仿宋_GB2312"/>
          <w:szCs w:val="32"/>
        </w:rPr>
        <w:t>万元。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需要说明的是，新区管委和所属部门直接出资注册的企业共有</w:t>
      </w:r>
      <w:r>
        <w:rPr>
          <w:rFonts w:eastAsia="仿宋_GB2312"/>
          <w:szCs w:val="32"/>
        </w:rPr>
        <w:t>3</w:t>
      </w:r>
      <w:r>
        <w:rPr>
          <w:rFonts w:hint="eastAsia" w:eastAsia="仿宋_GB2312"/>
          <w:szCs w:val="32"/>
        </w:rPr>
        <w:t>家，其中</w:t>
      </w:r>
      <w:r>
        <w:rPr>
          <w:rFonts w:eastAsia="仿宋_GB2312"/>
          <w:szCs w:val="32"/>
        </w:rPr>
        <w:t>2</w:t>
      </w:r>
      <w:r>
        <w:rPr>
          <w:rFonts w:hint="eastAsia" w:eastAsia="仿宋_GB2312"/>
          <w:szCs w:val="32"/>
        </w:rPr>
        <w:t>家预计亏损、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家处于停业待注销状态，</w:t>
      </w:r>
      <w:r>
        <w:rPr>
          <w:rFonts w:eastAsia="仿宋_GB2312"/>
          <w:szCs w:val="32"/>
        </w:rPr>
        <w:t>2024</w:t>
      </w:r>
      <w:r>
        <w:rPr>
          <w:rFonts w:hint="eastAsia" w:eastAsia="仿宋_GB2312"/>
          <w:szCs w:val="32"/>
        </w:rPr>
        <w:t>年不能取得国有资本经营收入，故未编制国有资本经营预算。此外，高中收费及住宿费等财政专户收入，以及卫生院医疗收费等事业单位经营收入，已按综合预算原则，全部编入相关部门收支预算。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hint="eastAsia"/>
          <w:szCs w:val="32"/>
        </w:rPr>
        <w:t>按照预算法及其实施条例规定，在</w:t>
      </w:r>
      <w:r>
        <w:rPr>
          <w:szCs w:val="32"/>
        </w:rPr>
        <w:t>2024</w:t>
      </w:r>
      <w:r>
        <w:rPr>
          <w:rFonts w:hint="eastAsia"/>
          <w:szCs w:val="32"/>
        </w:rPr>
        <w:t>年预算年度开始后、市人代会批准预算之前，新区财政已将必须的基本支出额度下达各部门，并下达了部分民生保障和急需的工程款等资金。</w:t>
      </w:r>
    </w:p>
    <w:p>
      <w:pPr>
        <w:widowControl w:val="0"/>
        <w:ind w:firstLine="640" w:firstLineChars="20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（三）重点支出及重大项目安排情况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预算编制过程中，我们反复梳理申报项目，区分轻重缓急，突出保障重点，集中财力支持重大战略、重大部署、重大项目落地。一是重大部署全面落实，重点领域、重点事项所需资金，全力予以保障；二是大事要事优先安排，围绕建设国家级生命健康产业创新示范区，统筹考虑安排资金；三是民生政策应保尽保，包括居民养老、医疗保险、城乡低保、困难群众生活补助、优抚安置、教育、就业、保障性安居工程等，按上级政策足额保障；四是国家配套逐项配齐，认真梳理上级政策资金、改革性经费，有配套要求的逐项落实；五是人员经费足额安排，并预留增人增资等经费。在做好上述安排的同时，对非重点、非刚性支出适当压减，但也兼顾了部门事业发展需要。重点支出和重大项目预算安排如下：</w:t>
      </w:r>
      <w:r>
        <w:rPr>
          <w:szCs w:val="32"/>
        </w:rPr>
        <w:t> 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eastAsia="楷体_GB2312"/>
          <w:szCs w:val="32"/>
        </w:rPr>
        <w:t>1.</w:t>
      </w:r>
      <w:r>
        <w:rPr>
          <w:rFonts w:hint="eastAsia" w:eastAsia="楷体_GB2312"/>
          <w:szCs w:val="32"/>
        </w:rPr>
        <w:t>稳步提升人民生活品质。</w:t>
      </w:r>
      <w:r>
        <w:rPr>
          <w:rFonts w:hint="eastAsia" w:eastAsia="仿宋_GB2312"/>
          <w:szCs w:val="32"/>
        </w:rPr>
        <w:t>坚持尽力而为、量力而行，安排资金</w:t>
      </w:r>
      <w:r>
        <w:rPr>
          <w:rFonts w:eastAsia="仿宋_GB2312"/>
          <w:szCs w:val="32"/>
        </w:rPr>
        <w:t>34995</w:t>
      </w:r>
      <w:r>
        <w:rPr>
          <w:rFonts w:hint="eastAsia" w:eastAsia="仿宋_GB2312"/>
          <w:szCs w:val="32"/>
        </w:rPr>
        <w:t>万元，努力在发展中保障和改善民生。包括：推动教育高质量发展</w:t>
      </w:r>
      <w:r>
        <w:rPr>
          <w:rFonts w:eastAsia="仿宋_GB2312"/>
          <w:szCs w:val="32"/>
        </w:rPr>
        <w:t>7317</w:t>
      </w:r>
      <w:r>
        <w:rPr>
          <w:rFonts w:hint="eastAsia" w:eastAsia="仿宋_GB2312"/>
          <w:szCs w:val="32"/>
        </w:rPr>
        <w:t>万元，确保教育投入稳定增长，巩固完善义务教育保障机制，加强教师队伍建设，改善学校基本办学条件；推进卫生健康体系建设</w:t>
      </w:r>
      <w:r>
        <w:rPr>
          <w:rFonts w:eastAsia="仿宋_GB2312"/>
          <w:szCs w:val="32"/>
        </w:rPr>
        <w:t>3210</w:t>
      </w:r>
      <w:r>
        <w:rPr>
          <w:rFonts w:hint="eastAsia" w:eastAsia="仿宋_GB2312"/>
          <w:szCs w:val="32"/>
        </w:rPr>
        <w:t>万元，落实基本公共卫生服务经费人均财政补助标准，健全公共卫生体系；推动医疗保障事业稳步发展</w:t>
      </w:r>
      <w:r>
        <w:rPr>
          <w:rFonts w:eastAsia="仿宋_GB2312"/>
          <w:szCs w:val="32"/>
        </w:rPr>
        <w:t>542</w:t>
      </w:r>
      <w:r>
        <w:rPr>
          <w:rFonts w:hint="eastAsia" w:eastAsia="仿宋_GB2312"/>
          <w:szCs w:val="32"/>
        </w:rPr>
        <w:t>万元，夯实医疗救助托底作用，落实重点帮扶人群医疗保障；完善社会保障体系</w:t>
      </w:r>
      <w:r>
        <w:rPr>
          <w:rFonts w:eastAsia="仿宋_GB2312"/>
          <w:szCs w:val="32"/>
        </w:rPr>
        <w:t>9506</w:t>
      </w:r>
      <w:r>
        <w:rPr>
          <w:rFonts w:hint="eastAsia" w:eastAsia="仿宋_GB2312"/>
          <w:szCs w:val="32"/>
        </w:rPr>
        <w:t>万元，重点用于落实城乡居民养老保险、医疗保险等社会保险提标扩面政策，保障社会救助、优抚安置等工作，支持社会保险制度进一步完善，困难群众兜底保障不断强化；推进公共文化服务体系建设</w:t>
      </w:r>
      <w:r>
        <w:rPr>
          <w:rFonts w:eastAsia="仿宋_GB2312"/>
          <w:szCs w:val="32"/>
        </w:rPr>
        <w:t>1205</w:t>
      </w:r>
      <w:r>
        <w:rPr>
          <w:rFonts w:hint="eastAsia" w:eastAsia="仿宋_GB2312"/>
          <w:szCs w:val="32"/>
        </w:rPr>
        <w:t>万元；住房保障资金</w:t>
      </w:r>
      <w:r>
        <w:rPr>
          <w:rFonts w:eastAsia="仿宋_GB2312"/>
          <w:szCs w:val="32"/>
        </w:rPr>
        <w:t>3022</w:t>
      </w:r>
      <w:r>
        <w:rPr>
          <w:rFonts w:hint="eastAsia" w:eastAsia="仿宋_GB2312"/>
          <w:szCs w:val="32"/>
        </w:rPr>
        <w:t>万元，改善棚户区、老旧小区居民的居住条件；城市区环卫保洁、城市供热、污水处理及市政设施维护等</w:t>
      </w:r>
      <w:r>
        <w:rPr>
          <w:rFonts w:eastAsia="仿宋_GB2312"/>
          <w:szCs w:val="32"/>
        </w:rPr>
        <w:t>10735</w:t>
      </w:r>
      <w:r>
        <w:rPr>
          <w:rFonts w:hint="eastAsia" w:eastAsia="仿宋_GB2312"/>
          <w:szCs w:val="32"/>
        </w:rPr>
        <w:t>万元。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eastAsia="楷体_GB2312"/>
          <w:szCs w:val="32"/>
        </w:rPr>
        <w:t>2.</w:t>
      </w:r>
      <w:r>
        <w:rPr>
          <w:rFonts w:hint="eastAsia" w:eastAsia="楷体_GB2312"/>
          <w:szCs w:val="32"/>
        </w:rPr>
        <w:t>积极促进发展方式绿色转型。</w:t>
      </w:r>
      <w:r>
        <w:rPr>
          <w:rFonts w:hint="eastAsia" w:eastAsia="仿宋_GB2312"/>
          <w:szCs w:val="32"/>
        </w:rPr>
        <w:t>安排</w:t>
      </w:r>
      <w:r>
        <w:rPr>
          <w:rFonts w:eastAsia="仿宋_GB2312"/>
          <w:szCs w:val="32"/>
        </w:rPr>
        <w:t>29281</w:t>
      </w:r>
      <w:r>
        <w:rPr>
          <w:rFonts w:hint="eastAsia" w:eastAsia="仿宋_GB2312"/>
          <w:szCs w:val="32"/>
        </w:rPr>
        <w:t>万元，深入实施可持续发展战略，构建生态文明体系，持续改善环境质量。包括：大气污染防治</w:t>
      </w:r>
      <w:r>
        <w:rPr>
          <w:rFonts w:eastAsia="仿宋_GB2312"/>
          <w:szCs w:val="32"/>
        </w:rPr>
        <w:t>1276</w:t>
      </w:r>
      <w:r>
        <w:rPr>
          <w:rFonts w:hint="eastAsia" w:eastAsia="仿宋_GB2312"/>
          <w:szCs w:val="32"/>
        </w:rPr>
        <w:t>万元，重点用于农村清洁取暖；水污染防治</w:t>
      </w:r>
      <w:r>
        <w:rPr>
          <w:rFonts w:eastAsia="仿宋_GB2312"/>
          <w:szCs w:val="32"/>
        </w:rPr>
        <w:t>2549</w:t>
      </w:r>
      <w:r>
        <w:rPr>
          <w:rFonts w:hint="eastAsia" w:eastAsia="仿宋_GB2312"/>
          <w:szCs w:val="32"/>
        </w:rPr>
        <w:t>万元，重点用于实施水污染防治计划，改善河流水质；中小河流治理</w:t>
      </w:r>
      <w:r>
        <w:rPr>
          <w:rFonts w:eastAsia="仿宋_GB2312"/>
          <w:szCs w:val="32"/>
        </w:rPr>
        <w:t>4545</w:t>
      </w:r>
      <w:r>
        <w:rPr>
          <w:rFonts w:hint="eastAsia" w:eastAsia="仿宋_GB2312"/>
          <w:szCs w:val="32"/>
        </w:rPr>
        <w:t>万元，重点用于饮马河流域水环境综合整治工程；继续推动海洋生态保护修复工程实施</w:t>
      </w:r>
      <w:r>
        <w:rPr>
          <w:rFonts w:eastAsia="仿宋_GB2312"/>
          <w:szCs w:val="32"/>
        </w:rPr>
        <w:t>9832</w:t>
      </w:r>
      <w:r>
        <w:rPr>
          <w:rFonts w:hint="eastAsia" w:eastAsia="仿宋_GB2312"/>
          <w:szCs w:val="32"/>
        </w:rPr>
        <w:t>万元，重点用于金沙湾及大蒲河河口海岸带保护修复工程退养；造林绿化</w:t>
      </w:r>
      <w:r>
        <w:rPr>
          <w:rFonts w:eastAsia="仿宋_GB2312"/>
          <w:szCs w:val="32"/>
        </w:rPr>
        <w:t>11080</w:t>
      </w:r>
      <w:r>
        <w:rPr>
          <w:rFonts w:hint="eastAsia" w:eastAsia="仿宋_GB2312"/>
          <w:szCs w:val="32"/>
        </w:rPr>
        <w:t>万元，重点用于实施造林绿化工程和园林养护。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eastAsia="楷体_GB2312"/>
          <w:szCs w:val="32"/>
        </w:rPr>
        <w:t>3.</w:t>
      </w:r>
      <w:r>
        <w:rPr>
          <w:rFonts w:hint="eastAsia" w:eastAsia="楷体_GB2312"/>
          <w:szCs w:val="32"/>
        </w:rPr>
        <w:t>扎实推进乡村振兴战略实施。</w:t>
      </w:r>
      <w:r>
        <w:rPr>
          <w:rFonts w:hint="eastAsia" w:eastAsia="仿宋_GB2312"/>
          <w:szCs w:val="32"/>
        </w:rPr>
        <w:t>安排</w:t>
      </w:r>
      <w:r>
        <w:rPr>
          <w:rFonts w:eastAsia="仿宋_GB2312"/>
          <w:szCs w:val="32"/>
        </w:rPr>
        <w:t>7476</w:t>
      </w:r>
      <w:r>
        <w:rPr>
          <w:rFonts w:hint="eastAsia" w:eastAsia="仿宋_GB2312"/>
          <w:szCs w:val="32"/>
        </w:rPr>
        <w:t>万元，全面推进乡村振兴战略，改善乡村环境。包括：农村人居环境改善</w:t>
      </w:r>
      <w:r>
        <w:rPr>
          <w:rFonts w:eastAsia="仿宋_GB2312"/>
          <w:szCs w:val="32"/>
        </w:rPr>
        <w:t>6134</w:t>
      </w:r>
      <w:r>
        <w:rPr>
          <w:rFonts w:hint="eastAsia" w:eastAsia="仿宋_GB2312"/>
          <w:szCs w:val="32"/>
        </w:rPr>
        <w:t>万元，重点用于农村环卫保洁、河道保洁、污水治理、卫生厕所改造；加强农村基层基础工作</w:t>
      </w:r>
      <w:r>
        <w:rPr>
          <w:rFonts w:eastAsia="仿宋_GB2312"/>
          <w:szCs w:val="32"/>
        </w:rPr>
        <w:t>772</w:t>
      </w:r>
      <w:r>
        <w:rPr>
          <w:rFonts w:hint="eastAsia" w:eastAsia="仿宋_GB2312"/>
          <w:szCs w:val="32"/>
        </w:rPr>
        <w:t>万元，足额落实村级组织运转经费；改善农业生产条件</w:t>
      </w:r>
      <w:r>
        <w:rPr>
          <w:rFonts w:eastAsia="仿宋_GB2312"/>
          <w:szCs w:val="32"/>
        </w:rPr>
        <w:t>570</w:t>
      </w:r>
      <w:r>
        <w:rPr>
          <w:rFonts w:hint="eastAsia" w:eastAsia="仿宋_GB2312"/>
          <w:szCs w:val="32"/>
        </w:rPr>
        <w:t>万元，支持高标农田建设，推动现代农业发展。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eastAsia="楷体_GB2312"/>
          <w:szCs w:val="32"/>
        </w:rPr>
        <w:t>4.</w:t>
      </w:r>
      <w:r>
        <w:rPr>
          <w:rFonts w:hint="eastAsia" w:eastAsia="楷体_GB2312"/>
          <w:szCs w:val="32"/>
        </w:rPr>
        <w:t>加快推进经济高质量转型。</w:t>
      </w:r>
      <w:r>
        <w:rPr>
          <w:rFonts w:hint="eastAsia" w:eastAsia="仿宋_GB2312"/>
          <w:szCs w:val="32"/>
        </w:rPr>
        <w:t>安排</w:t>
      </w:r>
      <w:r>
        <w:rPr>
          <w:rFonts w:eastAsia="仿宋_GB2312"/>
          <w:szCs w:val="32"/>
        </w:rPr>
        <w:t>27550</w:t>
      </w:r>
      <w:r>
        <w:rPr>
          <w:rFonts w:hint="eastAsia" w:eastAsia="仿宋_GB2312"/>
          <w:szCs w:val="32"/>
        </w:rPr>
        <w:t>万元，着力推动产业兴区，促进新区可持续发展，提升核心竞争力。包括：产业引导及重点产业发展扶持资金和项目前期费等</w:t>
      </w:r>
      <w:r>
        <w:rPr>
          <w:rFonts w:eastAsia="仿宋_GB2312"/>
          <w:szCs w:val="32"/>
        </w:rPr>
        <w:t>24320</w:t>
      </w:r>
      <w:r>
        <w:rPr>
          <w:rFonts w:hint="eastAsia" w:eastAsia="仿宋_GB2312"/>
          <w:szCs w:val="32"/>
        </w:rPr>
        <w:t>万元，招商引资、产业新城合作开发付费等</w:t>
      </w:r>
      <w:r>
        <w:rPr>
          <w:rFonts w:eastAsia="仿宋_GB2312"/>
          <w:szCs w:val="32"/>
        </w:rPr>
        <w:t>3100</w:t>
      </w:r>
      <w:r>
        <w:rPr>
          <w:rFonts w:hint="eastAsia" w:eastAsia="仿宋_GB2312"/>
          <w:szCs w:val="32"/>
        </w:rPr>
        <w:t>万元，发挥财政资金引领带动作用，把发展经济着力点放在实体经济上，努力构建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医、药、养、健、游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全健康产业发展新格局；推进旅游文化体育产业蓬勃发展和城乡公共文化服务体系建设</w:t>
      </w:r>
      <w:r>
        <w:rPr>
          <w:rFonts w:eastAsia="仿宋_GB2312"/>
          <w:szCs w:val="32"/>
        </w:rPr>
        <w:t>130</w:t>
      </w:r>
      <w:r>
        <w:rPr>
          <w:rFonts w:hint="eastAsia" w:eastAsia="仿宋_GB2312"/>
          <w:szCs w:val="32"/>
        </w:rPr>
        <w:t>万元。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eastAsia="楷体_GB2312"/>
          <w:szCs w:val="32"/>
        </w:rPr>
        <w:t>5.</w:t>
      </w:r>
      <w:r>
        <w:rPr>
          <w:rFonts w:hint="eastAsia" w:eastAsia="楷体_GB2312"/>
          <w:szCs w:val="32"/>
        </w:rPr>
        <w:t>稳步改善基础设施水平。</w:t>
      </w:r>
      <w:r>
        <w:rPr>
          <w:rFonts w:hint="eastAsia" w:eastAsia="仿宋_GB2312"/>
          <w:szCs w:val="32"/>
        </w:rPr>
        <w:t>安排</w:t>
      </w:r>
      <w:r>
        <w:rPr>
          <w:rFonts w:hint="eastAsia" w:eastAsia="仿宋_GB2312"/>
          <w:szCs w:val="32"/>
          <w:lang w:val="en-US" w:eastAsia="zh-CN"/>
        </w:rPr>
        <w:t>91</w:t>
      </w:r>
      <w:r>
        <w:rPr>
          <w:rFonts w:eastAsia="仿宋_GB2312"/>
          <w:szCs w:val="32"/>
        </w:rPr>
        <w:t>500</w:t>
      </w:r>
      <w:r>
        <w:rPr>
          <w:rFonts w:hint="eastAsia" w:eastAsia="仿宋_GB2312"/>
          <w:szCs w:val="32"/>
        </w:rPr>
        <w:t>万元，全力推进生命健康产业创新示范区建设。包括：征地和拆迁补偿支出</w:t>
      </w:r>
      <w:r>
        <w:rPr>
          <w:rFonts w:hint="eastAsia" w:eastAsia="仿宋_GB2312"/>
          <w:szCs w:val="32"/>
          <w:lang w:val="en-US" w:eastAsia="zh-CN"/>
        </w:rPr>
        <w:t>15</w:t>
      </w:r>
      <w:r>
        <w:rPr>
          <w:rFonts w:eastAsia="仿宋_GB2312"/>
          <w:szCs w:val="32"/>
        </w:rPr>
        <w:t>507</w:t>
      </w:r>
      <w:r>
        <w:rPr>
          <w:rFonts w:hint="eastAsia" w:eastAsia="仿宋_GB2312"/>
          <w:szCs w:val="32"/>
        </w:rPr>
        <w:t>万元，加大土地储备和开发力度，破解项目建设用地瓶颈；基础设施建设资金</w:t>
      </w:r>
      <w:r>
        <w:rPr>
          <w:rFonts w:eastAsia="仿宋_GB2312"/>
          <w:szCs w:val="32"/>
        </w:rPr>
        <w:t>48993</w:t>
      </w:r>
      <w:r>
        <w:rPr>
          <w:rFonts w:hint="eastAsia" w:eastAsia="仿宋_GB2312"/>
          <w:szCs w:val="32"/>
        </w:rPr>
        <w:t>万元，支持道路、管网等配套设施建设，继续完善基础设施水平；向国有企业注入资金</w:t>
      </w:r>
      <w:r>
        <w:rPr>
          <w:rFonts w:eastAsia="仿宋_GB2312"/>
          <w:szCs w:val="32"/>
        </w:rPr>
        <w:t>27000</w:t>
      </w:r>
      <w:r>
        <w:rPr>
          <w:rFonts w:hint="eastAsia" w:eastAsia="仿宋_GB2312"/>
          <w:szCs w:val="32"/>
        </w:rPr>
        <w:t>万元，增强企业经营实力。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eastAsia="楷体_GB2312"/>
          <w:szCs w:val="32"/>
        </w:rPr>
        <w:t>6.</w:t>
      </w:r>
      <w:r>
        <w:rPr>
          <w:rFonts w:hint="eastAsia" w:eastAsia="楷体_GB2312"/>
          <w:szCs w:val="32"/>
        </w:rPr>
        <w:t>打造平安新区和法治新区。</w:t>
      </w:r>
      <w:r>
        <w:rPr>
          <w:rFonts w:hint="eastAsia" w:eastAsia="仿宋_GB2312"/>
          <w:szCs w:val="32"/>
        </w:rPr>
        <w:t>安排</w:t>
      </w:r>
      <w:r>
        <w:rPr>
          <w:rFonts w:eastAsia="仿宋_GB2312"/>
          <w:szCs w:val="32"/>
        </w:rPr>
        <w:t>2623</w:t>
      </w:r>
      <w:r>
        <w:rPr>
          <w:rFonts w:hint="eastAsia" w:eastAsia="仿宋_GB2312"/>
          <w:szCs w:val="32"/>
        </w:rPr>
        <w:t>万元，加强安全体系和能力建设，保障人民生命安全，维护社会稳定。包括：公共安全</w:t>
      </w:r>
      <w:r>
        <w:rPr>
          <w:rFonts w:eastAsia="仿宋_GB2312"/>
          <w:szCs w:val="32"/>
        </w:rPr>
        <w:t>1762</w:t>
      </w:r>
      <w:r>
        <w:rPr>
          <w:rFonts w:hint="eastAsia" w:eastAsia="仿宋_GB2312"/>
          <w:szCs w:val="32"/>
        </w:rPr>
        <w:t>万元，主要用于旅游旺季安全保障、视频监控系统建设和公共安全设施运行维护；安全生产及应急管理</w:t>
      </w:r>
      <w:r>
        <w:rPr>
          <w:rFonts w:eastAsia="仿宋_GB2312"/>
          <w:szCs w:val="32"/>
        </w:rPr>
        <w:t>860</w:t>
      </w:r>
      <w:r>
        <w:rPr>
          <w:rFonts w:hint="eastAsia" w:eastAsia="仿宋_GB2312"/>
          <w:szCs w:val="32"/>
        </w:rPr>
        <w:t>万元，主要用于安全生产管理、消防应急救援、消防站建设及应急防灾减灾等。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eastAsia="楷体_GB2312"/>
          <w:szCs w:val="32"/>
        </w:rPr>
        <w:t>7.</w:t>
      </w:r>
      <w:r>
        <w:rPr>
          <w:rFonts w:hint="eastAsia" w:eastAsia="楷体_GB2312"/>
          <w:szCs w:val="32"/>
        </w:rPr>
        <w:t>有效防控财政运行风险。</w:t>
      </w:r>
      <w:r>
        <w:rPr>
          <w:rFonts w:hint="eastAsia" w:eastAsia="仿宋_GB2312"/>
          <w:szCs w:val="32"/>
        </w:rPr>
        <w:t>安排</w:t>
      </w:r>
      <w:r>
        <w:rPr>
          <w:rFonts w:eastAsia="仿宋_GB2312"/>
          <w:szCs w:val="32"/>
        </w:rPr>
        <w:t>35306</w:t>
      </w:r>
      <w:r>
        <w:rPr>
          <w:rFonts w:hint="eastAsia" w:eastAsia="仿宋_GB2312"/>
          <w:szCs w:val="32"/>
        </w:rPr>
        <w:t>万元，包括：一般债务还本付息支出</w:t>
      </w:r>
      <w:r>
        <w:rPr>
          <w:rFonts w:eastAsia="仿宋_GB2312"/>
          <w:szCs w:val="32"/>
        </w:rPr>
        <w:t>5658</w:t>
      </w:r>
      <w:r>
        <w:rPr>
          <w:rFonts w:hint="eastAsia" w:eastAsia="仿宋_GB2312"/>
          <w:szCs w:val="32"/>
        </w:rPr>
        <w:t>万元，专项债务还本付息</w:t>
      </w:r>
      <w:r>
        <w:rPr>
          <w:rFonts w:eastAsia="仿宋_GB2312"/>
          <w:szCs w:val="32"/>
        </w:rPr>
        <w:t>18897</w:t>
      </w:r>
      <w:r>
        <w:rPr>
          <w:rFonts w:hint="eastAsia" w:eastAsia="仿宋_GB2312"/>
          <w:szCs w:val="32"/>
        </w:rPr>
        <w:t>万元，其他项目还本付息</w:t>
      </w:r>
      <w:r>
        <w:rPr>
          <w:rFonts w:eastAsia="仿宋_GB2312"/>
          <w:szCs w:val="32"/>
        </w:rPr>
        <w:t>10751</w:t>
      </w:r>
      <w:r>
        <w:rPr>
          <w:rFonts w:hint="eastAsia" w:eastAsia="仿宋_GB2312"/>
          <w:szCs w:val="32"/>
        </w:rPr>
        <w:t>万元。此外，再融资债券还本支出</w:t>
      </w:r>
      <w:r>
        <w:rPr>
          <w:rFonts w:eastAsia="仿宋_GB2312"/>
          <w:szCs w:val="32"/>
        </w:rPr>
        <w:t>16600</w:t>
      </w:r>
      <w:r>
        <w:rPr>
          <w:rFonts w:hint="eastAsia" w:eastAsia="仿宋_GB2312"/>
          <w:szCs w:val="32"/>
        </w:rPr>
        <w:t>万元。</w:t>
      </w:r>
    </w:p>
    <w:p>
      <w:pPr>
        <w:widowControl w:val="0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此外，安排预备费</w:t>
      </w:r>
      <w:r>
        <w:rPr>
          <w:rFonts w:eastAsia="仿宋_GB2312"/>
          <w:szCs w:val="32"/>
        </w:rPr>
        <w:t>3000</w:t>
      </w:r>
      <w:r>
        <w:rPr>
          <w:rFonts w:hint="eastAsia" w:eastAsia="仿宋_GB2312"/>
          <w:szCs w:val="32"/>
        </w:rPr>
        <w:t>万元。区级财政拨款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三公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经费预算安排</w:t>
      </w:r>
      <w:r>
        <w:rPr>
          <w:rFonts w:eastAsia="仿宋_GB2312"/>
          <w:szCs w:val="32"/>
        </w:rPr>
        <w:t>258.29</w:t>
      </w:r>
      <w:r>
        <w:rPr>
          <w:rFonts w:hint="eastAsia" w:eastAsia="仿宋_GB2312"/>
          <w:szCs w:val="32"/>
        </w:rPr>
        <w:t>万元，下降</w:t>
      </w:r>
      <w:r>
        <w:rPr>
          <w:rFonts w:eastAsia="仿宋_GB2312"/>
          <w:szCs w:val="32"/>
        </w:rPr>
        <w:t>1.65%</w:t>
      </w:r>
      <w:r>
        <w:rPr>
          <w:rFonts w:hint="eastAsia" w:eastAsia="仿宋_GB2312"/>
          <w:szCs w:val="32"/>
        </w:rPr>
        <w:t>。包括：①公务用车购置及运行维护费</w:t>
      </w:r>
      <w:r>
        <w:rPr>
          <w:rFonts w:eastAsia="仿宋_GB2312"/>
          <w:szCs w:val="32"/>
        </w:rPr>
        <w:t>59.8</w:t>
      </w:r>
      <w:r>
        <w:rPr>
          <w:rFonts w:hint="eastAsia" w:eastAsia="仿宋_GB2312"/>
          <w:szCs w:val="32"/>
        </w:rPr>
        <w:t>万元，下降</w:t>
      </w:r>
      <w:r>
        <w:rPr>
          <w:rFonts w:eastAsia="仿宋_GB2312"/>
          <w:szCs w:val="32"/>
        </w:rPr>
        <w:t>5.38%</w:t>
      </w:r>
      <w:r>
        <w:rPr>
          <w:rFonts w:hint="eastAsia" w:eastAsia="仿宋_GB2312"/>
          <w:szCs w:val="32"/>
        </w:rPr>
        <w:t>；②公务接待费</w:t>
      </w:r>
      <w:r>
        <w:rPr>
          <w:rFonts w:eastAsia="仿宋_GB2312"/>
          <w:szCs w:val="32"/>
        </w:rPr>
        <w:t>148.49</w:t>
      </w:r>
      <w:r>
        <w:rPr>
          <w:rFonts w:hint="eastAsia" w:eastAsia="仿宋_GB2312"/>
          <w:szCs w:val="32"/>
        </w:rPr>
        <w:t>万元，下降</w:t>
      </w:r>
      <w:r>
        <w:rPr>
          <w:rFonts w:eastAsia="仿宋_GB2312"/>
          <w:szCs w:val="32"/>
        </w:rPr>
        <w:t>0.62%</w:t>
      </w:r>
      <w:r>
        <w:rPr>
          <w:rFonts w:hint="eastAsia" w:eastAsia="仿宋_GB2312"/>
          <w:szCs w:val="32"/>
        </w:rPr>
        <w:t>；③因公出国（境）费</w:t>
      </w:r>
      <w:r>
        <w:rPr>
          <w:rFonts w:eastAsia="仿宋_GB2312"/>
          <w:szCs w:val="32"/>
        </w:rPr>
        <w:t>50</w:t>
      </w:r>
      <w:r>
        <w:rPr>
          <w:rFonts w:hint="eastAsia" w:eastAsia="仿宋_GB2312"/>
          <w:szCs w:val="32"/>
        </w:rPr>
        <w:t>万元，较上年无变化。</w:t>
      </w:r>
    </w:p>
    <w:p>
      <w:pPr>
        <w:widowControl w:val="0"/>
        <w:ind w:firstLine="640" w:firstLineChars="200"/>
        <w:rPr>
          <w:rFonts w:eastAsia="楷体_GB2312"/>
          <w:szCs w:val="32"/>
        </w:rPr>
      </w:pPr>
      <w:r>
        <w:rPr>
          <w:rFonts w:hint="eastAsia" w:eastAsia="楷体_GB2312"/>
          <w:szCs w:val="32"/>
        </w:rPr>
        <w:t>（四）加强预算管理的主要措施</w:t>
      </w:r>
    </w:p>
    <w:p>
      <w:pPr>
        <w:widowControl w:val="0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围绕上述指导思想和预算安排，</w:t>
      </w:r>
      <w:r>
        <w:rPr>
          <w:rFonts w:eastAsia="仿宋_GB2312"/>
          <w:szCs w:val="32"/>
        </w:rPr>
        <w:t>2024</w:t>
      </w:r>
      <w:r>
        <w:rPr>
          <w:rFonts w:hint="eastAsia" w:eastAsia="仿宋_GB2312"/>
          <w:szCs w:val="32"/>
        </w:rPr>
        <w:t>年我们将深入贯彻落实党中央、国务院决策部署和省市工作要求，认真执行市人大及其常委会有关预算决议和审查意见，解放思想、奋发进取，马上就办、真抓实干，进一步加强预算管理，完善工作机制，强化保障措施，扎实推进各项政策措施落地，为新区建设发展提供有力支撑。</w:t>
      </w:r>
    </w:p>
    <w:p>
      <w:pPr>
        <w:widowControl w:val="0"/>
        <w:ind w:firstLine="640" w:firstLineChars="200"/>
        <w:rPr>
          <w:rFonts w:eastAsia="仿宋_GB2312"/>
          <w:szCs w:val="32"/>
        </w:rPr>
      </w:pPr>
      <w:bookmarkStart w:id="0" w:name="_GoBack"/>
      <w:r>
        <w:rPr>
          <w:rFonts w:eastAsia="楷体_GB2312"/>
          <w:szCs w:val="32"/>
        </w:rPr>
        <w:t>1.</w:t>
      </w:r>
      <w:r>
        <w:rPr>
          <w:rFonts w:hint="eastAsia" w:eastAsia="楷体_GB2312"/>
          <w:szCs w:val="32"/>
        </w:rPr>
        <w:t>认真落实积极的财政政策。</w:t>
      </w:r>
      <w:r>
        <w:rPr>
          <w:rFonts w:hint="eastAsia" w:eastAsia="仿宋_GB2312"/>
          <w:szCs w:val="32"/>
        </w:rPr>
        <w:t>深入贯彻积极的财政政策要加力提效的要求，精准对接上级部署，有效提升政策效能，推动全区经济实现质的有效提升和量的合理增长。不折不扣落实国家税费优惠政策，推动普惠性政策应享尽享，助力企业轻装上阵、创新发展。有效发挥政府专项债投资拉动作用，坚持资金跟着项目走，压实主管部门和项目单位责任，推动专项债早发行、早使用、早见效，扩大有效投资。强化财政金融协同联动，健全财政支持普惠金融发展政策体系，全面落实财政引导金融支持实体经济发展十条措施，及时兑现上市企业补助政策，撬动更多金融资本支持经济发展。</w:t>
      </w:r>
    </w:p>
    <w:bookmarkEnd w:id="0"/>
    <w:p>
      <w:pPr>
        <w:widowControl w:val="0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2.</w:t>
      </w:r>
      <w:r>
        <w:rPr>
          <w:rFonts w:hint="eastAsia" w:eastAsia="楷体_GB2312"/>
          <w:szCs w:val="32"/>
        </w:rPr>
        <w:t>着力加强财政收支管理。</w:t>
      </w:r>
      <w:r>
        <w:rPr>
          <w:rFonts w:hint="eastAsia" w:eastAsia="仿宋_GB2312"/>
          <w:szCs w:val="32"/>
        </w:rPr>
        <w:t>依法依规组织财政收入，强化财税协调联动，精准监控重点税源，推动一般公共预算收入规模壮大、结构优化。巩固涉企违规收费整治成果，健全防范乱收费、乱罚款、乱摊派长效机制，坚决杜绝收取过头税费或搞虚收空转。加大争取中央、省政策支持力度，推动更多资金、项目、试点落户新区。牢固树立过紧日子思想，坚持厉行节约办一切事业，进一步规范支出管理，加快健全支出标准体系，强化预算约束和绩效管理，提高预算执行的规范性、均衡性和时效性。落实常态化财政资金直达机制，做到资金下达与监管同步到底，确保精准直达受益对象。</w:t>
      </w:r>
    </w:p>
    <w:p>
      <w:pPr>
        <w:widowControl w:val="0"/>
        <w:ind w:firstLine="640" w:firstLineChars="200"/>
        <w:rPr>
          <w:rFonts w:eastAsia="仿宋_GB2312"/>
          <w:szCs w:val="32"/>
        </w:rPr>
      </w:pPr>
      <w:r>
        <w:rPr>
          <w:rFonts w:eastAsia="楷体_GB2312"/>
          <w:szCs w:val="32"/>
        </w:rPr>
        <w:t>3.</w:t>
      </w:r>
      <w:r>
        <w:rPr>
          <w:rFonts w:hint="eastAsia" w:eastAsia="楷体_GB2312"/>
          <w:szCs w:val="32"/>
        </w:rPr>
        <w:t>持续深化财税体制改革。</w:t>
      </w:r>
      <w:r>
        <w:rPr>
          <w:rFonts w:hint="eastAsia" w:eastAsia="仿宋_GB2312"/>
          <w:szCs w:val="32"/>
        </w:rPr>
        <w:t>积极推进预算管理改革，进一步完善财政资源统筹、全口径预算编制、跨年度预算平衡等机制，着力提升预算管理一体化水平，加快健全现代预算制度。深入推进预算绩效管理，扎实开展事前绩效评估，提升绩效目标指标质量，强化绩效监控、绩效评价、结果应用和信息公开，进一步完善全方位、全过程、全覆盖的预算绩效管理体系。强化国有资产管理，健全行政事业单位国有资产分类盘活机制，支持教育、卫生、科技等部门率先开展行业资产共享共用，扎实做好国有资产报告工作。</w:t>
      </w:r>
      <w:r>
        <w:rPr>
          <w:rFonts w:eastAsia="仿宋_GB2312"/>
          <w:szCs w:val="32"/>
        </w:rPr>
        <w:t> </w:t>
      </w:r>
    </w:p>
    <w:p>
      <w:pPr>
        <w:widowControl w:val="0"/>
        <w:ind w:firstLine="640" w:firstLineChars="200"/>
        <w:rPr>
          <w:rFonts w:eastAsia="仿宋_GB2312"/>
          <w:szCs w:val="32"/>
        </w:rPr>
      </w:pPr>
      <w:r>
        <w:rPr>
          <w:rFonts w:eastAsia="楷体_GB2312"/>
          <w:szCs w:val="32"/>
        </w:rPr>
        <w:t>4.</w:t>
      </w:r>
      <w:r>
        <w:rPr>
          <w:rFonts w:hint="eastAsia" w:eastAsia="楷体_GB2312"/>
          <w:szCs w:val="32"/>
        </w:rPr>
        <w:t>有效防控财政运行风险。</w:t>
      </w:r>
      <w:r>
        <w:rPr>
          <w:rFonts w:hint="eastAsia" w:eastAsia="仿宋_GB2312"/>
          <w:szCs w:val="32"/>
        </w:rPr>
        <w:t>把保运转摆在突出位置，加大财力统筹力度；逐项审核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三保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支出预算，压实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三保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主体责任，确保不留缺口；加强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三保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运行监控，严格执行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旬报表</w:t>
      </w:r>
      <w:r>
        <w:rPr>
          <w:rFonts w:eastAsia="仿宋_GB2312"/>
          <w:szCs w:val="32"/>
        </w:rPr>
        <w:t>+</w:t>
      </w:r>
      <w:r>
        <w:rPr>
          <w:rFonts w:hint="eastAsia" w:eastAsia="仿宋_GB2312"/>
          <w:szCs w:val="32"/>
        </w:rPr>
        <w:t>月报告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制度，完善应急处置机制，做好风险评估预警，兜牢兜实基层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三保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底线。健全规范政府举债融资机制，严格地方政府债务限额管理和预算管理，加强风险监测预警，确保政府债券按时足额还本付息，同时强化部门信息共享和协同监管，坚决遏制新增隐性债务，有序化解存量隐性债务。</w:t>
      </w:r>
      <w:r>
        <w:rPr>
          <w:rFonts w:eastAsia="仿宋_GB2312"/>
          <w:szCs w:val="32"/>
        </w:rPr>
        <w:t> </w:t>
      </w:r>
    </w:p>
    <w:p>
      <w:pPr>
        <w:widowControl w:val="0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5.</w:t>
      </w:r>
      <w:r>
        <w:rPr>
          <w:rFonts w:hint="eastAsia" w:eastAsia="楷体_GB2312"/>
          <w:szCs w:val="32"/>
        </w:rPr>
        <w:t>进一步严肃财经纪律。</w:t>
      </w:r>
      <w:r>
        <w:rPr>
          <w:rFonts w:hint="eastAsia" w:eastAsia="仿宋_GB2312"/>
          <w:szCs w:val="32"/>
        </w:rPr>
        <w:t>认真落实预算法及其实施条例规定，严格执行人大批准的预算，严禁无预算超预算支出，从严控制预算追加，规范预算调剂行为，确保预算刚性。加大审计查出问题整改力度，严格落实整改责任，加强跟踪督办。深入推进预决算公开，规范公开内容，统一公开渠道，组织开展专项检查。研究制定进一步加强财会监督工作的实施方案，强化财会监督与其他监督贯通协调，聚焦减税降费、党政机关过紧日子、加强基层</w:t>
      </w:r>
      <w:r>
        <w:rPr>
          <w:rFonts w:eastAsia="仿宋_GB2312"/>
          <w:szCs w:val="32"/>
        </w:rPr>
        <w:t>“</w:t>
      </w:r>
      <w:r>
        <w:rPr>
          <w:rFonts w:hint="eastAsia" w:eastAsia="仿宋_GB2312"/>
          <w:szCs w:val="32"/>
        </w:rPr>
        <w:t>三保</w:t>
      </w:r>
      <w:r>
        <w:rPr>
          <w:rFonts w:eastAsia="仿宋_GB2312"/>
          <w:szCs w:val="32"/>
        </w:rPr>
        <w:t>”</w:t>
      </w:r>
      <w:r>
        <w:rPr>
          <w:rFonts w:hint="eastAsia" w:eastAsia="仿宋_GB2312"/>
          <w:szCs w:val="32"/>
        </w:rPr>
        <w:t>、防范政府债务风险、规范国库管理、加强资产管理、规范公务员工资津贴补贴等重点开展监督，推动重大财税政策执行到位、落地见效。加大会计、资产评估行业监管力度，扎实开展会计信息质量检查，进一步规范政府采购管理，维护良好的市场经济秩序和营商环境。</w:t>
      </w:r>
    </w:p>
    <w:sectPr>
      <w:footerReference r:id="rId3" w:type="default"/>
      <w:pgSz w:w="11906" w:h="16838"/>
      <w:pgMar w:top="2098" w:right="1474" w:bottom="1871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TA0YTYyZDRiMzQyMTA0MmM2ZTU4ODBhZjA5ZTQifQ=="/>
  </w:docVars>
  <w:rsids>
    <w:rsidRoot w:val="00BF28BE"/>
    <w:rsid w:val="00011519"/>
    <w:rsid w:val="000225D1"/>
    <w:rsid w:val="000339B1"/>
    <w:rsid w:val="00036C1E"/>
    <w:rsid w:val="0006497A"/>
    <w:rsid w:val="000737B5"/>
    <w:rsid w:val="00075128"/>
    <w:rsid w:val="000B2FF6"/>
    <w:rsid w:val="000B3756"/>
    <w:rsid w:val="000F436C"/>
    <w:rsid w:val="001131A9"/>
    <w:rsid w:val="00131D7D"/>
    <w:rsid w:val="00141C2A"/>
    <w:rsid w:val="00166331"/>
    <w:rsid w:val="00191FDC"/>
    <w:rsid w:val="00243C85"/>
    <w:rsid w:val="00254ED8"/>
    <w:rsid w:val="00266DA9"/>
    <w:rsid w:val="002B24A3"/>
    <w:rsid w:val="002C3290"/>
    <w:rsid w:val="002E1916"/>
    <w:rsid w:val="002E4352"/>
    <w:rsid w:val="002F04D8"/>
    <w:rsid w:val="00302D4E"/>
    <w:rsid w:val="003353D1"/>
    <w:rsid w:val="00343A85"/>
    <w:rsid w:val="00350090"/>
    <w:rsid w:val="0035103C"/>
    <w:rsid w:val="0038126C"/>
    <w:rsid w:val="00384D1D"/>
    <w:rsid w:val="003975D0"/>
    <w:rsid w:val="003B76D2"/>
    <w:rsid w:val="003E64F4"/>
    <w:rsid w:val="003F2F88"/>
    <w:rsid w:val="003F7805"/>
    <w:rsid w:val="004062A1"/>
    <w:rsid w:val="00422ACB"/>
    <w:rsid w:val="00424007"/>
    <w:rsid w:val="0043770E"/>
    <w:rsid w:val="00450872"/>
    <w:rsid w:val="004A0B01"/>
    <w:rsid w:val="004B0AC1"/>
    <w:rsid w:val="004B7FC0"/>
    <w:rsid w:val="004F2429"/>
    <w:rsid w:val="004F4637"/>
    <w:rsid w:val="00505C2D"/>
    <w:rsid w:val="0050648D"/>
    <w:rsid w:val="00524484"/>
    <w:rsid w:val="0053305F"/>
    <w:rsid w:val="00554470"/>
    <w:rsid w:val="00562328"/>
    <w:rsid w:val="00584B6A"/>
    <w:rsid w:val="005A78C0"/>
    <w:rsid w:val="005B6251"/>
    <w:rsid w:val="005C0ECC"/>
    <w:rsid w:val="005C3B58"/>
    <w:rsid w:val="006077ED"/>
    <w:rsid w:val="00635C6A"/>
    <w:rsid w:val="00682FB9"/>
    <w:rsid w:val="00684786"/>
    <w:rsid w:val="006A551C"/>
    <w:rsid w:val="006F275A"/>
    <w:rsid w:val="00744685"/>
    <w:rsid w:val="0077071C"/>
    <w:rsid w:val="007745A4"/>
    <w:rsid w:val="007A0D94"/>
    <w:rsid w:val="007B6050"/>
    <w:rsid w:val="007C2135"/>
    <w:rsid w:val="007D1D1D"/>
    <w:rsid w:val="007F47A6"/>
    <w:rsid w:val="00813A60"/>
    <w:rsid w:val="00826FE6"/>
    <w:rsid w:val="00830541"/>
    <w:rsid w:val="00840656"/>
    <w:rsid w:val="008745B5"/>
    <w:rsid w:val="008943D1"/>
    <w:rsid w:val="008A353F"/>
    <w:rsid w:val="008D5705"/>
    <w:rsid w:val="009345E6"/>
    <w:rsid w:val="00954C44"/>
    <w:rsid w:val="00992459"/>
    <w:rsid w:val="00995B73"/>
    <w:rsid w:val="009D6FB9"/>
    <w:rsid w:val="009E4BB3"/>
    <w:rsid w:val="009F509D"/>
    <w:rsid w:val="00A00BEB"/>
    <w:rsid w:val="00A132A2"/>
    <w:rsid w:val="00A30589"/>
    <w:rsid w:val="00A410C9"/>
    <w:rsid w:val="00AA3834"/>
    <w:rsid w:val="00AB7AA8"/>
    <w:rsid w:val="00AC6A80"/>
    <w:rsid w:val="00AE286A"/>
    <w:rsid w:val="00AF4D9A"/>
    <w:rsid w:val="00B01E1C"/>
    <w:rsid w:val="00B04954"/>
    <w:rsid w:val="00B729AA"/>
    <w:rsid w:val="00B7462D"/>
    <w:rsid w:val="00B94199"/>
    <w:rsid w:val="00B96F55"/>
    <w:rsid w:val="00BA03A3"/>
    <w:rsid w:val="00BC6457"/>
    <w:rsid w:val="00BD2420"/>
    <w:rsid w:val="00BD2A20"/>
    <w:rsid w:val="00BF28BE"/>
    <w:rsid w:val="00C0288D"/>
    <w:rsid w:val="00C24B34"/>
    <w:rsid w:val="00C32E39"/>
    <w:rsid w:val="00C41F54"/>
    <w:rsid w:val="00C541F1"/>
    <w:rsid w:val="00CC4F35"/>
    <w:rsid w:val="00CF6793"/>
    <w:rsid w:val="00D00A4D"/>
    <w:rsid w:val="00D27D8B"/>
    <w:rsid w:val="00D30D2F"/>
    <w:rsid w:val="00D7349C"/>
    <w:rsid w:val="00D76137"/>
    <w:rsid w:val="00DA143A"/>
    <w:rsid w:val="00DA174E"/>
    <w:rsid w:val="00DB085C"/>
    <w:rsid w:val="00DD0E24"/>
    <w:rsid w:val="00DD4E14"/>
    <w:rsid w:val="00DE1A73"/>
    <w:rsid w:val="00E015DB"/>
    <w:rsid w:val="00E247D6"/>
    <w:rsid w:val="00E36C21"/>
    <w:rsid w:val="00E71162"/>
    <w:rsid w:val="00E8100D"/>
    <w:rsid w:val="00ED2057"/>
    <w:rsid w:val="00EF0659"/>
    <w:rsid w:val="00F12CCF"/>
    <w:rsid w:val="00F1440E"/>
    <w:rsid w:val="00F24069"/>
    <w:rsid w:val="00F41283"/>
    <w:rsid w:val="00F849F1"/>
    <w:rsid w:val="00F93A47"/>
    <w:rsid w:val="00FB4FC7"/>
    <w:rsid w:val="00FD2412"/>
    <w:rsid w:val="00FE79AC"/>
    <w:rsid w:val="010075E4"/>
    <w:rsid w:val="010C6165"/>
    <w:rsid w:val="016346C3"/>
    <w:rsid w:val="0185522C"/>
    <w:rsid w:val="018D20FB"/>
    <w:rsid w:val="01D9348E"/>
    <w:rsid w:val="021620AA"/>
    <w:rsid w:val="029116E2"/>
    <w:rsid w:val="03404609"/>
    <w:rsid w:val="03424614"/>
    <w:rsid w:val="036B1B5A"/>
    <w:rsid w:val="03E8367B"/>
    <w:rsid w:val="04852CF4"/>
    <w:rsid w:val="05D75406"/>
    <w:rsid w:val="066649ED"/>
    <w:rsid w:val="068204A4"/>
    <w:rsid w:val="071174A5"/>
    <w:rsid w:val="07A93B58"/>
    <w:rsid w:val="07D16F19"/>
    <w:rsid w:val="08CC2895"/>
    <w:rsid w:val="090E0C75"/>
    <w:rsid w:val="09DC187A"/>
    <w:rsid w:val="0A010FD7"/>
    <w:rsid w:val="0A6D0828"/>
    <w:rsid w:val="0A913029"/>
    <w:rsid w:val="0C7649AE"/>
    <w:rsid w:val="0C7F3C1B"/>
    <w:rsid w:val="0D4355C8"/>
    <w:rsid w:val="0E7B67F6"/>
    <w:rsid w:val="0EC22707"/>
    <w:rsid w:val="1005361A"/>
    <w:rsid w:val="1396130A"/>
    <w:rsid w:val="14C76912"/>
    <w:rsid w:val="14C86E00"/>
    <w:rsid w:val="15705FE2"/>
    <w:rsid w:val="16C23BD5"/>
    <w:rsid w:val="17D25BF4"/>
    <w:rsid w:val="182B663A"/>
    <w:rsid w:val="18812F4F"/>
    <w:rsid w:val="18C57063"/>
    <w:rsid w:val="18DE269F"/>
    <w:rsid w:val="19496004"/>
    <w:rsid w:val="1A2E1939"/>
    <w:rsid w:val="1A784EFF"/>
    <w:rsid w:val="1B054238"/>
    <w:rsid w:val="1C1F00E9"/>
    <w:rsid w:val="1C6D6795"/>
    <w:rsid w:val="1CEE171A"/>
    <w:rsid w:val="1D333229"/>
    <w:rsid w:val="1D805864"/>
    <w:rsid w:val="1DCF1A55"/>
    <w:rsid w:val="1E3E0C64"/>
    <w:rsid w:val="1EB659A8"/>
    <w:rsid w:val="1F7D2393"/>
    <w:rsid w:val="1FA97865"/>
    <w:rsid w:val="1FAF3B07"/>
    <w:rsid w:val="1FB14F66"/>
    <w:rsid w:val="20F740B6"/>
    <w:rsid w:val="21072406"/>
    <w:rsid w:val="213C4625"/>
    <w:rsid w:val="21E460BD"/>
    <w:rsid w:val="23594CDA"/>
    <w:rsid w:val="23807536"/>
    <w:rsid w:val="23DC509A"/>
    <w:rsid w:val="262F222A"/>
    <w:rsid w:val="268F392A"/>
    <w:rsid w:val="2798657D"/>
    <w:rsid w:val="27A45C74"/>
    <w:rsid w:val="27EF50D7"/>
    <w:rsid w:val="281C4E70"/>
    <w:rsid w:val="2AB67E1D"/>
    <w:rsid w:val="2C4A2CDE"/>
    <w:rsid w:val="2D476A8F"/>
    <w:rsid w:val="2D581293"/>
    <w:rsid w:val="2DA1796B"/>
    <w:rsid w:val="2F2101F3"/>
    <w:rsid w:val="30F07961"/>
    <w:rsid w:val="322B3232"/>
    <w:rsid w:val="3282372C"/>
    <w:rsid w:val="32FB4BE6"/>
    <w:rsid w:val="343036BC"/>
    <w:rsid w:val="343B4036"/>
    <w:rsid w:val="34761E37"/>
    <w:rsid w:val="362D0D39"/>
    <w:rsid w:val="36FA2158"/>
    <w:rsid w:val="37121247"/>
    <w:rsid w:val="37956CD9"/>
    <w:rsid w:val="37B54ADF"/>
    <w:rsid w:val="37D91726"/>
    <w:rsid w:val="38252F63"/>
    <w:rsid w:val="388C76BD"/>
    <w:rsid w:val="38996975"/>
    <w:rsid w:val="39243F22"/>
    <w:rsid w:val="3ABC3CA1"/>
    <w:rsid w:val="3B452D65"/>
    <w:rsid w:val="3B4B6516"/>
    <w:rsid w:val="3B5E5051"/>
    <w:rsid w:val="3B7F7956"/>
    <w:rsid w:val="3BB047A8"/>
    <w:rsid w:val="3BBA1CC3"/>
    <w:rsid w:val="3CDB4FB8"/>
    <w:rsid w:val="3D46417C"/>
    <w:rsid w:val="40812836"/>
    <w:rsid w:val="40CD17C5"/>
    <w:rsid w:val="40EA53ED"/>
    <w:rsid w:val="4279203E"/>
    <w:rsid w:val="43AB0B8C"/>
    <w:rsid w:val="48FD7849"/>
    <w:rsid w:val="495875B2"/>
    <w:rsid w:val="496D0126"/>
    <w:rsid w:val="49C7403C"/>
    <w:rsid w:val="4A513731"/>
    <w:rsid w:val="4AAF68C8"/>
    <w:rsid w:val="4D0B786C"/>
    <w:rsid w:val="4D657B6B"/>
    <w:rsid w:val="4DE30420"/>
    <w:rsid w:val="4E6F3450"/>
    <w:rsid w:val="51B5081A"/>
    <w:rsid w:val="52E408C6"/>
    <w:rsid w:val="534E3A46"/>
    <w:rsid w:val="54941D06"/>
    <w:rsid w:val="56643FA9"/>
    <w:rsid w:val="566E7E0E"/>
    <w:rsid w:val="56FD7212"/>
    <w:rsid w:val="59352272"/>
    <w:rsid w:val="5A1E14CF"/>
    <w:rsid w:val="5A4871DF"/>
    <w:rsid w:val="5BBD78AD"/>
    <w:rsid w:val="5C3E2860"/>
    <w:rsid w:val="5C571800"/>
    <w:rsid w:val="5C971289"/>
    <w:rsid w:val="5DA51095"/>
    <w:rsid w:val="5E024517"/>
    <w:rsid w:val="5E1F6DBA"/>
    <w:rsid w:val="5E5F2126"/>
    <w:rsid w:val="5E815F65"/>
    <w:rsid w:val="5E8B3BF9"/>
    <w:rsid w:val="5EB93191"/>
    <w:rsid w:val="5EDB30EA"/>
    <w:rsid w:val="5EF757DF"/>
    <w:rsid w:val="6024203D"/>
    <w:rsid w:val="60307C35"/>
    <w:rsid w:val="60331826"/>
    <w:rsid w:val="605B733B"/>
    <w:rsid w:val="609305A0"/>
    <w:rsid w:val="60FA1FE9"/>
    <w:rsid w:val="611C5B59"/>
    <w:rsid w:val="615038DC"/>
    <w:rsid w:val="61784DC9"/>
    <w:rsid w:val="62200182"/>
    <w:rsid w:val="62B80A72"/>
    <w:rsid w:val="63171E45"/>
    <w:rsid w:val="63480079"/>
    <w:rsid w:val="639F778B"/>
    <w:rsid w:val="63D3166C"/>
    <w:rsid w:val="63ED689D"/>
    <w:rsid w:val="64014502"/>
    <w:rsid w:val="66FE3DF4"/>
    <w:rsid w:val="6786394A"/>
    <w:rsid w:val="67EF06D5"/>
    <w:rsid w:val="67F6121D"/>
    <w:rsid w:val="683758D1"/>
    <w:rsid w:val="684F4FA7"/>
    <w:rsid w:val="68BF4D9E"/>
    <w:rsid w:val="68C73148"/>
    <w:rsid w:val="68F711E3"/>
    <w:rsid w:val="69211BAD"/>
    <w:rsid w:val="69242EDE"/>
    <w:rsid w:val="698C2C40"/>
    <w:rsid w:val="6A6223C9"/>
    <w:rsid w:val="6ABC071B"/>
    <w:rsid w:val="6B4B3680"/>
    <w:rsid w:val="6CF962F7"/>
    <w:rsid w:val="6D210B25"/>
    <w:rsid w:val="6D7A24C7"/>
    <w:rsid w:val="6FFF259A"/>
    <w:rsid w:val="70496507"/>
    <w:rsid w:val="70CA1BDD"/>
    <w:rsid w:val="71007492"/>
    <w:rsid w:val="715B27A0"/>
    <w:rsid w:val="72090041"/>
    <w:rsid w:val="726C6AFD"/>
    <w:rsid w:val="73B82CCF"/>
    <w:rsid w:val="73E70AB5"/>
    <w:rsid w:val="741041D1"/>
    <w:rsid w:val="746A4D86"/>
    <w:rsid w:val="75372544"/>
    <w:rsid w:val="75D74B24"/>
    <w:rsid w:val="771F7669"/>
    <w:rsid w:val="77BB31F1"/>
    <w:rsid w:val="78093C20"/>
    <w:rsid w:val="793F7ACB"/>
    <w:rsid w:val="79582461"/>
    <w:rsid w:val="7A3A1105"/>
    <w:rsid w:val="7B0F7ED1"/>
    <w:rsid w:val="7B277BC1"/>
    <w:rsid w:val="7B3574D5"/>
    <w:rsid w:val="7B470636"/>
    <w:rsid w:val="7B9F24F3"/>
    <w:rsid w:val="7BEC309A"/>
    <w:rsid w:val="7BFA2922"/>
    <w:rsid w:val="7C323324"/>
    <w:rsid w:val="7CD90C16"/>
    <w:rsid w:val="7D010553"/>
    <w:rsid w:val="7D3149B6"/>
    <w:rsid w:val="7E14706A"/>
    <w:rsid w:val="7E812623"/>
    <w:rsid w:val="7FFA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9"/>
    <w:pPr>
      <w:keepNext/>
      <w:keepLines/>
      <w:outlineLvl w:val="1"/>
    </w:pPr>
    <w:rPr>
      <w:rFonts w:ascii="等线 Light" w:hAnsi="等线 Light" w:eastAsia="黑体"/>
      <w:bCs/>
      <w:szCs w:val="32"/>
    </w:rPr>
  </w:style>
  <w:style w:type="paragraph" w:styleId="4">
    <w:name w:val="heading 3"/>
    <w:basedOn w:val="1"/>
    <w:next w:val="1"/>
    <w:link w:val="16"/>
    <w:qFormat/>
    <w:uiPriority w:val="99"/>
    <w:pPr>
      <w:keepNext/>
      <w:keepLines/>
      <w:outlineLvl w:val="2"/>
    </w:pPr>
    <w:rPr>
      <w:rFonts w:ascii="等线" w:hAnsi="等线" w:eastAsia="方正楷体简体"/>
      <w:kern w:val="0"/>
      <w:szCs w:val="20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0">
    <w:name w:val="Heading 1 Char"/>
    <w:basedOn w:val="9"/>
    <w:link w:val="2"/>
    <w:locked/>
    <w:uiPriority w:val="99"/>
    <w:rPr>
      <w:rFonts w:eastAsia="方正小标宋简体" w:cs="Times New Roman"/>
      <w:bCs/>
      <w:kern w:val="44"/>
      <w:sz w:val="44"/>
      <w:szCs w:val="44"/>
    </w:rPr>
  </w:style>
  <w:style w:type="character" w:customStyle="1" w:styleId="11">
    <w:name w:val="Heading 2 Char"/>
    <w:basedOn w:val="9"/>
    <w:link w:val="3"/>
    <w:locked/>
    <w:uiPriority w:val="99"/>
    <w:rPr>
      <w:rFonts w:ascii="等线 Light" w:hAnsi="等线 Light" w:eastAsia="黑体" w:cs="Times New Roman"/>
      <w:bCs/>
      <w:sz w:val="32"/>
      <w:szCs w:val="32"/>
    </w:rPr>
  </w:style>
  <w:style w:type="character" w:customStyle="1" w:styleId="12">
    <w:name w:val="Heading 3 Char"/>
    <w:basedOn w:val="9"/>
    <w:link w:val="4"/>
    <w:qFormat/>
    <w:locked/>
    <w:uiPriority w:val="99"/>
    <w:rPr>
      <w:rFonts w:ascii="等线" w:hAnsi="等线" w:eastAsia="方正楷体简体" w:cs="Times New Roman"/>
      <w:sz w:val="32"/>
    </w:rPr>
  </w:style>
  <w:style w:type="character" w:customStyle="1" w:styleId="13">
    <w:name w:val="Balloon Text Char"/>
    <w:basedOn w:val="9"/>
    <w:link w:val="5"/>
    <w:semiHidden/>
    <w:qFormat/>
    <w:locked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14">
    <w:name w:val="Footer Char"/>
    <w:basedOn w:val="9"/>
    <w:link w:val="6"/>
    <w:qFormat/>
    <w:locked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15">
    <w:name w:val="Header Char"/>
    <w:basedOn w:val="9"/>
    <w:link w:val="7"/>
    <w:locked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16">
    <w:name w:val="Heading 3 Char1"/>
    <w:basedOn w:val="9"/>
    <w:link w:val="4"/>
    <w:qFormat/>
    <w:locked/>
    <w:uiPriority w:val="99"/>
    <w:rPr>
      <w:rFonts w:eastAsia="方正楷体简体" w:cs="Times New Roman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16</Pages>
  <Words>1297</Words>
  <Characters>7396</Characters>
  <Lines>0</Lines>
  <Paragraphs>0</Paragraphs>
  <TotalTime>69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2018-12-18T01:32:00Z</dcterms:created>
  <dc:creator>zr</dc:creator>
  <cp:lastModifiedBy>Alex</cp:lastModifiedBy>
  <cp:lastPrinted>2024-01-08T09:50:00Z</cp:lastPrinted>
  <dcterms:modified xsi:type="dcterms:W3CDTF">2024-02-19T07:17:08Z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677514335654483DB5147CBC54D4A348_13</vt:lpwstr>
  </property>
</Properties>
</file>