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附件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3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85"/>
        <w:gridCol w:w="967"/>
        <w:gridCol w:w="1235"/>
        <w:gridCol w:w="486"/>
        <w:gridCol w:w="486"/>
        <w:gridCol w:w="3474"/>
        <w:gridCol w:w="1257"/>
        <w:gridCol w:w="604"/>
        <w:gridCol w:w="991"/>
        <w:gridCol w:w="1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single"/>
                <w:lang w:eastAsia="zh-CN"/>
              </w:rPr>
              <w:t>秦皇岛市生态环境局北戴河新区分局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eastAsia="zh-CN"/>
              </w:rPr>
              <w:t>拟发起的部门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联合随机抽查工作计划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年秦皇岛市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北戴河新区部门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北戴河新区部门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年秦皇岛市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北戴河新区部门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污染防治设施运行及台账记录情况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设置大型户外广告及城市建筑物、设施上悬挂、张贴宣传品的检查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城镇排水与污水处理监督检查（综合执法）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市政设施建设类审批（挖掘道路）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登记事项检查。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北戴河新区内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登记设立、已成立状态的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排污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  <w:t>生态环境分局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综合执法局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市场监管分局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年10月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16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日至10月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30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>
            <w:pPr>
              <w:widowControl/>
              <w:adjustRightInd w:val="0"/>
              <w:snapToGrid w:val="0"/>
              <w:ind w:firstLine="720" w:firstLineChars="300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查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时间必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须填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写到月份。</w:t>
            </w:r>
          </w:p>
        </w:tc>
      </w:tr>
    </w:tbl>
    <w:p>
      <w:pPr>
        <w:pStyle w:val="4"/>
        <w:rPr>
          <w:rFonts w:hint="default" w:ascii="仿宋_GB2312" w:hAnsi="仿宋_GB2312" w:eastAsia="仿宋_GB2312" w:cs="仿宋_GB2312"/>
          <w:sz w:val="30"/>
          <w:szCs w:val="32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476D0"/>
    <w:rsid w:val="0A94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2023-10-09T01:20:00Z</dcterms:created>
  <dc:creator>Administrator</dc:creator>
  <cp:lastModifiedBy>Administrator</cp:lastModifiedBy>
  <dcterms:modified xsi:type="dcterms:W3CDTF">2023-10-09T01:20:46Z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