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318秦皇岛北戴河新区财政局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1665.13</w:t>
            </w:r>
          </w:p>
        </w:tc>
        <w:tc>
          <w:tcPr>
            <w:tcW w:w="4535" w:type="dxa"/>
            <w:vAlign w:val="center"/>
          </w:tcPr>
          <w:p>
            <w:pPr>
              <w:pStyle w:val="14"/>
            </w:pPr>
            <w:r>
              <w:t>一、一般公共服务支出</w:t>
            </w:r>
          </w:p>
        </w:tc>
        <w:tc>
          <w:tcPr>
            <w:tcW w:w="2126" w:type="dxa"/>
            <w:vAlign w:val="center"/>
          </w:tcPr>
          <w:p>
            <w:pPr>
              <w:pStyle w:val="13"/>
            </w:pPr>
            <w:r>
              <w:t>768.39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387.00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1665.13</w:t>
            </w:r>
          </w:p>
        </w:tc>
        <w:tc>
          <w:tcPr>
            <w:tcW w:w="4535" w:type="dxa"/>
            <w:vAlign w:val="center"/>
          </w:tcPr>
          <w:p>
            <w:pPr>
              <w:pStyle w:val="16"/>
            </w:pPr>
            <w:r>
              <w:t>本年支出合计</w:t>
            </w:r>
          </w:p>
        </w:tc>
        <w:tc>
          <w:tcPr>
            <w:tcW w:w="2126" w:type="dxa"/>
            <w:vAlign w:val="center"/>
          </w:tcPr>
          <w:p>
            <w:pPr>
              <w:pStyle w:val="17"/>
            </w:pPr>
            <w:r>
              <w:t>1671.13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1671.13</w:t>
            </w:r>
          </w:p>
        </w:tc>
        <w:tc>
          <w:tcPr>
            <w:tcW w:w="4535" w:type="dxa"/>
            <w:vAlign w:val="center"/>
          </w:tcPr>
          <w:p>
            <w:pPr>
              <w:pStyle w:val="16"/>
            </w:pPr>
            <w:r>
              <w:t>支出总计</w:t>
            </w:r>
          </w:p>
        </w:tc>
        <w:tc>
          <w:tcPr>
            <w:tcW w:w="2126" w:type="dxa"/>
            <w:vAlign w:val="center"/>
          </w:tcPr>
          <w:p>
            <w:pPr>
              <w:pStyle w:val="17"/>
            </w:pPr>
            <w:r>
              <w:t>1671.13</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318秦皇岛北戴河新区财政局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1671.13</w:t>
            </w:r>
          </w:p>
        </w:tc>
        <w:tc>
          <w:tcPr>
            <w:tcW w:w="1134" w:type="dxa"/>
            <w:vAlign w:val="center"/>
          </w:tcPr>
          <w:p>
            <w:pPr>
              <w:pStyle w:val="17"/>
            </w:pPr>
            <w:r>
              <w:t>1665.13</w:t>
            </w:r>
          </w:p>
        </w:tc>
        <w:tc>
          <w:tcPr>
            <w:tcW w:w="1134" w:type="dxa"/>
            <w:vAlign w:val="center"/>
          </w:tcPr>
          <w:p>
            <w:pPr>
              <w:pStyle w:val="17"/>
            </w:pPr>
            <w:r>
              <w:t>1665.13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768.39</w:t>
            </w:r>
          </w:p>
        </w:tc>
        <w:tc>
          <w:tcPr>
            <w:tcW w:w="1134" w:type="dxa"/>
            <w:vAlign w:val="center"/>
          </w:tcPr>
          <w:p>
            <w:pPr>
              <w:pStyle w:val="13"/>
            </w:pPr>
            <w:r>
              <w:t>768.39</w:t>
            </w:r>
          </w:p>
        </w:tc>
        <w:tc>
          <w:tcPr>
            <w:tcW w:w="1134" w:type="dxa"/>
            <w:vAlign w:val="center"/>
          </w:tcPr>
          <w:p>
            <w:pPr>
              <w:pStyle w:val="13"/>
            </w:pPr>
            <w:r>
              <w:t>768.39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768.39</w:t>
            </w:r>
          </w:p>
        </w:tc>
        <w:tc>
          <w:tcPr>
            <w:tcW w:w="1134" w:type="dxa"/>
            <w:vAlign w:val="center"/>
          </w:tcPr>
          <w:p>
            <w:pPr>
              <w:pStyle w:val="13"/>
            </w:pPr>
            <w:r>
              <w:t>768.39</w:t>
            </w:r>
          </w:p>
        </w:tc>
        <w:tc>
          <w:tcPr>
            <w:tcW w:w="1134" w:type="dxa"/>
            <w:vAlign w:val="center"/>
          </w:tcPr>
          <w:p>
            <w:pPr>
              <w:pStyle w:val="13"/>
            </w:pPr>
            <w:r>
              <w:t>768.39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733.39</w:t>
            </w:r>
          </w:p>
        </w:tc>
        <w:tc>
          <w:tcPr>
            <w:tcW w:w="1134" w:type="dxa"/>
            <w:vAlign w:val="center"/>
          </w:tcPr>
          <w:p>
            <w:pPr>
              <w:pStyle w:val="13"/>
            </w:pPr>
            <w:r>
              <w:t>733.39</w:t>
            </w:r>
          </w:p>
        </w:tc>
        <w:tc>
          <w:tcPr>
            <w:tcW w:w="1134" w:type="dxa"/>
            <w:vAlign w:val="center"/>
          </w:tcPr>
          <w:p>
            <w:pPr>
              <w:pStyle w:val="13"/>
            </w:pPr>
            <w:r>
              <w:t>733.39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2010607</w:t>
            </w:r>
          </w:p>
        </w:tc>
        <w:tc>
          <w:tcPr>
            <w:tcW w:w="1559" w:type="dxa"/>
            <w:vAlign w:val="center"/>
          </w:tcPr>
          <w:p>
            <w:pPr>
              <w:pStyle w:val="14"/>
            </w:pPr>
            <w:r>
              <w:t>信息化建设</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51.01</w:t>
            </w:r>
          </w:p>
        </w:tc>
        <w:tc>
          <w:tcPr>
            <w:tcW w:w="1134" w:type="dxa"/>
            <w:vAlign w:val="center"/>
          </w:tcPr>
          <w:p>
            <w:pPr>
              <w:pStyle w:val="13"/>
            </w:pPr>
            <w:r>
              <w:t>51.01</w:t>
            </w:r>
          </w:p>
        </w:tc>
        <w:tc>
          <w:tcPr>
            <w:tcW w:w="1134" w:type="dxa"/>
            <w:vAlign w:val="center"/>
          </w:tcPr>
          <w:p>
            <w:pPr>
              <w:pStyle w:val="13"/>
            </w:pPr>
            <w:r>
              <w:t>51.01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51.01</w:t>
            </w:r>
          </w:p>
        </w:tc>
        <w:tc>
          <w:tcPr>
            <w:tcW w:w="1134" w:type="dxa"/>
            <w:vAlign w:val="center"/>
          </w:tcPr>
          <w:p>
            <w:pPr>
              <w:pStyle w:val="13"/>
            </w:pPr>
            <w:r>
              <w:t>51.01</w:t>
            </w:r>
          </w:p>
        </w:tc>
        <w:tc>
          <w:tcPr>
            <w:tcW w:w="1134" w:type="dxa"/>
            <w:vAlign w:val="center"/>
          </w:tcPr>
          <w:p>
            <w:pPr>
              <w:pStyle w:val="13"/>
            </w:pPr>
            <w:r>
              <w:t>51.01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4.11</w:t>
            </w:r>
          </w:p>
        </w:tc>
        <w:tc>
          <w:tcPr>
            <w:tcW w:w="1134" w:type="dxa"/>
            <w:vAlign w:val="center"/>
          </w:tcPr>
          <w:p>
            <w:pPr>
              <w:pStyle w:val="13"/>
            </w:pPr>
            <w:r>
              <w:t>4.11</w:t>
            </w:r>
          </w:p>
        </w:tc>
        <w:tc>
          <w:tcPr>
            <w:tcW w:w="1134" w:type="dxa"/>
            <w:vAlign w:val="center"/>
          </w:tcPr>
          <w:p>
            <w:pPr>
              <w:pStyle w:val="13"/>
            </w:pPr>
            <w:r>
              <w:t>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45.11</w:t>
            </w:r>
          </w:p>
        </w:tc>
        <w:tc>
          <w:tcPr>
            <w:tcW w:w="1134" w:type="dxa"/>
            <w:vAlign w:val="center"/>
          </w:tcPr>
          <w:p>
            <w:pPr>
              <w:pStyle w:val="13"/>
            </w:pPr>
            <w:r>
              <w:t>45.11</w:t>
            </w:r>
          </w:p>
        </w:tc>
        <w:tc>
          <w:tcPr>
            <w:tcW w:w="1134" w:type="dxa"/>
            <w:vAlign w:val="center"/>
          </w:tcPr>
          <w:p>
            <w:pPr>
              <w:pStyle w:val="13"/>
            </w:pPr>
            <w:r>
              <w:t>45.11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r>
              <w:t>36.88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387.00</w:t>
            </w:r>
          </w:p>
        </w:tc>
        <w:tc>
          <w:tcPr>
            <w:tcW w:w="1134" w:type="dxa"/>
            <w:vAlign w:val="center"/>
          </w:tcPr>
          <w:p>
            <w:pPr>
              <w:pStyle w:val="13"/>
            </w:pPr>
            <w:r>
              <w:t>381.00</w:t>
            </w:r>
          </w:p>
        </w:tc>
        <w:tc>
          <w:tcPr>
            <w:tcW w:w="1134" w:type="dxa"/>
            <w:vAlign w:val="center"/>
          </w:tcPr>
          <w:p>
            <w:pPr>
              <w:pStyle w:val="13"/>
            </w:pPr>
            <w:r>
              <w:t>381.00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324.00</w:t>
            </w:r>
          </w:p>
        </w:tc>
        <w:tc>
          <w:tcPr>
            <w:tcW w:w="1134" w:type="dxa"/>
            <w:vAlign w:val="center"/>
          </w:tcPr>
          <w:p>
            <w:pPr>
              <w:pStyle w:val="13"/>
            </w:pPr>
            <w:r>
              <w:t>318.00</w:t>
            </w:r>
          </w:p>
        </w:tc>
        <w:tc>
          <w:tcPr>
            <w:tcW w:w="1134" w:type="dxa"/>
            <w:vAlign w:val="center"/>
          </w:tcPr>
          <w:p>
            <w:pPr>
              <w:pStyle w:val="13"/>
            </w:pPr>
            <w:r>
              <w:t>318.00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318.00</w:t>
            </w:r>
          </w:p>
        </w:tc>
        <w:tc>
          <w:tcPr>
            <w:tcW w:w="1134" w:type="dxa"/>
            <w:vAlign w:val="center"/>
          </w:tcPr>
          <w:p>
            <w:pPr>
              <w:pStyle w:val="13"/>
            </w:pPr>
            <w:r>
              <w:t>318.00</w:t>
            </w:r>
          </w:p>
        </w:tc>
        <w:tc>
          <w:tcPr>
            <w:tcW w:w="1134" w:type="dxa"/>
            <w:vAlign w:val="center"/>
          </w:tcPr>
          <w:p>
            <w:pPr>
              <w:pStyle w:val="13"/>
            </w:pPr>
            <w:r>
              <w:t>318.00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2130803</w:t>
            </w:r>
          </w:p>
        </w:tc>
        <w:tc>
          <w:tcPr>
            <w:tcW w:w="1559" w:type="dxa"/>
            <w:vAlign w:val="center"/>
          </w:tcPr>
          <w:p>
            <w:pPr>
              <w:pStyle w:val="14"/>
            </w:pPr>
            <w:r>
              <w:t>农业保险保费补贴</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21507</w:t>
            </w:r>
          </w:p>
        </w:tc>
        <w:tc>
          <w:tcPr>
            <w:tcW w:w="1559" w:type="dxa"/>
            <w:vAlign w:val="center"/>
          </w:tcPr>
          <w:p>
            <w:pPr>
              <w:pStyle w:val="14"/>
            </w:pPr>
            <w:r>
              <w:t>国有资产监管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2150701</w:t>
            </w:r>
          </w:p>
        </w:tc>
        <w:tc>
          <w:tcPr>
            <w:tcW w:w="1559" w:type="dxa"/>
            <w:vAlign w:val="center"/>
          </w:tcPr>
          <w:p>
            <w:pPr>
              <w:pStyle w:val="14"/>
            </w:pPr>
            <w:r>
              <w:t>行政运行</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217</w:t>
            </w:r>
          </w:p>
        </w:tc>
        <w:tc>
          <w:tcPr>
            <w:tcW w:w="1559" w:type="dxa"/>
            <w:vAlign w:val="center"/>
          </w:tcPr>
          <w:p>
            <w:pPr>
              <w:pStyle w:val="14"/>
            </w:pPr>
            <w:r>
              <w:t>金融支出</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21701</w:t>
            </w:r>
          </w:p>
        </w:tc>
        <w:tc>
          <w:tcPr>
            <w:tcW w:w="1559" w:type="dxa"/>
            <w:vAlign w:val="center"/>
          </w:tcPr>
          <w:p>
            <w:pPr>
              <w:pStyle w:val="14"/>
            </w:pPr>
            <w:r>
              <w:t>金融部门行政支出</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2170101</w:t>
            </w:r>
          </w:p>
        </w:tc>
        <w:tc>
          <w:tcPr>
            <w:tcW w:w="1559" w:type="dxa"/>
            <w:vAlign w:val="center"/>
          </w:tcPr>
          <w:p>
            <w:pPr>
              <w:pStyle w:val="14"/>
            </w:pPr>
            <w:r>
              <w:t>行政运行</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r>
              <w:t>330.00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21703</w:t>
            </w:r>
          </w:p>
        </w:tc>
        <w:tc>
          <w:tcPr>
            <w:tcW w:w="1559" w:type="dxa"/>
            <w:vAlign w:val="center"/>
          </w:tcPr>
          <w:p>
            <w:pPr>
              <w:pStyle w:val="14"/>
            </w:pPr>
            <w:r>
              <w:t>金融发展支出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2170399</w:t>
            </w:r>
          </w:p>
        </w:tc>
        <w:tc>
          <w:tcPr>
            <w:tcW w:w="1559" w:type="dxa"/>
            <w:vAlign w:val="center"/>
          </w:tcPr>
          <w:p>
            <w:pPr>
              <w:pStyle w:val="14"/>
            </w:pPr>
            <w:r>
              <w:t>其他金融发展支出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r>
              <w:t>37.85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1671.13</w:t>
            </w:r>
          </w:p>
        </w:tc>
        <w:tc>
          <w:tcPr>
            <w:tcW w:w="1361" w:type="dxa"/>
            <w:vAlign w:val="center"/>
          </w:tcPr>
          <w:p>
            <w:pPr>
              <w:pStyle w:val="17"/>
            </w:pPr>
            <w:r>
              <w:t>378.92</w:t>
            </w:r>
          </w:p>
        </w:tc>
        <w:tc>
          <w:tcPr>
            <w:tcW w:w="1361" w:type="dxa"/>
            <w:vAlign w:val="center"/>
          </w:tcPr>
          <w:p>
            <w:pPr>
              <w:pStyle w:val="17"/>
            </w:pPr>
            <w:r>
              <w:t>1292.21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768.39</w:t>
            </w:r>
          </w:p>
        </w:tc>
        <w:tc>
          <w:tcPr>
            <w:tcW w:w="1361" w:type="dxa"/>
            <w:vAlign w:val="center"/>
          </w:tcPr>
          <w:p>
            <w:pPr>
              <w:pStyle w:val="13"/>
            </w:pPr>
            <w:r>
              <w:t>253.18</w:t>
            </w:r>
          </w:p>
        </w:tc>
        <w:tc>
          <w:tcPr>
            <w:tcW w:w="1361" w:type="dxa"/>
            <w:vAlign w:val="center"/>
          </w:tcPr>
          <w:p>
            <w:pPr>
              <w:pStyle w:val="13"/>
            </w:pPr>
            <w:r>
              <w:t>515.21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20106</w:t>
            </w:r>
          </w:p>
        </w:tc>
        <w:tc>
          <w:tcPr>
            <w:tcW w:w="4535" w:type="dxa"/>
            <w:vAlign w:val="center"/>
          </w:tcPr>
          <w:p>
            <w:pPr>
              <w:pStyle w:val="14"/>
            </w:pPr>
            <w:r>
              <w:t>财政事务</w:t>
            </w:r>
          </w:p>
        </w:tc>
        <w:tc>
          <w:tcPr>
            <w:tcW w:w="1361" w:type="dxa"/>
            <w:vAlign w:val="center"/>
          </w:tcPr>
          <w:p>
            <w:pPr>
              <w:pStyle w:val="13"/>
            </w:pPr>
            <w:r>
              <w:t>768.39</w:t>
            </w:r>
          </w:p>
        </w:tc>
        <w:tc>
          <w:tcPr>
            <w:tcW w:w="1361" w:type="dxa"/>
            <w:vAlign w:val="center"/>
          </w:tcPr>
          <w:p>
            <w:pPr>
              <w:pStyle w:val="13"/>
            </w:pPr>
            <w:r>
              <w:t>253.18</w:t>
            </w:r>
          </w:p>
        </w:tc>
        <w:tc>
          <w:tcPr>
            <w:tcW w:w="1361" w:type="dxa"/>
            <w:vAlign w:val="center"/>
          </w:tcPr>
          <w:p>
            <w:pPr>
              <w:pStyle w:val="13"/>
            </w:pPr>
            <w:r>
              <w:t>515.21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2010601</w:t>
            </w:r>
          </w:p>
        </w:tc>
        <w:tc>
          <w:tcPr>
            <w:tcW w:w="4535" w:type="dxa"/>
            <w:vAlign w:val="center"/>
          </w:tcPr>
          <w:p>
            <w:pPr>
              <w:pStyle w:val="14"/>
            </w:pPr>
            <w:r>
              <w:t>行政运行</w:t>
            </w:r>
          </w:p>
        </w:tc>
        <w:tc>
          <w:tcPr>
            <w:tcW w:w="1361" w:type="dxa"/>
            <w:vAlign w:val="center"/>
          </w:tcPr>
          <w:p>
            <w:pPr>
              <w:pStyle w:val="13"/>
            </w:pPr>
            <w:r>
              <w:t>733.39</w:t>
            </w:r>
          </w:p>
        </w:tc>
        <w:tc>
          <w:tcPr>
            <w:tcW w:w="1361" w:type="dxa"/>
            <w:vAlign w:val="center"/>
          </w:tcPr>
          <w:p>
            <w:pPr>
              <w:pStyle w:val="13"/>
            </w:pPr>
            <w:r>
              <w:t>253.18</w:t>
            </w:r>
          </w:p>
        </w:tc>
        <w:tc>
          <w:tcPr>
            <w:tcW w:w="1361" w:type="dxa"/>
            <w:vAlign w:val="center"/>
          </w:tcPr>
          <w:p>
            <w:pPr>
              <w:pStyle w:val="13"/>
            </w:pPr>
            <w:r>
              <w:t>480.21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2010607</w:t>
            </w:r>
          </w:p>
        </w:tc>
        <w:tc>
          <w:tcPr>
            <w:tcW w:w="4535" w:type="dxa"/>
            <w:vAlign w:val="center"/>
          </w:tcPr>
          <w:p>
            <w:pPr>
              <w:pStyle w:val="14"/>
            </w:pPr>
            <w:r>
              <w:t>信息化建设</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51.01</w:t>
            </w:r>
          </w:p>
        </w:tc>
        <w:tc>
          <w:tcPr>
            <w:tcW w:w="1361" w:type="dxa"/>
            <w:vAlign w:val="center"/>
          </w:tcPr>
          <w:p>
            <w:pPr>
              <w:pStyle w:val="13"/>
            </w:pPr>
            <w:r>
              <w:t>51.01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51.01</w:t>
            </w:r>
          </w:p>
        </w:tc>
        <w:tc>
          <w:tcPr>
            <w:tcW w:w="1361" w:type="dxa"/>
            <w:vAlign w:val="center"/>
          </w:tcPr>
          <w:p>
            <w:pPr>
              <w:pStyle w:val="13"/>
            </w:pPr>
            <w:r>
              <w:t>51.01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4.11</w:t>
            </w:r>
          </w:p>
        </w:tc>
        <w:tc>
          <w:tcPr>
            <w:tcW w:w="1361" w:type="dxa"/>
            <w:vAlign w:val="center"/>
          </w:tcPr>
          <w:p>
            <w:pPr>
              <w:pStyle w:val="13"/>
            </w:pPr>
            <w:r>
              <w:t>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45.11</w:t>
            </w:r>
          </w:p>
        </w:tc>
        <w:tc>
          <w:tcPr>
            <w:tcW w:w="1361" w:type="dxa"/>
            <w:vAlign w:val="center"/>
          </w:tcPr>
          <w:p>
            <w:pPr>
              <w:pStyle w:val="13"/>
            </w:pPr>
            <w:r>
              <w:t>45.11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1.79</w:t>
            </w:r>
          </w:p>
        </w:tc>
        <w:tc>
          <w:tcPr>
            <w:tcW w:w="1361" w:type="dxa"/>
            <w:vAlign w:val="center"/>
          </w:tcPr>
          <w:p>
            <w:pPr>
              <w:pStyle w:val="13"/>
            </w:pPr>
            <w:r>
              <w:t>1.79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36.88</w:t>
            </w:r>
          </w:p>
        </w:tc>
        <w:tc>
          <w:tcPr>
            <w:tcW w:w="1361" w:type="dxa"/>
            <w:vAlign w:val="center"/>
          </w:tcPr>
          <w:p>
            <w:pPr>
              <w:pStyle w:val="13"/>
            </w:pPr>
            <w:r>
              <w:t>36.88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36.88</w:t>
            </w:r>
          </w:p>
        </w:tc>
        <w:tc>
          <w:tcPr>
            <w:tcW w:w="1361" w:type="dxa"/>
            <w:vAlign w:val="center"/>
          </w:tcPr>
          <w:p>
            <w:pPr>
              <w:pStyle w:val="13"/>
            </w:pPr>
            <w:r>
              <w:t>36.88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36.88</w:t>
            </w:r>
          </w:p>
        </w:tc>
        <w:tc>
          <w:tcPr>
            <w:tcW w:w="1361" w:type="dxa"/>
            <w:vAlign w:val="center"/>
          </w:tcPr>
          <w:p>
            <w:pPr>
              <w:pStyle w:val="13"/>
            </w:pPr>
            <w:r>
              <w:t>36.88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387.00</w:t>
            </w:r>
          </w:p>
        </w:tc>
        <w:tc>
          <w:tcPr>
            <w:tcW w:w="1361" w:type="dxa"/>
            <w:vAlign w:val="center"/>
          </w:tcPr>
          <w:p>
            <w:pPr>
              <w:pStyle w:val="13"/>
            </w:pPr>
          </w:p>
        </w:tc>
        <w:tc>
          <w:tcPr>
            <w:tcW w:w="1361" w:type="dxa"/>
            <w:vAlign w:val="center"/>
          </w:tcPr>
          <w:p>
            <w:pPr>
              <w:pStyle w:val="13"/>
            </w:pPr>
            <w:r>
              <w:t>387.00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324.00</w:t>
            </w:r>
          </w:p>
        </w:tc>
        <w:tc>
          <w:tcPr>
            <w:tcW w:w="1361" w:type="dxa"/>
            <w:vAlign w:val="center"/>
          </w:tcPr>
          <w:p>
            <w:pPr>
              <w:pStyle w:val="13"/>
            </w:pPr>
          </w:p>
        </w:tc>
        <w:tc>
          <w:tcPr>
            <w:tcW w:w="1361" w:type="dxa"/>
            <w:vAlign w:val="center"/>
          </w:tcPr>
          <w:p>
            <w:pPr>
              <w:pStyle w:val="13"/>
            </w:pPr>
            <w:r>
              <w:t>324.00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318.00</w:t>
            </w:r>
          </w:p>
        </w:tc>
        <w:tc>
          <w:tcPr>
            <w:tcW w:w="1361" w:type="dxa"/>
            <w:vAlign w:val="center"/>
          </w:tcPr>
          <w:p>
            <w:pPr>
              <w:pStyle w:val="13"/>
            </w:pPr>
          </w:p>
        </w:tc>
        <w:tc>
          <w:tcPr>
            <w:tcW w:w="1361" w:type="dxa"/>
            <w:vAlign w:val="center"/>
          </w:tcPr>
          <w:p>
            <w:pPr>
              <w:pStyle w:val="13"/>
            </w:pPr>
            <w:r>
              <w:t>318.00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2130803</w:t>
            </w:r>
          </w:p>
        </w:tc>
        <w:tc>
          <w:tcPr>
            <w:tcW w:w="4535" w:type="dxa"/>
            <w:vAlign w:val="center"/>
          </w:tcPr>
          <w:p>
            <w:pPr>
              <w:pStyle w:val="14"/>
            </w:pPr>
            <w:r>
              <w:t>农业保险保费补贴</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21507</w:t>
            </w:r>
          </w:p>
        </w:tc>
        <w:tc>
          <w:tcPr>
            <w:tcW w:w="4535" w:type="dxa"/>
            <w:vAlign w:val="center"/>
          </w:tcPr>
          <w:p>
            <w:pPr>
              <w:pStyle w:val="14"/>
            </w:pPr>
            <w:r>
              <w:t>国有资产监管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2150701</w:t>
            </w:r>
          </w:p>
        </w:tc>
        <w:tc>
          <w:tcPr>
            <w:tcW w:w="4535" w:type="dxa"/>
            <w:vAlign w:val="center"/>
          </w:tcPr>
          <w:p>
            <w:pPr>
              <w:pStyle w:val="14"/>
            </w:pPr>
            <w:r>
              <w:t>行政运行</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217</w:t>
            </w:r>
          </w:p>
        </w:tc>
        <w:tc>
          <w:tcPr>
            <w:tcW w:w="4535" w:type="dxa"/>
            <w:vAlign w:val="center"/>
          </w:tcPr>
          <w:p>
            <w:pPr>
              <w:pStyle w:val="14"/>
            </w:pPr>
            <w:r>
              <w:t>金融支出</w:t>
            </w: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21701</w:t>
            </w:r>
          </w:p>
        </w:tc>
        <w:tc>
          <w:tcPr>
            <w:tcW w:w="4535" w:type="dxa"/>
            <w:vAlign w:val="center"/>
          </w:tcPr>
          <w:p>
            <w:pPr>
              <w:pStyle w:val="14"/>
            </w:pPr>
            <w:r>
              <w:t>金融部门行政支出</w:t>
            </w: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2170101</w:t>
            </w:r>
          </w:p>
        </w:tc>
        <w:tc>
          <w:tcPr>
            <w:tcW w:w="4535" w:type="dxa"/>
            <w:vAlign w:val="center"/>
          </w:tcPr>
          <w:p>
            <w:pPr>
              <w:pStyle w:val="14"/>
            </w:pPr>
            <w:r>
              <w:t>行政运行</w:t>
            </w: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r>
              <w:t>330.00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21703</w:t>
            </w:r>
          </w:p>
        </w:tc>
        <w:tc>
          <w:tcPr>
            <w:tcW w:w="4535" w:type="dxa"/>
            <w:vAlign w:val="center"/>
          </w:tcPr>
          <w:p>
            <w:pPr>
              <w:pStyle w:val="14"/>
            </w:pPr>
            <w:r>
              <w:t>金融发展支出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2170399</w:t>
            </w:r>
          </w:p>
        </w:tc>
        <w:tc>
          <w:tcPr>
            <w:tcW w:w="4535" w:type="dxa"/>
            <w:vAlign w:val="center"/>
          </w:tcPr>
          <w:p>
            <w:pPr>
              <w:pStyle w:val="14"/>
            </w:pPr>
            <w:r>
              <w:t>其他金融发展支出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37.85</w:t>
            </w:r>
          </w:p>
        </w:tc>
        <w:tc>
          <w:tcPr>
            <w:tcW w:w="1361" w:type="dxa"/>
            <w:vAlign w:val="center"/>
          </w:tcPr>
          <w:p>
            <w:pPr>
              <w:pStyle w:val="13"/>
            </w:pPr>
            <w:r>
              <w:t>37.85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37.85</w:t>
            </w:r>
          </w:p>
        </w:tc>
        <w:tc>
          <w:tcPr>
            <w:tcW w:w="1361" w:type="dxa"/>
            <w:vAlign w:val="center"/>
          </w:tcPr>
          <w:p>
            <w:pPr>
              <w:pStyle w:val="13"/>
            </w:pPr>
            <w:r>
              <w:t>37.85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37.85</w:t>
            </w:r>
          </w:p>
        </w:tc>
        <w:tc>
          <w:tcPr>
            <w:tcW w:w="1361" w:type="dxa"/>
            <w:vAlign w:val="center"/>
          </w:tcPr>
          <w:p>
            <w:pPr>
              <w:pStyle w:val="13"/>
            </w:pPr>
            <w:r>
              <w:t>37.85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1665.13</w:t>
            </w:r>
          </w:p>
        </w:tc>
        <w:tc>
          <w:tcPr>
            <w:tcW w:w="3402" w:type="dxa"/>
            <w:vAlign w:val="center"/>
          </w:tcPr>
          <w:p>
            <w:pPr>
              <w:pStyle w:val="14"/>
            </w:pPr>
            <w:r>
              <w:t>一、一般公共服务支出</w:t>
            </w:r>
          </w:p>
        </w:tc>
        <w:tc>
          <w:tcPr>
            <w:tcW w:w="1474" w:type="dxa"/>
            <w:vAlign w:val="center"/>
          </w:tcPr>
          <w:p>
            <w:pPr>
              <w:pStyle w:val="13"/>
            </w:pPr>
            <w:r>
              <w:t>768.39</w:t>
            </w:r>
          </w:p>
        </w:tc>
        <w:tc>
          <w:tcPr>
            <w:tcW w:w="1474" w:type="dxa"/>
            <w:vAlign w:val="center"/>
          </w:tcPr>
          <w:p>
            <w:pPr>
              <w:pStyle w:val="13"/>
            </w:pPr>
            <w:r>
              <w:t>768.39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51.01</w:t>
            </w:r>
          </w:p>
        </w:tc>
        <w:tc>
          <w:tcPr>
            <w:tcW w:w="1474" w:type="dxa"/>
            <w:vAlign w:val="center"/>
          </w:tcPr>
          <w:p>
            <w:pPr>
              <w:pStyle w:val="13"/>
            </w:pPr>
            <w:r>
              <w:t>51.01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36.88</w:t>
            </w:r>
          </w:p>
        </w:tc>
        <w:tc>
          <w:tcPr>
            <w:tcW w:w="1474" w:type="dxa"/>
            <w:vAlign w:val="center"/>
          </w:tcPr>
          <w:p>
            <w:pPr>
              <w:pStyle w:val="13"/>
            </w:pPr>
            <w:r>
              <w:t>36.88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387.00</w:t>
            </w:r>
          </w:p>
        </w:tc>
        <w:tc>
          <w:tcPr>
            <w:tcW w:w="1474" w:type="dxa"/>
            <w:vAlign w:val="center"/>
          </w:tcPr>
          <w:p>
            <w:pPr>
              <w:pStyle w:val="13"/>
            </w:pPr>
            <w:r>
              <w:t>387.00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30.00</w:t>
            </w:r>
          </w:p>
        </w:tc>
        <w:tc>
          <w:tcPr>
            <w:tcW w:w="1474" w:type="dxa"/>
            <w:vAlign w:val="center"/>
          </w:tcPr>
          <w:p>
            <w:pPr>
              <w:pStyle w:val="13"/>
            </w:pPr>
            <w:r>
              <w:t>30.00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r>
              <w:t>360.00</w:t>
            </w:r>
          </w:p>
        </w:tc>
        <w:tc>
          <w:tcPr>
            <w:tcW w:w="1474" w:type="dxa"/>
            <w:vAlign w:val="center"/>
          </w:tcPr>
          <w:p>
            <w:pPr>
              <w:pStyle w:val="13"/>
            </w:pPr>
            <w:r>
              <w:t>360.00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37.85</w:t>
            </w:r>
          </w:p>
        </w:tc>
        <w:tc>
          <w:tcPr>
            <w:tcW w:w="1474" w:type="dxa"/>
            <w:vAlign w:val="center"/>
          </w:tcPr>
          <w:p>
            <w:pPr>
              <w:pStyle w:val="13"/>
            </w:pPr>
            <w:r>
              <w:t>37.85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1665.13</w:t>
            </w:r>
          </w:p>
        </w:tc>
        <w:tc>
          <w:tcPr>
            <w:tcW w:w="3402" w:type="dxa"/>
            <w:vAlign w:val="center"/>
          </w:tcPr>
          <w:p>
            <w:pPr>
              <w:pStyle w:val="16"/>
            </w:pPr>
            <w:r>
              <w:t>本年支出合计</w:t>
            </w:r>
          </w:p>
        </w:tc>
        <w:tc>
          <w:tcPr>
            <w:tcW w:w="1474" w:type="dxa"/>
            <w:vAlign w:val="center"/>
          </w:tcPr>
          <w:p>
            <w:pPr>
              <w:pStyle w:val="17"/>
            </w:pPr>
            <w:r>
              <w:t>1671.13</w:t>
            </w:r>
          </w:p>
        </w:tc>
        <w:tc>
          <w:tcPr>
            <w:tcW w:w="1474" w:type="dxa"/>
            <w:vAlign w:val="center"/>
          </w:tcPr>
          <w:p>
            <w:pPr>
              <w:pStyle w:val="17"/>
            </w:pPr>
            <w:r>
              <w:t>1671.13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6.00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6.00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1671.13</w:t>
            </w:r>
          </w:p>
        </w:tc>
        <w:tc>
          <w:tcPr>
            <w:tcW w:w="3402" w:type="dxa"/>
            <w:vAlign w:val="center"/>
          </w:tcPr>
          <w:p>
            <w:pPr>
              <w:pStyle w:val="16"/>
            </w:pPr>
            <w:r>
              <w:t>支出总计</w:t>
            </w:r>
          </w:p>
        </w:tc>
        <w:tc>
          <w:tcPr>
            <w:tcW w:w="1474" w:type="dxa"/>
            <w:vAlign w:val="center"/>
          </w:tcPr>
          <w:p>
            <w:pPr>
              <w:pStyle w:val="17"/>
            </w:pPr>
            <w:r>
              <w:t>1671.13</w:t>
            </w:r>
          </w:p>
        </w:tc>
        <w:tc>
          <w:tcPr>
            <w:tcW w:w="1474" w:type="dxa"/>
            <w:vAlign w:val="center"/>
          </w:tcPr>
          <w:p>
            <w:pPr>
              <w:pStyle w:val="17"/>
            </w:pPr>
            <w:r>
              <w:t>1671.13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1671.13</w:t>
            </w:r>
          </w:p>
        </w:tc>
        <w:tc>
          <w:tcPr>
            <w:tcW w:w="2551" w:type="dxa"/>
            <w:vAlign w:val="center"/>
          </w:tcPr>
          <w:p>
            <w:pPr>
              <w:pStyle w:val="17"/>
            </w:pPr>
            <w:r>
              <w:t>378.92</w:t>
            </w:r>
          </w:p>
        </w:tc>
        <w:tc>
          <w:tcPr>
            <w:tcW w:w="2551" w:type="dxa"/>
            <w:vAlign w:val="center"/>
          </w:tcPr>
          <w:p>
            <w:pPr>
              <w:pStyle w:val="17"/>
            </w:pPr>
            <w:r>
              <w:t>1292.21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768.39</w:t>
            </w:r>
          </w:p>
        </w:tc>
        <w:tc>
          <w:tcPr>
            <w:tcW w:w="2551" w:type="dxa"/>
            <w:vAlign w:val="center"/>
          </w:tcPr>
          <w:p>
            <w:pPr>
              <w:pStyle w:val="13"/>
            </w:pPr>
            <w:r>
              <w:t>253.18</w:t>
            </w:r>
          </w:p>
        </w:tc>
        <w:tc>
          <w:tcPr>
            <w:tcW w:w="2551" w:type="dxa"/>
            <w:vAlign w:val="center"/>
          </w:tcPr>
          <w:p>
            <w:pPr>
              <w:pStyle w:val="13"/>
            </w:pPr>
            <w:r>
              <w:t>515.21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768.39</w:t>
            </w:r>
          </w:p>
        </w:tc>
        <w:tc>
          <w:tcPr>
            <w:tcW w:w="2551" w:type="dxa"/>
            <w:vAlign w:val="center"/>
          </w:tcPr>
          <w:p>
            <w:pPr>
              <w:pStyle w:val="13"/>
            </w:pPr>
            <w:r>
              <w:t>253.18</w:t>
            </w:r>
          </w:p>
        </w:tc>
        <w:tc>
          <w:tcPr>
            <w:tcW w:w="2551" w:type="dxa"/>
            <w:vAlign w:val="center"/>
          </w:tcPr>
          <w:p>
            <w:pPr>
              <w:pStyle w:val="13"/>
            </w:pPr>
            <w:r>
              <w:t>515.21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733.39</w:t>
            </w:r>
          </w:p>
        </w:tc>
        <w:tc>
          <w:tcPr>
            <w:tcW w:w="2551" w:type="dxa"/>
            <w:vAlign w:val="center"/>
          </w:tcPr>
          <w:p>
            <w:pPr>
              <w:pStyle w:val="13"/>
            </w:pPr>
            <w:r>
              <w:t>253.18</w:t>
            </w:r>
          </w:p>
        </w:tc>
        <w:tc>
          <w:tcPr>
            <w:tcW w:w="2551" w:type="dxa"/>
            <w:vAlign w:val="center"/>
          </w:tcPr>
          <w:p>
            <w:pPr>
              <w:pStyle w:val="13"/>
            </w:pPr>
            <w:r>
              <w:t>480.21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2010607</w:t>
            </w:r>
          </w:p>
        </w:tc>
        <w:tc>
          <w:tcPr>
            <w:tcW w:w="4535" w:type="dxa"/>
            <w:vAlign w:val="center"/>
          </w:tcPr>
          <w:p>
            <w:pPr>
              <w:pStyle w:val="14"/>
            </w:pPr>
            <w:r>
              <w:t>信息化建设</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51.01</w:t>
            </w:r>
          </w:p>
        </w:tc>
        <w:tc>
          <w:tcPr>
            <w:tcW w:w="2551" w:type="dxa"/>
            <w:vAlign w:val="center"/>
          </w:tcPr>
          <w:p>
            <w:pPr>
              <w:pStyle w:val="13"/>
            </w:pPr>
            <w:r>
              <w:t>51.01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51.01</w:t>
            </w:r>
          </w:p>
        </w:tc>
        <w:tc>
          <w:tcPr>
            <w:tcW w:w="2551" w:type="dxa"/>
            <w:vAlign w:val="center"/>
          </w:tcPr>
          <w:p>
            <w:pPr>
              <w:pStyle w:val="13"/>
            </w:pPr>
            <w:r>
              <w:t>51.01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4.11</w:t>
            </w:r>
          </w:p>
        </w:tc>
        <w:tc>
          <w:tcPr>
            <w:tcW w:w="2551" w:type="dxa"/>
            <w:vAlign w:val="center"/>
          </w:tcPr>
          <w:p>
            <w:pPr>
              <w:pStyle w:val="13"/>
            </w:pPr>
            <w:r>
              <w:t>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45.11</w:t>
            </w:r>
          </w:p>
        </w:tc>
        <w:tc>
          <w:tcPr>
            <w:tcW w:w="2551" w:type="dxa"/>
            <w:vAlign w:val="center"/>
          </w:tcPr>
          <w:p>
            <w:pPr>
              <w:pStyle w:val="13"/>
            </w:pPr>
            <w:r>
              <w:t>45.11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1.79</w:t>
            </w:r>
          </w:p>
        </w:tc>
        <w:tc>
          <w:tcPr>
            <w:tcW w:w="2551" w:type="dxa"/>
            <w:vAlign w:val="center"/>
          </w:tcPr>
          <w:p>
            <w:pPr>
              <w:pStyle w:val="13"/>
            </w:pPr>
            <w:r>
              <w:t>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36.88</w:t>
            </w:r>
          </w:p>
        </w:tc>
        <w:tc>
          <w:tcPr>
            <w:tcW w:w="2551" w:type="dxa"/>
            <w:vAlign w:val="center"/>
          </w:tcPr>
          <w:p>
            <w:pPr>
              <w:pStyle w:val="13"/>
            </w:pPr>
            <w:r>
              <w:t>36.88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36.88</w:t>
            </w:r>
          </w:p>
        </w:tc>
        <w:tc>
          <w:tcPr>
            <w:tcW w:w="2551" w:type="dxa"/>
            <w:vAlign w:val="center"/>
          </w:tcPr>
          <w:p>
            <w:pPr>
              <w:pStyle w:val="13"/>
            </w:pPr>
            <w:r>
              <w:t>36.88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36.88</w:t>
            </w:r>
          </w:p>
        </w:tc>
        <w:tc>
          <w:tcPr>
            <w:tcW w:w="2551" w:type="dxa"/>
            <w:vAlign w:val="center"/>
          </w:tcPr>
          <w:p>
            <w:pPr>
              <w:pStyle w:val="13"/>
            </w:pPr>
            <w:r>
              <w:t>36.88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387.00</w:t>
            </w:r>
          </w:p>
        </w:tc>
        <w:tc>
          <w:tcPr>
            <w:tcW w:w="2551" w:type="dxa"/>
            <w:vAlign w:val="center"/>
          </w:tcPr>
          <w:p>
            <w:pPr>
              <w:pStyle w:val="13"/>
            </w:pPr>
          </w:p>
        </w:tc>
        <w:tc>
          <w:tcPr>
            <w:tcW w:w="2551" w:type="dxa"/>
            <w:vAlign w:val="center"/>
          </w:tcPr>
          <w:p>
            <w:pPr>
              <w:pStyle w:val="13"/>
            </w:pPr>
            <w:r>
              <w:t>387.00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324.00</w:t>
            </w:r>
          </w:p>
        </w:tc>
        <w:tc>
          <w:tcPr>
            <w:tcW w:w="2551" w:type="dxa"/>
            <w:vAlign w:val="center"/>
          </w:tcPr>
          <w:p>
            <w:pPr>
              <w:pStyle w:val="13"/>
            </w:pPr>
          </w:p>
        </w:tc>
        <w:tc>
          <w:tcPr>
            <w:tcW w:w="2551" w:type="dxa"/>
            <w:vAlign w:val="center"/>
          </w:tcPr>
          <w:p>
            <w:pPr>
              <w:pStyle w:val="13"/>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318.00</w:t>
            </w:r>
          </w:p>
        </w:tc>
        <w:tc>
          <w:tcPr>
            <w:tcW w:w="2551" w:type="dxa"/>
            <w:vAlign w:val="center"/>
          </w:tcPr>
          <w:p>
            <w:pPr>
              <w:pStyle w:val="13"/>
            </w:pPr>
          </w:p>
        </w:tc>
        <w:tc>
          <w:tcPr>
            <w:tcW w:w="2551"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2130803</w:t>
            </w:r>
          </w:p>
        </w:tc>
        <w:tc>
          <w:tcPr>
            <w:tcW w:w="4535" w:type="dxa"/>
            <w:vAlign w:val="center"/>
          </w:tcPr>
          <w:p>
            <w:pPr>
              <w:pStyle w:val="14"/>
            </w:pPr>
            <w:r>
              <w:t>农业保险保费补贴</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21507</w:t>
            </w:r>
          </w:p>
        </w:tc>
        <w:tc>
          <w:tcPr>
            <w:tcW w:w="4535" w:type="dxa"/>
            <w:vAlign w:val="center"/>
          </w:tcPr>
          <w:p>
            <w:pPr>
              <w:pStyle w:val="14"/>
            </w:pPr>
            <w:r>
              <w:t>国有资产监管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2150701</w:t>
            </w:r>
          </w:p>
        </w:tc>
        <w:tc>
          <w:tcPr>
            <w:tcW w:w="4535" w:type="dxa"/>
            <w:vAlign w:val="center"/>
          </w:tcPr>
          <w:p>
            <w:pPr>
              <w:pStyle w:val="14"/>
            </w:pPr>
            <w:r>
              <w:t>行政运行</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217</w:t>
            </w:r>
          </w:p>
        </w:tc>
        <w:tc>
          <w:tcPr>
            <w:tcW w:w="4535" w:type="dxa"/>
            <w:vAlign w:val="center"/>
          </w:tcPr>
          <w:p>
            <w:pPr>
              <w:pStyle w:val="14"/>
            </w:pPr>
            <w:r>
              <w:t>金融支出</w:t>
            </w:r>
          </w:p>
        </w:tc>
        <w:tc>
          <w:tcPr>
            <w:tcW w:w="2551" w:type="dxa"/>
            <w:vAlign w:val="center"/>
          </w:tcPr>
          <w:p>
            <w:pPr>
              <w:pStyle w:val="13"/>
            </w:pPr>
            <w:r>
              <w:t>360.00</w:t>
            </w:r>
          </w:p>
        </w:tc>
        <w:tc>
          <w:tcPr>
            <w:tcW w:w="2551" w:type="dxa"/>
            <w:vAlign w:val="center"/>
          </w:tcPr>
          <w:p>
            <w:pPr>
              <w:pStyle w:val="13"/>
            </w:pPr>
          </w:p>
        </w:tc>
        <w:tc>
          <w:tcPr>
            <w:tcW w:w="2551"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21701</w:t>
            </w:r>
          </w:p>
        </w:tc>
        <w:tc>
          <w:tcPr>
            <w:tcW w:w="4535" w:type="dxa"/>
            <w:vAlign w:val="center"/>
          </w:tcPr>
          <w:p>
            <w:pPr>
              <w:pStyle w:val="14"/>
            </w:pPr>
            <w:r>
              <w:t>金融部门行政支出</w:t>
            </w:r>
          </w:p>
        </w:tc>
        <w:tc>
          <w:tcPr>
            <w:tcW w:w="2551" w:type="dxa"/>
            <w:vAlign w:val="center"/>
          </w:tcPr>
          <w:p>
            <w:pPr>
              <w:pStyle w:val="13"/>
            </w:pPr>
            <w:r>
              <w:t>330.00</w:t>
            </w:r>
          </w:p>
        </w:tc>
        <w:tc>
          <w:tcPr>
            <w:tcW w:w="2551" w:type="dxa"/>
            <w:vAlign w:val="center"/>
          </w:tcPr>
          <w:p>
            <w:pPr>
              <w:pStyle w:val="13"/>
            </w:pPr>
          </w:p>
        </w:tc>
        <w:tc>
          <w:tcPr>
            <w:tcW w:w="2551" w:type="dxa"/>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2170101</w:t>
            </w:r>
          </w:p>
        </w:tc>
        <w:tc>
          <w:tcPr>
            <w:tcW w:w="4535" w:type="dxa"/>
            <w:vAlign w:val="center"/>
          </w:tcPr>
          <w:p>
            <w:pPr>
              <w:pStyle w:val="14"/>
            </w:pPr>
            <w:r>
              <w:t>行政运行</w:t>
            </w:r>
          </w:p>
        </w:tc>
        <w:tc>
          <w:tcPr>
            <w:tcW w:w="2551" w:type="dxa"/>
            <w:vAlign w:val="center"/>
          </w:tcPr>
          <w:p>
            <w:pPr>
              <w:pStyle w:val="13"/>
            </w:pPr>
            <w:r>
              <w:t>330.00</w:t>
            </w:r>
          </w:p>
        </w:tc>
        <w:tc>
          <w:tcPr>
            <w:tcW w:w="2551" w:type="dxa"/>
            <w:vAlign w:val="center"/>
          </w:tcPr>
          <w:p>
            <w:pPr>
              <w:pStyle w:val="13"/>
            </w:pPr>
          </w:p>
        </w:tc>
        <w:tc>
          <w:tcPr>
            <w:tcW w:w="2551" w:type="dxa"/>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21703</w:t>
            </w:r>
          </w:p>
        </w:tc>
        <w:tc>
          <w:tcPr>
            <w:tcW w:w="4535" w:type="dxa"/>
            <w:vAlign w:val="center"/>
          </w:tcPr>
          <w:p>
            <w:pPr>
              <w:pStyle w:val="14"/>
            </w:pPr>
            <w:r>
              <w:t>金融发展支出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2170399</w:t>
            </w:r>
          </w:p>
        </w:tc>
        <w:tc>
          <w:tcPr>
            <w:tcW w:w="4535" w:type="dxa"/>
            <w:vAlign w:val="center"/>
          </w:tcPr>
          <w:p>
            <w:pPr>
              <w:pStyle w:val="14"/>
            </w:pPr>
            <w:r>
              <w:t>其他金融发展支出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378.92</w:t>
            </w:r>
          </w:p>
        </w:tc>
        <w:tc>
          <w:tcPr>
            <w:tcW w:w="2551" w:type="dxa"/>
            <w:vAlign w:val="center"/>
          </w:tcPr>
          <w:p>
            <w:pPr>
              <w:pStyle w:val="17"/>
            </w:pPr>
            <w:r>
              <w:t>348.45</w:t>
            </w:r>
          </w:p>
        </w:tc>
        <w:tc>
          <w:tcPr>
            <w:tcW w:w="2551" w:type="dxa"/>
            <w:vAlign w:val="center"/>
          </w:tcPr>
          <w:p>
            <w:pPr>
              <w:pStyle w:val="17"/>
            </w:pPr>
            <w:r>
              <w:t>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344.57</w:t>
            </w:r>
          </w:p>
        </w:tc>
        <w:tc>
          <w:tcPr>
            <w:tcW w:w="2551" w:type="dxa"/>
            <w:vAlign w:val="center"/>
          </w:tcPr>
          <w:p>
            <w:pPr>
              <w:pStyle w:val="13"/>
            </w:pPr>
            <w:r>
              <w:t>344.57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79.34</w:t>
            </w:r>
          </w:p>
        </w:tc>
        <w:tc>
          <w:tcPr>
            <w:tcW w:w="2551" w:type="dxa"/>
            <w:vAlign w:val="center"/>
          </w:tcPr>
          <w:p>
            <w:pPr>
              <w:pStyle w:val="13"/>
            </w:pPr>
            <w:r>
              <w:t>79.34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31.91</w:t>
            </w:r>
          </w:p>
        </w:tc>
        <w:tc>
          <w:tcPr>
            <w:tcW w:w="2551" w:type="dxa"/>
            <w:vAlign w:val="center"/>
          </w:tcPr>
          <w:p>
            <w:pPr>
              <w:pStyle w:val="13"/>
            </w:pPr>
            <w:r>
              <w:t>31.91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58.08</w:t>
            </w:r>
          </w:p>
        </w:tc>
        <w:tc>
          <w:tcPr>
            <w:tcW w:w="2551" w:type="dxa"/>
            <w:vAlign w:val="center"/>
          </w:tcPr>
          <w:p>
            <w:pPr>
              <w:pStyle w:val="13"/>
            </w:pPr>
            <w:r>
              <w:t>58.08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50.76</w:t>
            </w:r>
          </w:p>
        </w:tc>
        <w:tc>
          <w:tcPr>
            <w:tcW w:w="2551" w:type="dxa"/>
            <w:vAlign w:val="center"/>
          </w:tcPr>
          <w:p>
            <w:pPr>
              <w:pStyle w:val="13"/>
            </w:pPr>
            <w:r>
              <w:t>50.76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45.11</w:t>
            </w:r>
          </w:p>
        </w:tc>
        <w:tc>
          <w:tcPr>
            <w:tcW w:w="2551" w:type="dxa"/>
            <w:vAlign w:val="center"/>
          </w:tcPr>
          <w:p>
            <w:pPr>
              <w:pStyle w:val="13"/>
            </w:pPr>
            <w:r>
              <w:t>45.11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1.79</w:t>
            </w:r>
          </w:p>
        </w:tc>
        <w:tc>
          <w:tcPr>
            <w:tcW w:w="2551" w:type="dxa"/>
            <w:vAlign w:val="center"/>
          </w:tcPr>
          <w:p>
            <w:pPr>
              <w:pStyle w:val="13"/>
            </w:pPr>
            <w:r>
              <w:t>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36.88</w:t>
            </w:r>
          </w:p>
        </w:tc>
        <w:tc>
          <w:tcPr>
            <w:tcW w:w="2551" w:type="dxa"/>
            <w:vAlign w:val="center"/>
          </w:tcPr>
          <w:p>
            <w:pPr>
              <w:pStyle w:val="13"/>
            </w:pPr>
            <w:r>
              <w:t>36.88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2.85</w:t>
            </w:r>
          </w:p>
        </w:tc>
        <w:tc>
          <w:tcPr>
            <w:tcW w:w="2551" w:type="dxa"/>
            <w:vAlign w:val="center"/>
          </w:tcPr>
          <w:p>
            <w:pPr>
              <w:pStyle w:val="13"/>
            </w:pPr>
            <w:r>
              <w:t>2.85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37.85</w:t>
            </w:r>
          </w:p>
        </w:tc>
        <w:tc>
          <w:tcPr>
            <w:tcW w:w="2551" w:type="dxa"/>
            <w:vAlign w:val="center"/>
          </w:tcPr>
          <w:p>
            <w:pPr>
              <w:pStyle w:val="13"/>
            </w:pPr>
            <w:r>
              <w:t>37.85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29.51</w:t>
            </w:r>
          </w:p>
        </w:tc>
        <w:tc>
          <w:tcPr>
            <w:tcW w:w="2551" w:type="dxa"/>
            <w:vAlign w:val="center"/>
          </w:tcPr>
          <w:p>
            <w:pPr>
              <w:pStyle w:val="13"/>
            </w:pPr>
          </w:p>
        </w:tc>
        <w:tc>
          <w:tcPr>
            <w:tcW w:w="2551" w:type="dxa"/>
            <w:vAlign w:val="center"/>
          </w:tcPr>
          <w:p>
            <w:pPr>
              <w:pStyle w:val="13"/>
            </w:pPr>
            <w:r>
              <w:t>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3.84</w:t>
            </w:r>
          </w:p>
        </w:tc>
        <w:tc>
          <w:tcPr>
            <w:tcW w:w="2551" w:type="dxa"/>
            <w:vAlign w:val="center"/>
          </w:tcPr>
          <w:p>
            <w:pPr>
              <w:pStyle w:val="13"/>
            </w:pPr>
          </w:p>
        </w:tc>
        <w:tc>
          <w:tcPr>
            <w:tcW w:w="2551" w:type="dxa"/>
            <w:vAlign w:val="center"/>
          </w:tcPr>
          <w:p>
            <w:pPr>
              <w:pStyle w:val="13"/>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2.67</w:t>
            </w:r>
          </w:p>
        </w:tc>
        <w:tc>
          <w:tcPr>
            <w:tcW w:w="2551" w:type="dxa"/>
            <w:vAlign w:val="center"/>
          </w:tcPr>
          <w:p>
            <w:pPr>
              <w:pStyle w:val="13"/>
            </w:pPr>
          </w:p>
        </w:tc>
        <w:tc>
          <w:tcPr>
            <w:tcW w:w="2551"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3.56</w:t>
            </w:r>
          </w:p>
        </w:tc>
        <w:tc>
          <w:tcPr>
            <w:tcW w:w="2551" w:type="dxa"/>
            <w:vAlign w:val="center"/>
          </w:tcPr>
          <w:p>
            <w:pPr>
              <w:pStyle w:val="13"/>
            </w:pPr>
          </w:p>
        </w:tc>
        <w:tc>
          <w:tcPr>
            <w:tcW w:w="2551" w:type="dxa"/>
            <w:vAlign w:val="center"/>
          </w:tcPr>
          <w:p>
            <w:pPr>
              <w:pStyle w:val="13"/>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17"/>
        <w:gridCol w:w="136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318秦皇岛北戴河新区财政局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917" w:type="dxa"/>
            <w:vMerge w:val="restart"/>
            <w:vAlign w:val="center"/>
          </w:tcPr>
          <w:p>
            <w:pPr>
              <w:pStyle w:val="12"/>
            </w:pPr>
            <w:r>
              <w:t>项  目</w:t>
            </w:r>
          </w:p>
        </w:tc>
        <w:tc>
          <w:tcPr>
            <w:tcW w:w="629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17" w:type="dxa"/>
            <w:vMerge w:val="continue"/>
          </w:tcPr>
          <w:p/>
        </w:tc>
        <w:tc>
          <w:tcPr>
            <w:tcW w:w="1369"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917" w:type="dxa"/>
            <w:vAlign w:val="center"/>
          </w:tcPr>
          <w:p>
            <w:pPr>
              <w:pStyle w:val="12"/>
            </w:pPr>
            <w:r>
              <w:t>1</w:t>
            </w:r>
          </w:p>
        </w:tc>
        <w:tc>
          <w:tcPr>
            <w:tcW w:w="1369"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917" w:type="dxa"/>
            <w:vAlign w:val="center"/>
          </w:tcPr>
          <w:p>
            <w:pPr>
              <w:pStyle w:val="16"/>
            </w:pPr>
            <w:r>
              <w:t>合计</w:t>
            </w:r>
          </w:p>
        </w:tc>
        <w:tc>
          <w:tcPr>
            <w:tcW w:w="1369" w:type="dxa"/>
            <w:vAlign w:val="center"/>
          </w:tcPr>
          <w:p>
            <w:pPr>
              <w:pStyle w:val="17"/>
            </w:pPr>
            <w:r>
              <w:t>2.62</w:t>
            </w:r>
          </w:p>
        </w:tc>
        <w:tc>
          <w:tcPr>
            <w:tcW w:w="1643" w:type="dxa"/>
            <w:vAlign w:val="center"/>
          </w:tcPr>
          <w:p>
            <w:pPr>
              <w:pStyle w:val="17"/>
            </w:pPr>
            <w:r>
              <w:t>2.62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917" w:type="dxa"/>
            <w:vAlign w:val="center"/>
          </w:tcPr>
          <w:p>
            <w:pPr>
              <w:pStyle w:val="14"/>
            </w:pPr>
            <w:r>
              <w:t>一、因公出国（境）费</w:t>
            </w:r>
          </w:p>
        </w:tc>
        <w:tc>
          <w:tcPr>
            <w:tcW w:w="1369"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917" w:type="dxa"/>
            <w:vAlign w:val="center"/>
          </w:tcPr>
          <w:p>
            <w:pPr>
              <w:pStyle w:val="14"/>
            </w:pPr>
            <w:r>
              <w:t xml:space="preserve">    其中：教学科研人员因公出国（境）费</w:t>
            </w:r>
          </w:p>
        </w:tc>
        <w:tc>
          <w:tcPr>
            <w:tcW w:w="1369"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917" w:type="dxa"/>
            <w:vAlign w:val="center"/>
          </w:tcPr>
          <w:p>
            <w:pPr>
              <w:pStyle w:val="14"/>
            </w:pPr>
            <w:r>
              <w:t xml:space="preserve">          其他因公出国（境）费</w:t>
            </w:r>
          </w:p>
        </w:tc>
        <w:tc>
          <w:tcPr>
            <w:tcW w:w="1369"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917" w:type="dxa"/>
            <w:vAlign w:val="center"/>
          </w:tcPr>
          <w:p>
            <w:pPr>
              <w:pStyle w:val="14"/>
            </w:pPr>
            <w:r>
              <w:t>二、公务用车购置及运维费</w:t>
            </w:r>
          </w:p>
        </w:tc>
        <w:tc>
          <w:tcPr>
            <w:tcW w:w="1369"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917" w:type="dxa"/>
            <w:vAlign w:val="center"/>
          </w:tcPr>
          <w:p>
            <w:pPr>
              <w:pStyle w:val="14"/>
            </w:pPr>
            <w:r>
              <w:t xml:space="preserve">    其中：公务用车购置费</w:t>
            </w:r>
          </w:p>
        </w:tc>
        <w:tc>
          <w:tcPr>
            <w:tcW w:w="1369"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917" w:type="dxa"/>
            <w:vAlign w:val="center"/>
          </w:tcPr>
          <w:p>
            <w:pPr>
              <w:pStyle w:val="14"/>
            </w:pPr>
            <w:r>
              <w:t xml:space="preserve">          公务用车运行维护费</w:t>
            </w:r>
          </w:p>
        </w:tc>
        <w:tc>
          <w:tcPr>
            <w:tcW w:w="1369"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917" w:type="dxa"/>
            <w:vAlign w:val="center"/>
          </w:tcPr>
          <w:p>
            <w:pPr>
              <w:pStyle w:val="14"/>
            </w:pPr>
            <w:r>
              <w:t>三、公务接待费</w:t>
            </w:r>
          </w:p>
        </w:tc>
        <w:tc>
          <w:tcPr>
            <w:tcW w:w="1369" w:type="dxa"/>
            <w:vAlign w:val="center"/>
          </w:tcPr>
          <w:p>
            <w:pPr>
              <w:pStyle w:val="13"/>
            </w:pPr>
            <w:r>
              <w:t>0.32</w:t>
            </w:r>
          </w:p>
        </w:tc>
        <w:tc>
          <w:tcPr>
            <w:tcW w:w="1643" w:type="dxa"/>
            <w:vAlign w:val="center"/>
          </w:tcPr>
          <w:p>
            <w:pPr>
              <w:pStyle w:val="13"/>
            </w:pPr>
            <w:r>
              <w:t>0.32</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秦皇岛北戴河新区财政局2023年部门预算信息公开情况说明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按照《预算法》、《地方预决算公开操作规程》和《关于进一步推进预算公开工作的实施意见》规定，现将秦皇岛北戴河新区财政局2023年部门预算公开如下：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秦皇岛北戴河新区财政局</w:t>
      </w:r>
    </w:p>
    <w:p>
      <w:pPr>
        <w:pStyle w:val="19"/>
      </w:pPr>
      <w:r>
        <w:t>主要职责内设科室和岗位设置规定</w:t>
      </w:r>
    </w:p>
    <w:p>
      <w:pPr>
        <w:pStyle w:val="19"/>
      </w:pPr>
      <w:r>
        <w:t>第一条 根据《中共秦皇岛北戴河新区工作委员会办公室、秦皇岛北戴河新区管理委员会办公室关于印发〈秦皇岛北戴河新区机构改革总体方案〉的通知》（秦北新字〔2016〕3号）、《秦皇岛北戴河新区机构编制委员会2019年第2次会议纪要》（秦北新编纪〔2019〕2号），制定本规定。</w:t>
      </w:r>
    </w:p>
    <w:p>
      <w:pPr>
        <w:pStyle w:val="19"/>
      </w:pPr>
      <w:r>
        <w:t>第二条 秦皇岛北戴河新区（简称新区）财政局是新区工委、管委会的内设机构，挂新区金融工作办公室、新区国有资产监督管理办公室牌子。</w:t>
      </w:r>
    </w:p>
    <w:p>
      <w:pPr>
        <w:pStyle w:val="19"/>
      </w:pPr>
      <w:r>
        <w:t>第三条 贯彻落实党中央和省、市委、新区工管委关于财政工作的方针政策和决策部署，坚持和加强党对财政工作的集中统一领导。主要职责是：</w:t>
      </w:r>
    </w:p>
    <w:p>
      <w:pPr>
        <w:pStyle w:val="19"/>
      </w:pPr>
      <w:r>
        <w:t>（一）贯彻执行财税发展规划、政策和改革方案并组织实施；分析预测宏观经济形势，参与制定宏观经济政策，提出运用财税政策实施宏观调控和综合平衡社会财力的建议。</w:t>
      </w:r>
    </w:p>
    <w:p>
      <w:pPr>
        <w:pStyle w:val="19"/>
      </w:pPr>
      <w:r>
        <w:t>（二）贯彻执行财政、财务、会计管理的法律、行政法规、规章。</w:t>
      </w:r>
    </w:p>
    <w:p>
      <w:pPr>
        <w:pStyle w:val="19"/>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9"/>
      </w:pPr>
      <w:r>
        <w:t>（四）提出中央和省授权税目税率调整、减免和地方税收政策等重大事项的建议。</w:t>
      </w:r>
    </w:p>
    <w:p>
      <w:pPr>
        <w:pStyle w:val="19"/>
      </w:pPr>
      <w:r>
        <w:t>（五）按分工负责政府非税收入管理；负责政府性基金管理，按规定管理行政事业性收费；管理财政票据；执行彩票管理政策和有关办法，按规定管理彩票资金。</w:t>
      </w:r>
    </w:p>
    <w:p>
      <w:pPr>
        <w:pStyle w:val="19"/>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9"/>
      </w:pPr>
      <w:r>
        <w:t>（七）执行政府债务管理制度和政策，拟订具体办法；负责政府债务限额管理、债券发行和还本付息等工作；贯彻执行国家外债管理政策，管理新区管委国外债权、债务；开展对外财经交流。</w:t>
      </w:r>
    </w:p>
    <w:p>
      <w:pPr>
        <w:pStyle w:val="19"/>
      </w:pPr>
      <w:r>
        <w:t>（八）贯彻执行国家有关行政事业单位国有资产管理的法律、法规和政策，对新区行政事业单位国有资产实施综合管理。</w:t>
      </w:r>
    </w:p>
    <w:p>
      <w:pPr>
        <w:pStyle w:val="19"/>
      </w:pPr>
      <w:r>
        <w:t>（九）贯彻落实党中央、省、市和新区管委关于国有企业监督管理工作的方针政策和决策部署，坚持和加强党对国有企业监督管理工作的集中统一领导。</w:t>
      </w:r>
    </w:p>
    <w:p>
      <w:pPr>
        <w:pStyle w:val="19"/>
      </w:pPr>
      <w:r>
        <w:t>（十）负责办理和监督新区财政的经济发展支出、新区政府性投资项目的财政拨款，参与拟订新区建设投资的有关政策，指导实施基建财务管理制度；负责财政预算评审管理。</w:t>
      </w:r>
    </w:p>
    <w:p>
      <w:pPr>
        <w:pStyle w:val="19"/>
      </w:pPr>
      <w:r>
        <w:t>（十一）负责管理新区会计工作，监督和规范会计行为，组织实施会计制度；组织和指导会计人员的业务培训。</w:t>
      </w:r>
    </w:p>
    <w:p>
      <w:pPr>
        <w:pStyle w:val="19"/>
      </w:pPr>
      <w:r>
        <w:t>（十二）贯彻执行国家、省、市金融方针政策和法律法规；负责牵头新区金融风险的监测预警、防范和处置化解工作；协调配合上级金融监管部门依法加强金融监管、整顿和规范金融市场秩序。</w:t>
      </w:r>
    </w:p>
    <w:p>
      <w:pPr>
        <w:pStyle w:val="19"/>
      </w:pPr>
      <w:r>
        <w:t>（十三）完成新区工委、管委会交办的其他任务。</w:t>
      </w:r>
    </w:p>
    <w:p>
      <w:pPr>
        <w:pStyle w:val="19"/>
      </w:pPr>
      <w:r>
        <w:t>第四条 新区财政局设下列内设机构：</w:t>
      </w:r>
    </w:p>
    <w:p>
      <w:pPr>
        <w:pStyle w:val="19"/>
      </w:pPr>
      <w:r>
        <w:t>（一）综合科。负责机关日常运转，承担文电、会务、机要、信息、信访、档案、新闻宣传、督察督办、安全保密、政务公开、值班管理等工作；承担机关财务、政府采购、国有资产管理、后勤保障等工作；贯彻执行财政系统信息化建设规划；建设和管理机关局域网、财政系统广域网、财政业务专网；承担网络和数据中心的运行、维护、安全工作；建设和管理新区财政管理信息系统一体化平台；承担机关干部人事和机构编制管理工作；组织开展新区财政系统干部队伍建设和精神文明建设；拟定并组织实施新区财政系统教育培训规划；负责机关的党群工作；负责离退休人员管理工作；承担财政系统综合目标考核工作；承担机关规范性文件合法性审查及汇编；承担重大行政处罚听证、行政复议、行政应诉等工作；组织财政普法工作；牵头负责财政系统人大代表议案、建议和政协委员提案办理工作；牵头负责财政系统“放管服”改革、优化营商环境工作；组织实施会计制度；组织实施财政内控制度工作；负责新区会计人员继续教育管理，组织和管理会计人员业务培训、乡镇财政干部和农村财会人员财政政策培训；制定新区会计人才培养实施方案，选拔培养高端会计领军人才。</w:t>
      </w:r>
    </w:p>
    <w:p>
      <w:pPr>
        <w:pStyle w:val="19"/>
      </w:pPr>
      <w:r>
        <w:t>（二）预算科。负责预测全区经济运行情况并提出运用财税政策实施宏观调控的建议，研究和提出预算平衡和加强预算管理的建议；牵头组织编制一般公共预算、政府性基金预算、国有资本经营预算和社会保险基金预算区级预算草案，承担部门预算审核、批复工作；组织年度预算执行和预算信息公开工作；负责办理区级预算内、外资金总指标的分配、调整；负责办理动用区级预备费的申报事宜；负责编制区级预算调整方案；负责办理上级对我区的转移支付和与市财政体制结算的有关事项；负责拟订预算绩效管理制度并组织实施，组织制定预算绩效标准体系和工作流程，组织开展项目绩效评估；牵头组织部门绩效目标和绩效指标的审核；组织开展区级部门支出标准体系建设及项目库管理工作；负责制定部门、单位公用经费开支标准和定额，负责清理规范行政事业单位工资及津贴补贴工作，负责事业单位财政经费供给形式的确定及调整审核，负责机关事业单位财政供养人员经费变动的审批管理；审核并汇总编制国有土地出让收支预算，承担土地储备资金财政管理工作。</w:t>
      </w:r>
    </w:p>
    <w:p>
      <w:pPr>
        <w:pStyle w:val="19"/>
      </w:pPr>
      <w:r>
        <w:t>（三）国库科。组织预算支出执行、监控和分析预测，牵头调度全区预算支出进度；组织实施财政总预算会计制度；组织拟订全区国库管理制度和国库集中收付制度；管理财政和预算单位帐户；组织总预算会计核算，编制财政决算和权责发生制政府财务报告；承担商业银行代理财政国库业务相关管理工作；承担国库现金管理有关工作；承担区级财政决算公开工作；承担预算单位实有资金支付管理工作；承担机关事业单位财政供养人员工资发放工作。贯彻执行政府非税收入管理政策；承担政府性基金、行政事业性收费管理等相关工作；编制非税收入预算；组织实施非税收入收缴管理制度，负责非税收入账户、收缴方式、退付退库等管理；落实非税收入“收支两条线”征缴管理制度；负责清费降费减负相关工作；管理全区财政票据；贯彻执行政府采购管理政策、制度；负责审核、汇编部门政府采购预算；根据政府采购预算对政府采购计划进行备案、审批、审核管理；受理政府采购合同备案；负责政府采购信息管理；受理供应商投诉；对代理机构从事政府采购代理业务进行监督管理；负责监督检查政府采购活动；承担区机关事业单位和区直非参照公务员法管理的事业单位公务用车编制管理，承担区直机关事业单位执法执勤用车、特种专业技术用车编制管理；负责税政管理工作，贯彻落实税收政策，组织税政税源调查分析，提出中央、省授权税目税率调整、减免和地方税收政策等重大事项的建议；拟订年度财政收入目标，做好财政收入组织工作；负责建立综合治税协调工作机制。</w:t>
      </w:r>
    </w:p>
    <w:p>
      <w:pPr>
        <w:pStyle w:val="19"/>
      </w:pPr>
      <w:r>
        <w:t>（四）监督科。承担财税法规和政策执行情况、预算管理有关监督工作；承担会计信息质量监督检查工作；承担预算绩效评价有关工作；落实财政专项资金即时监控制度；拟订财政预算评审规章制度，管理财政预算评审业务，委托预算评审任务，向被委托的社会中介机构提出预算评审的具体要求，指导预算评审业务工作；负责上级审计和财政部门专项审计、检查的沟通和组织协调工作，督导检查发现问题的整改落实。</w:t>
      </w:r>
    </w:p>
    <w:p>
      <w:pPr>
        <w:pStyle w:val="19"/>
      </w:pPr>
      <w:r>
        <w:t>（五）社会事务管理科。承担归口管理部门的部门预算和相关领域预算支出有关工作，提出相关财政政策建议；承担归口管理部门预算绩效管理有关工作；参与归口管理部门决算工作；参与研究拟订归口管理部门涉及财政政策和相关财务管理制度；贯彻执行行政事业单位通用的财务管理制度及相关政策；负责审核因公临时出国（境）经费；负责社会保险基金财政监管，编制并审核区级社会保险基金预决算草案。</w:t>
      </w:r>
    </w:p>
    <w:p>
      <w:pPr>
        <w:pStyle w:val="19"/>
      </w:pPr>
      <w:r>
        <w:t>（六）投融资管理科。负责贯彻执行国家、省金融工作方针政策和法律法规，提出促进和加强金融产业发展的政策建议，协调金融业与新区经济社会发展的衔接；负责与新区内外金融机构的联系，配合金融监管部门依法加强金融监管，整顿和规范金融市场秩序；协调推进对外金融交流与合作；负责培育推荐企业上市融资，配合有关部门指导上市公司建立和完善现代企业制度；负责新区小额贷款公司的监督管理；协调有关部门依法做好防范和处置非法集资工作，负责开展相关宣传教育、政策解释和业务指导工作。负责提出新区政府性债务政策建议，拟订政府性债务管理制度和办法；承担新区政府债务限额管理；参与新区政府债务预算编制与调整；组织开展重点项目相关资料审核入库工作，储备、争取新增债券资金，并做好债券资金的管理工作；组织实施政府债券的申请发行工作，办理市对区政府债券转贷协议签署工作；组织实施政府债券和国债转贷还本付息工作；组织开展政府债务统计、风险预警、债务偿还和风险化解规划落实、应急处置工作；组织政府隐性债务统计监测、化解方案落实工作；承担归口管理部门的部门预算和相关领域预算支出有关工作，提出相关财政政策建议；承担归口管理部门预算绩效管理有关工作；参与归口管理部门的决算工作；负责城建重点项目资金的筹措和拨付工作；参与拟订住房租赁补贴政策及城镇保障性安居工程专项资金使用管理制度；承担公共租赁住房和棚户区改造专项资金拨付管理工作；会同有关部门指导住宅专项维修资金相关工作；拟订并组织实施公共服务领域政府和社会资本合作制度，承担项目库管理、业务指导、宣传培训、信息统计分析和项目推介工作。</w:t>
      </w:r>
    </w:p>
    <w:p>
      <w:pPr>
        <w:pStyle w:val="19"/>
      </w:pPr>
      <w:r>
        <w:t>（七）国有资产监督管理办公室。负责贯彻执行国家有关行政事业单位国有资产管理的法律、法规和政策，拟订行政事业单位国有资产管理制度并组织实施；负责监督指导全区行政事业单位国有资产管理工作，建立和完善国有资产管理信息系统，监督管理国有资产合理配置和有效使用；落实国有资产管理情况报告工作；承担行政事业单位新增资产配置预算的审核；根据新区管委授权，依照《中华人民共和国企业国有资产法》、《中华人民共和国公司法》等法律和行政法规履行出资人职责，监管履行出资人职责企业的国有资产；贯彻落实党中央和省市有关国有企业监督管理的方针政策和决策部署，结合新区实际，制定新区国有企业监督管理各项制度并组织实施；承担监督所监管企业国有资产保值增值责任；指导推进国有企业改革和重组，解决国有企业整合重组改革遗留问题；推进国有企业现代企业制度建设，完善公司治理结构；负责组织所监管企业上交国有资本收益，参与制定国有资本经营预算有关管理制度和办法，按照有关规定负责国有资本经营预决算编制和执行等工作；指导所监管企业开展党的建设工作。</w:t>
      </w:r>
    </w:p>
    <w:p>
      <w:pPr>
        <w:pStyle w:val="19"/>
      </w:pPr>
      <w:r>
        <w:t>第五条 新区财政局岗位设置41名，其中：部门正职1名，部门副职2名，内设科室岗位正职7名，内设科室岗位副职7名。</w:t>
      </w:r>
    </w:p>
    <w:p>
      <w:pPr>
        <w:pStyle w:val="19"/>
      </w:pPr>
      <w:r>
        <w:t>第六条 本规定具体解释工作由工委编办承担，其调整由工委编办按规定程序办理。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秦皇岛北戴河新区财政局本级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按照预算管理有关规定，目前我部门预算的编制实行综合预算管理，即全部收入和支出都反映在预算中。秦皇岛北戴河新区财政局机关及所属事业单位的收支包含在部门预算中。</w:t>
      </w:r>
    </w:p>
    <w:p>
      <w:pPr>
        <w:spacing w:before="10" w:after="10" w:line="240" w:lineRule="auto"/>
        <w:ind w:firstLine="640"/>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（一）收入情况</w:t>
      </w:r>
    </w:p>
    <w:p>
      <w:pPr>
        <w:spacing w:before="0" w:after="0" w:line="500" w:lineRule="exact"/>
        <w:ind w:firstLine="560"/>
        <w:jc w:val="left"/>
        <w:outlineLvl w:val="9"/>
        <w:rPr>
          <w:rFonts w:hint="eastAsia" w:ascii="Times New Roman" w:hAnsi="Times New Roman" w:eastAsia="方正仿宋_GBK" w:cs="Times New Roman"/>
          <w:color w:val="auto"/>
          <w:sz w:val="28"/>
          <w:lang w:val="en-US"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color w:val="auto"/>
          <w:sz w:val="28"/>
          <w:lang w:val="en-US" w:eastAsia="zh-CN"/>
        </w:rPr>
        <w:t>2023年预算收入</w:t>
      </w:r>
      <w:r>
        <w:rPr>
          <w:rFonts w:ascii="Times New Roman" w:hAnsi="Times New Roman" w:eastAsia="方正仿宋_GBK" w:cs="Times New Roman"/>
          <w:color w:val="auto"/>
          <w:sz w:val="28"/>
        </w:rPr>
        <w:t>16</w:t>
      </w:r>
      <w:r>
        <w:rPr>
          <w:rFonts w:hint="eastAsia" w:ascii="Times New Roman" w:hAnsi="Times New Roman" w:eastAsia="方正仿宋_GBK" w:cs="Times New Roman"/>
          <w:color w:val="auto"/>
          <w:sz w:val="28"/>
          <w:lang w:val="en-US" w:eastAsia="zh-CN"/>
        </w:rPr>
        <w:t>71</w:t>
      </w:r>
      <w:r>
        <w:rPr>
          <w:rFonts w:ascii="Times New Roman" w:hAnsi="Times New Roman" w:eastAsia="方正仿宋_GBK" w:cs="Times New Roman"/>
          <w:color w:val="auto"/>
          <w:sz w:val="28"/>
        </w:rPr>
        <w:t>.13</w:t>
      </w:r>
      <w:r>
        <w:rPr>
          <w:rFonts w:hint="eastAsia" w:ascii="Times New Roman" w:hAnsi="Times New Roman" w:eastAsia="方正仿宋_GBK" w:cs="Times New Roman"/>
          <w:color w:val="auto"/>
          <w:sz w:val="28"/>
          <w:lang w:val="en-US" w:eastAsia="zh-CN"/>
        </w:rPr>
        <w:t>万元，其中一般个公共预算拨款1671.13万元（本年1665.13万元，上年结转6万元）。</w:t>
      </w:r>
    </w:p>
    <w:p>
      <w:pPr>
        <w:pStyle w:val="19"/>
        <w:rPr>
          <w:rFonts w:hint="eastAsia" w:ascii="黑体" w:hAnsi="黑体" w:eastAsia="黑体" w:cs="黑体"/>
          <w:color w:val="000000"/>
          <w:sz w:val="32"/>
          <w:szCs w:val="24"/>
          <w:lang w:val="en-US" w:eastAsia="zh-CN" w:bidi="ar-SA"/>
        </w:rPr>
      </w:pPr>
      <w:r>
        <w:rPr>
          <w:rFonts w:hint="eastAsia" w:ascii="黑体" w:hAnsi="黑体" w:eastAsia="黑体" w:cs="黑体"/>
          <w:color w:val="000000"/>
          <w:sz w:val="32"/>
          <w:szCs w:val="24"/>
          <w:lang w:val="en-US" w:eastAsia="zh-CN" w:bidi="ar-SA"/>
        </w:rPr>
        <w:t>（二）支出说明</w:t>
      </w:r>
    </w:p>
    <w:p>
      <w:pPr>
        <w:ind w:firstLine="560" w:firstLineChars="200"/>
        <w:rPr>
          <w:rFonts w:hint="eastAsia" w:ascii="Times New Roman" w:hAnsi="Times New Roman" w:eastAsia="方正仿宋_GBK" w:cs="Times New Roman"/>
          <w:color w:val="auto"/>
          <w:sz w:val="28"/>
          <w:lang w:val="en-US" w:eastAsia="zh-CN"/>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Times New Roman" w:hAnsi="Times New Roman" w:eastAsia="方正仿宋_GBK" w:cs="Times New Roman"/>
          <w:color w:val="auto"/>
          <w:sz w:val="28"/>
          <w:lang w:val="en-US" w:eastAsia="zh-CN"/>
        </w:rPr>
        <w:t xml:space="preserve"> 2023年部门支出预算为1671.13万元（本年1665.13万元，上年结转6万元），基本支出378.92万元，其中：人员经费348.45万元，日常公用经费30.47万元；项目支出1292.21万元，主要为财政决算编审等综合检查服务费、国资监管企业财务会计审计工作费用、行政事业单位资产管理、预算管理一体化等系统运维服务费、对上市企业的奖励补贴、金融小镇及基金招商运营管理费等项目。</w:t>
      </w:r>
    </w:p>
    <w:p>
      <w:pPr>
        <w:pStyle w:val="19"/>
        <w:rPr>
          <w:rFonts w:hint="eastAsia" w:ascii="黑体" w:hAnsi="黑体" w:eastAsia="黑体" w:cs="黑体"/>
          <w:color w:val="000000"/>
          <w:sz w:val="32"/>
          <w:szCs w:val="24"/>
          <w:lang w:val="en-US" w:eastAsia="zh-CN" w:bidi="ar-SA"/>
        </w:rPr>
      </w:pPr>
      <w:r>
        <w:rPr>
          <w:rFonts w:hint="eastAsia" w:ascii="黑体" w:hAnsi="黑体" w:eastAsia="黑体" w:cs="黑体"/>
          <w:color w:val="000000"/>
          <w:sz w:val="32"/>
          <w:szCs w:val="24"/>
          <w:lang w:val="en-US" w:eastAsia="zh-CN" w:bidi="ar-SA"/>
        </w:rPr>
        <w:t>（三）比上年增减情况</w:t>
      </w:r>
    </w:p>
    <w:p>
      <w:pPr>
        <w:pStyle w:val="19"/>
        <w:rPr>
          <w:rFonts w:hint="default"/>
          <w:lang w:val="en-US" w:eastAsia="zh-CN"/>
        </w:rPr>
      </w:pPr>
      <w:r>
        <w:rPr>
          <w:rFonts w:hint="eastAsia"/>
          <w:lang w:val="en-US" w:eastAsia="zh-CN"/>
        </w:rPr>
        <w:t>2023年部门预算收支较2022年增加620.92万元，其中：基本支出减少101.29万元（人员经费减少99.86万元，日常公用经费1.43万元）；项目支出增加722.21万元，主要是新增</w:t>
      </w:r>
      <w:r>
        <w:t>农村道路建设</w:t>
      </w:r>
      <w:r>
        <w:rPr>
          <w:rFonts w:hint="eastAsia"/>
          <w:lang w:val="en-US" w:eastAsia="zh-CN"/>
        </w:rPr>
        <w:t>、</w:t>
      </w:r>
      <w:r>
        <w:t>对村民委员会和村党支部的补助</w:t>
      </w:r>
      <w:r>
        <w:rPr>
          <w:rFonts w:hint="eastAsia"/>
          <w:lang w:val="en-US" w:eastAsia="zh-CN"/>
        </w:rPr>
        <w:t>、</w:t>
      </w:r>
      <w:r>
        <w:t>金融</w:t>
      </w:r>
      <w:r>
        <w:rPr>
          <w:rFonts w:hint="eastAsia"/>
          <w:lang w:eastAsia="zh-CN"/>
        </w:rPr>
        <w:t>小镇及基金招商运营管理费</w:t>
      </w:r>
      <w:r>
        <w:rPr>
          <w:rFonts w:hint="eastAsia"/>
          <w:lang w:val="en-US" w:eastAsia="zh-CN"/>
        </w:rPr>
        <w:t>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ascii="Times New Roman" w:hAnsi="Times New Roman" w:eastAsia="方正仿宋_GBK" w:cs="Times New Roman"/>
          <w:sz w:val="28"/>
          <w:szCs w:val="24"/>
          <w:lang w:val="en-US" w:eastAsia="zh-CN" w:bidi="ar-SA"/>
        </w:rPr>
        <w:t>30.47</w:t>
      </w:r>
      <w:r>
        <w:rPr>
          <w:rFonts w:hint="default" w:ascii="Times New Roman" w:hAnsi="Times New Roman" w:eastAsia="方正仿宋_GBK" w:cs="Times New Roman"/>
          <w:sz w:val="28"/>
          <w:szCs w:val="24"/>
          <w:lang w:val="en-US" w:eastAsia="zh-CN" w:bidi="ar-SA"/>
        </w:rPr>
        <w:t>万元，主要用于保证机关正常运转支的办公费、印刷费、差旅费、会议费、福利费、专用材料及一般设备购置费、日常维修费费等支出。</w:t>
      </w:r>
      <w:r>
        <w:rPr>
          <w:rFonts w:hint="eastAsia" w:ascii="Times New Roman" w:hAnsi="Times New Roman" w:eastAsia="方正仿宋_GBK" w:cs="Times New Roman"/>
          <w:sz w:val="28"/>
          <w:szCs w:val="24"/>
          <w:lang w:val="en-US" w:eastAsia="zh-CN" w:bidi="ar-SA"/>
        </w:rPr>
        <w:t>与2022年相比，减少了1.43万元。培训费减少了0.04万元，公务接待费减少了0.01万元，工会经费减少了0.05万元，福利费增加了0.12万元。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2023年三公经费预算安排2.62万元，其中</w:t>
      </w:r>
      <w:r>
        <w:rPr>
          <w:rFonts w:hint="eastAsia" w:ascii="Times New Roman" w:hAnsi="Times New Roman" w:eastAsia="方正仿宋_GBK" w:cs="Times New Roman"/>
          <w:color w:val="auto"/>
          <w:sz w:val="28"/>
          <w:lang w:val="en-US" w:eastAsia="uk-UA"/>
        </w:rPr>
        <w:t>：因公出国（境）费0万元；</w:t>
      </w:r>
      <w:r>
        <w:rPr>
          <w:rFonts w:hint="eastAsia" w:ascii="Times New Roman" w:hAnsi="Times New Roman" w:eastAsia="方正仿宋_GBK" w:cs="Times New Roman"/>
          <w:sz w:val="28"/>
          <w:szCs w:val="24"/>
          <w:lang w:val="en-US" w:eastAsia="zh-CN" w:bidi="ar-SA"/>
        </w:rPr>
        <w:t>公务用车运行维护费2.30万元，公务接待费0.32万元</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2023年较与2022年三公经费减少0.01万元</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其中</w:t>
      </w:r>
      <w:r>
        <w:rPr>
          <w:rFonts w:hint="eastAsia" w:ascii="Times New Roman" w:hAnsi="Times New Roman" w:eastAsia="方正仿宋_GBK" w:cs="Times New Roman"/>
          <w:color w:val="auto"/>
          <w:sz w:val="28"/>
          <w:lang w:val="en-US" w:eastAsia="uk-UA"/>
        </w:rPr>
        <w:t>：因公出国（境）费</w:t>
      </w:r>
      <w:r>
        <w:rPr>
          <w:rFonts w:hint="eastAsia" w:ascii="Times New Roman" w:hAnsi="Times New Roman" w:eastAsia="方正仿宋_GBK" w:cs="Times New Roman"/>
          <w:color w:val="auto"/>
          <w:sz w:val="28"/>
          <w:lang w:val="en-US" w:eastAsia="zh-CN"/>
        </w:rPr>
        <w:t>无增减变化，</w:t>
      </w:r>
      <w:r>
        <w:rPr>
          <w:rFonts w:hint="eastAsia" w:ascii="Times New Roman" w:hAnsi="Times New Roman" w:eastAsia="方正仿宋_GBK" w:cs="Times New Roman"/>
          <w:sz w:val="28"/>
          <w:szCs w:val="24"/>
          <w:lang w:val="en-US" w:eastAsia="zh-CN" w:bidi="ar-SA"/>
        </w:rPr>
        <w:t>公务用车运行维护费</w:t>
      </w:r>
      <w:r>
        <w:rPr>
          <w:rFonts w:hint="eastAsia" w:ascii="Times New Roman" w:hAnsi="Times New Roman" w:eastAsia="方正仿宋_GBK" w:cs="Times New Roman"/>
          <w:color w:val="auto"/>
          <w:sz w:val="28"/>
          <w:lang w:val="en-US" w:eastAsia="zh-CN"/>
        </w:rPr>
        <w:t>无增减变化</w:t>
      </w:r>
      <w:r>
        <w:rPr>
          <w:rFonts w:hint="eastAsia" w:ascii="Times New Roman" w:hAnsi="Times New Roman" w:eastAsia="方正仿宋_GBK" w:cs="Times New Roman"/>
          <w:sz w:val="28"/>
          <w:szCs w:val="24"/>
          <w:lang w:val="en-US" w:eastAsia="zh-CN" w:bidi="ar-SA"/>
        </w:rPr>
        <w:t>，公务接待费减少0.01万元，主要因为压减三公经费支出，牢固树立过紧日子思想。</w:t>
      </w: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是党的二十大开局之年，也将是新区在新征程道路上加快发展的重要之年。新的一年，新区财政局将以党的二十大会议精神为引领，紧紧围绕工管委的决策部署，狠抓财源建设，突出重点保障，强化绩效管理，优化支出结构，严肃财经纪律，防范风险底线，推动财政保障能力和治理效能上水平，为新区经济社会发展提供更加有力的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（一）研究制定完善的预算政策体系，提高预算管理的科学化水平。</w:t>
      </w:r>
    </w:p>
    <w:p>
      <w:pPr>
        <w:pStyle w:val="24"/>
      </w:pPr>
      <w:r>
        <w:t>统筹区级财力，强化绩效管理，科学编制政府绩效预算。</w:t>
      </w:r>
    </w:p>
    <w:p>
      <w:pPr>
        <w:pStyle w:val="24"/>
      </w:pPr>
      <w:r>
        <w:t>1．绩效目标</w:t>
      </w:r>
    </w:p>
    <w:p>
      <w:pPr>
        <w:pStyle w:val="24"/>
      </w:pPr>
      <w:r>
        <w:t>规范预算执行，合理组织财政各项支出，促进社会事业发展。推进预算公开，实施全面规范、公开透明的预算制度。</w:t>
      </w:r>
    </w:p>
    <w:p>
      <w:pPr>
        <w:pStyle w:val="24"/>
      </w:pPr>
      <w:r>
        <w:t>2．绩效指标</w:t>
      </w:r>
    </w:p>
    <w:p>
      <w:pPr>
        <w:pStyle w:val="24"/>
      </w:pPr>
      <w:r>
        <w:t>(1)预算政策管理效果，反映预算政策管理工作情况≥90%</w:t>
      </w:r>
    </w:p>
    <w:p>
      <w:pPr>
        <w:pStyle w:val="24"/>
      </w:pPr>
      <w:r>
        <w:t>(2)预算政策执行效果，反映预算政策执行情况≥90%</w:t>
      </w:r>
    </w:p>
    <w:p>
      <w:pPr>
        <w:pStyle w:val="24"/>
      </w:pPr>
      <w:r>
        <w:t>(3)预算政策完成情况，反映预算政策完成情况≥90%</w:t>
      </w:r>
    </w:p>
    <w:p>
      <w:pPr>
        <w:pStyle w:val="24"/>
      </w:pPr>
      <w:r>
        <w:t>(4)预算编制完成率，反映预算编制工作完成情况100%</w:t>
      </w:r>
    </w:p>
    <w:p>
      <w:pPr>
        <w:pStyle w:val="24"/>
      </w:pPr>
      <w:r>
        <w:t>(5)预算编制准确率，反映预算编制工作准确性、科学性100%</w:t>
      </w:r>
    </w:p>
    <w:p>
      <w:pPr>
        <w:pStyle w:val="24"/>
      </w:pPr>
      <w:r>
        <w:t>(6)预算编制按时完成效果，反映预算编制工作按时完成情况100%</w:t>
      </w:r>
    </w:p>
    <w:p>
      <w:pPr>
        <w:pStyle w:val="24"/>
      </w:pPr>
      <w:r>
        <w:t>(7)预算执行管理情况，反映预算执行管理情况≥90%</w:t>
      </w:r>
    </w:p>
    <w:p>
      <w:pPr>
        <w:pStyle w:val="24"/>
      </w:pPr>
      <w:r>
        <w:t>(8)预算执行效果，反映预算执行效果，≥90%</w:t>
      </w:r>
    </w:p>
    <w:p>
      <w:pPr>
        <w:pStyle w:val="24"/>
      </w:pPr>
      <w:r>
        <w:t>(9)预算执行完成情况，反映预算执行完成情况≥90%</w:t>
      </w:r>
    </w:p>
    <w:p>
      <w:pPr>
        <w:pStyle w:val="24"/>
      </w:pPr>
      <w:r>
        <w:t>（二）加强本级预算单位用款计划及额度审核、调度及全区预算执行分析</w:t>
      </w:r>
    </w:p>
    <w:p>
      <w:pPr>
        <w:pStyle w:val="24"/>
      </w:pPr>
      <w:r>
        <w:t>做好本级财政总预算会计，全区本级决算；国债、地方债和国库现金管理；管理本级预算单位银行账户。</w:t>
      </w:r>
    </w:p>
    <w:p>
      <w:pPr>
        <w:pStyle w:val="24"/>
      </w:pPr>
      <w:r>
        <w:t>1．绩效目标</w:t>
      </w:r>
    </w:p>
    <w:p>
      <w:pPr>
        <w:pStyle w:val="24"/>
      </w:pPr>
      <w:r>
        <w:t>本级预算单位用款计划及额度审核下达，上下级财政库款调度；财政专户资金审核拨付；全区预算执行分析；本级财政总预算会计，全区本级决算；国债、地方债和国库现金管理；管理本级预算单位银行账户。</w:t>
      </w:r>
    </w:p>
    <w:p>
      <w:pPr>
        <w:pStyle w:val="24"/>
      </w:pPr>
      <w:r>
        <w:t>2．绩效指标</w:t>
      </w:r>
    </w:p>
    <w:p>
      <w:pPr>
        <w:pStyle w:val="24"/>
      </w:pPr>
      <w:r>
        <w:t>(1)银行账户管理效果，反映银行账户管理情况≥90%</w:t>
      </w:r>
    </w:p>
    <w:p>
      <w:pPr>
        <w:pStyle w:val="24"/>
      </w:pPr>
      <w:r>
        <w:t>(2)专户资金管理效果，反映专户资金管理情况≥90%</w:t>
      </w:r>
    </w:p>
    <w:p>
      <w:pPr>
        <w:pStyle w:val="24"/>
      </w:pPr>
      <w:r>
        <w:t>(3)监督检查完成率，反映对各单位监督检查情况≥90%</w:t>
      </w:r>
    </w:p>
    <w:p>
      <w:pPr>
        <w:pStyle w:val="24"/>
      </w:pPr>
      <w:r>
        <w:t>(4)总预算会计管理完成率，总预算会计核算完成情况100%</w:t>
      </w:r>
    </w:p>
    <w:p>
      <w:pPr>
        <w:pStyle w:val="24"/>
      </w:pPr>
      <w:r>
        <w:t>(5)部门财务报告编制完成率，反映政府部门财务报告编制完成情况100%</w:t>
      </w:r>
    </w:p>
    <w:p>
      <w:pPr>
        <w:pStyle w:val="24"/>
      </w:pPr>
      <w:r>
        <w:t>(6)综合财务报告编制完成率，反映综合财务报告编制完成情况100%</w:t>
      </w:r>
    </w:p>
    <w:p>
      <w:pPr>
        <w:pStyle w:val="24"/>
      </w:pPr>
      <w:r>
        <w:t>(7)决算编制完成率，反映财政总决算和部门决算编报完成情况100%</w:t>
      </w:r>
    </w:p>
    <w:p>
      <w:pPr>
        <w:pStyle w:val="24"/>
      </w:pPr>
      <w:r>
        <w:t>(8)决算批复完成率，反映部门决算批复完成情况100%</w:t>
      </w:r>
    </w:p>
    <w:p>
      <w:pPr>
        <w:pStyle w:val="24"/>
      </w:pPr>
      <w:r>
        <w:t>(9)决算核查督导率，反映决算核查情况100%</w:t>
      </w:r>
    </w:p>
    <w:p>
      <w:pPr>
        <w:pStyle w:val="24"/>
      </w:pPr>
      <w:r>
        <w:t>（三）做好监督检查财税法规、政策的执行情况，以及财政性资金使用情况</w:t>
      </w:r>
    </w:p>
    <w:p>
      <w:pPr>
        <w:pStyle w:val="24"/>
      </w:pPr>
      <w:r>
        <w:t>反映财政收支管理中的重大问题。监督和规范会计行为，监督注册会计师和会计师事务所的业务。</w:t>
      </w:r>
    </w:p>
    <w:p>
      <w:pPr>
        <w:pStyle w:val="24"/>
      </w:pPr>
      <w:r>
        <w:t>1．绩效目标</w:t>
      </w:r>
    </w:p>
    <w:p>
      <w:pPr>
        <w:pStyle w:val="24"/>
      </w:pPr>
      <w:r>
        <w:t>做好监督检查财税法规、政策的执行情况，以及财政性资金使用情况，反映财政收支管理中的重大问题。监督和规范会计行为，监督注册会计师和会计师事务所的业务。</w:t>
      </w:r>
    </w:p>
    <w:p>
      <w:pPr>
        <w:pStyle w:val="24"/>
      </w:pPr>
      <w:r>
        <w:t>2．绩效指标</w:t>
      </w:r>
    </w:p>
    <w:p>
      <w:pPr>
        <w:pStyle w:val="24"/>
      </w:pPr>
      <w:r>
        <w:t>(1)检查工作完成率，反映检查工作完成情况≥90%</w:t>
      </w:r>
    </w:p>
    <w:p>
      <w:pPr>
        <w:pStyle w:val="24"/>
      </w:pPr>
      <w:r>
        <w:t>(2)发现问题通报率，反映检查发现问题通报被检查单位、有关科室情况≥90%</w:t>
      </w:r>
    </w:p>
    <w:p>
      <w:pPr>
        <w:pStyle w:val="24"/>
      </w:pPr>
      <w:r>
        <w:t>(3)问题整改督导率，反映对被检查单位存在问题整改督导情况≥90%</w:t>
      </w:r>
    </w:p>
    <w:p>
      <w:pPr>
        <w:pStyle w:val="24"/>
      </w:pPr>
      <w:r>
        <w:t>(4)绩效评价完成率，反映绩效评价工作完成情况≥90%绩效指标</w:t>
      </w:r>
    </w:p>
    <w:p>
      <w:pPr>
        <w:pStyle w:val="24"/>
      </w:pPr>
      <w:r>
        <w:t>（四）加强行政事业单位国有资产管理</w:t>
      </w:r>
    </w:p>
    <w:p>
      <w:pPr>
        <w:pStyle w:val="24"/>
      </w:pPr>
      <w:r>
        <w:t>制定相关制度和办法，对行政事业单位资产配置、使用、处置事项进行管理有关工作。</w:t>
      </w:r>
    </w:p>
    <w:p>
      <w:pPr>
        <w:pStyle w:val="24"/>
      </w:pPr>
      <w:r>
        <w:t>1．绩效目标</w:t>
      </w:r>
    </w:p>
    <w:p>
      <w:pPr>
        <w:pStyle w:val="24"/>
      </w:pPr>
      <w:r>
        <w:t>做好拟定机关事业单位国有资产管理制度和办法，对行政事业单位资产配置、使用、处置事项进行管理有关工作；</w:t>
      </w:r>
    </w:p>
    <w:p>
      <w:pPr>
        <w:pStyle w:val="24"/>
      </w:pPr>
      <w:r>
        <w:t>2．绩效指标</w:t>
      </w:r>
    </w:p>
    <w:p>
      <w:pPr>
        <w:pStyle w:val="24"/>
      </w:pPr>
      <w:r>
        <w:t>(1)资产处置审批率，反映资产处置审批完成情况≥90%</w:t>
      </w:r>
    </w:p>
    <w:p>
      <w:pPr>
        <w:pStyle w:val="24"/>
      </w:pPr>
      <w:r>
        <w:t>(2)发现问题通报率，反映检查发现问题通报被检查单位、有关科室情况≥90%</w:t>
      </w:r>
    </w:p>
    <w:p>
      <w:pPr>
        <w:pStyle w:val="24"/>
      </w:pPr>
      <w:r>
        <w:t>(3)处置进度督导率，反映对国有资产处置进度督导情况≥90%</w:t>
      </w:r>
    </w:p>
    <w:p>
      <w:pPr>
        <w:pStyle w:val="24"/>
      </w:pPr>
      <w:r>
        <w:t>（五）加强政府债务、金融管理等政府专项工作的管理。</w:t>
      </w:r>
    </w:p>
    <w:p>
      <w:pPr>
        <w:pStyle w:val="24"/>
      </w:pPr>
      <w:r>
        <w:t>做好政府债务、金融管理等政府专项工作的管理。</w:t>
      </w:r>
    </w:p>
    <w:p>
      <w:pPr>
        <w:pStyle w:val="24"/>
      </w:pPr>
      <w:r>
        <w:t>1．绩效目标</w:t>
      </w:r>
    </w:p>
    <w:p>
      <w:pPr>
        <w:pStyle w:val="24"/>
      </w:pPr>
      <w:r>
        <w:t>做好政府债务、金融管理等政府专项工作的管理。</w:t>
      </w:r>
    </w:p>
    <w:p>
      <w:pPr>
        <w:pStyle w:val="24"/>
      </w:pPr>
      <w:r>
        <w:t>2．绩效指标</w:t>
      </w:r>
    </w:p>
    <w:p>
      <w:pPr>
        <w:pStyle w:val="24"/>
      </w:pPr>
      <w:r>
        <w:t>(1)政府债务和中长期支出事项管理效果，反映政府债务和中长期支出事项管理完成情况≥90%</w:t>
      </w:r>
    </w:p>
    <w:p>
      <w:pPr>
        <w:pStyle w:val="24"/>
      </w:pPr>
      <w:r>
        <w:t>(2)防范债务风险完成率，防范债务风险完成情况≥90%</w:t>
      </w:r>
    </w:p>
    <w:p>
      <w:pPr>
        <w:pStyle w:val="24"/>
      </w:pPr>
      <w:r>
        <w:t>(3)问题整改督导率，反映对被检查单位存在问题整改督导情况≥90%绩</w:t>
      </w:r>
    </w:p>
    <w:p>
      <w:pPr>
        <w:pStyle w:val="24"/>
      </w:pPr>
      <w:r>
        <w:t>(4)金融风险管理，反应金融风险防范处置情况≥90%</w:t>
      </w:r>
    </w:p>
    <w:p>
      <w:pPr>
        <w:pStyle w:val="24"/>
      </w:pPr>
      <w:r>
        <w:t>（六）保障财政系统综合业务管理和机关综合事务管理。</w:t>
      </w:r>
    </w:p>
    <w:p>
      <w:pPr>
        <w:pStyle w:val="24"/>
      </w:pPr>
      <w:r>
        <w:t>做好财政系统综合业务管理和机关综合事务管理。</w:t>
      </w:r>
    </w:p>
    <w:p>
      <w:pPr>
        <w:pStyle w:val="24"/>
      </w:pPr>
      <w:r>
        <w:t>1．绩效目标</w:t>
      </w:r>
    </w:p>
    <w:p>
      <w:pPr>
        <w:pStyle w:val="24"/>
      </w:pPr>
      <w:r>
        <w:t>做好财政系统综合业务管理和机关综合事务管理。</w:t>
      </w:r>
    </w:p>
    <w:p>
      <w:pPr>
        <w:pStyle w:val="24"/>
      </w:pPr>
      <w:r>
        <w:t>2．绩效指标</w:t>
      </w:r>
    </w:p>
    <w:p>
      <w:pPr>
        <w:pStyle w:val="24"/>
      </w:pPr>
      <w:r>
        <w:t>(1)综合业务保障率，运转保障情况≥90%</w:t>
      </w:r>
    </w:p>
    <w:p>
      <w:pPr>
        <w:pStyle w:val="24"/>
      </w:pPr>
      <w:r>
        <w:t>(2)综合宣传情况，综合宣传完成情况≥90%</w:t>
      </w:r>
    </w:p>
    <w:p>
      <w:pPr>
        <w:pStyle w:val="24"/>
      </w:pPr>
      <w:r>
        <w:t>(3)联络服务满意度，联络服务满意度≥90%</w:t>
      </w:r>
    </w:p>
    <w:p>
      <w:pPr>
        <w:pStyle w:val="24"/>
      </w:pPr>
      <w:r>
        <w:t>(4)综合事务完成率≥90%</w:t>
      </w:r>
    </w:p>
    <w:p>
      <w:pPr>
        <w:pStyle w:val="24"/>
      </w:pPr>
      <w:r>
        <w:t>(5)干部教育培训情况，教育培训率≥90%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（一）开拓创新思维，推进金融小镇建设取得新成效</w:t>
      </w:r>
    </w:p>
    <w:p>
      <w:pPr>
        <w:pStyle w:val="25"/>
      </w:pPr>
      <w:r>
        <w:t>在实现金融（基金）小镇挂牌的基础上，进一步制定完善完善小镇运营方案、风险防控体系，以推进小镇建设为依托，组织开展招商推介，重点吸引京津冀特别是省内基金管理机构与基金合伙企业入驻，2023年力争实现小镇注册企业达到50家，注册资本认缴规模达到50亿元。</w:t>
      </w:r>
    </w:p>
    <w:p>
      <w:pPr>
        <w:pStyle w:val="25"/>
      </w:pPr>
      <w:r>
        <w:t>（二）加强跑办对接，充分发挥政府基金的撬动作用</w:t>
      </w:r>
    </w:p>
    <w:p>
      <w:pPr>
        <w:pStyle w:val="25"/>
      </w:pPr>
      <w:r>
        <w:t>在成功设立生命健康和高新技术基金的基础上，持续加强与社会资本的对接，深入挖掘优质项目，积极开展子基金的招募工作，争取2023年成立子基金3-5家，发挥基金引导作用，带动产业项目聚集，促进示范区产业持续快速发展。</w:t>
      </w:r>
    </w:p>
    <w:p>
      <w:pPr>
        <w:pStyle w:val="25"/>
      </w:pPr>
      <w:r>
        <w:t>（三）健全落地机制，全力促进总部经济落户新区</w:t>
      </w:r>
    </w:p>
    <w:p>
      <w:pPr>
        <w:pStyle w:val="25"/>
      </w:pPr>
      <w:r>
        <w:t>一是落实支持总部经济发展相关政策措施，支持鼓励总部经济落户新区。二是制定总部经济考核办法，分解2023年总部企业招引任务，督导配合各部门开展全年招引工作，力争全年招引各类总部企业40家以上。</w:t>
      </w:r>
    </w:p>
    <w:p>
      <w:pPr>
        <w:pStyle w:val="25"/>
      </w:pPr>
      <w:r>
        <w:t>（四）强化统筹协调，切实抓好争取资金相关工作</w:t>
      </w:r>
    </w:p>
    <w:p>
      <w:pPr>
        <w:pStyle w:val="25"/>
      </w:pPr>
      <w:r>
        <w:t>一是深入研究上级政策和资金支持动向，准确把握扶持范围，找准与新区项目的对接点。二是落实争取资金常态化机制，梳理省市2023年预算安排重点项目清单并印发各部门，统筹组织相关单位做好项目包装。三是重点聚焦债券资金，强化债券项目资料审核，不断提高债券资金争取和使用的科学性合理性，力争在政府债券等方面获得更多支持。</w:t>
      </w:r>
    </w:p>
    <w:p>
      <w:pPr>
        <w:pStyle w:val="25"/>
      </w:pPr>
      <w:r>
        <w:t>（五）严格落实管控，有效防范金融债务风险</w:t>
      </w:r>
    </w:p>
    <w:p>
      <w:pPr>
        <w:pStyle w:val="25"/>
      </w:pPr>
      <w:r>
        <w:t>一是加强政府债务管控，坚持预防为主，预防和处置相结合，不断完善防范化解债务风险长效机制。二是强化金融监管职责，严格落实属地职责，完善与公安、工商等部门的协作机制，积极开展防范非法集资等金融风险排查整治活动，多措并举全面开展防范金融风险宣传教育活动，牢牢守住不发生系统性、区域性风险的底线。三是完善债务项目生命周期偿债计划，强化预算约束，确保及时偿还债务本息。</w:t>
      </w:r>
    </w:p>
    <w:p>
      <w:pPr>
        <w:pStyle w:val="25"/>
      </w:pPr>
      <w:r>
        <w:t>（六）做好财政金融帮扶，持续优化营商环境</w:t>
      </w:r>
    </w:p>
    <w:p>
      <w:pPr>
        <w:pStyle w:val="25"/>
      </w:pPr>
      <w:r>
        <w:t>一是扎实做好减税降费工作，进一步减轻企业负担，激发市场活力，确保国家减税降费政策落实到位。二是进一步做好省市稳经济系列政策和《财政引导金融支持实体经济发展措施》解读和宣传工作，帮助市场主体减负纾困。三是完善常态化“政银企”对接机制，定期举办项目投融资对接活动，为实体经济提供更多融资渠道。四是支持企业上市，积极走访排查新区企业，扩充上市后备企业；定期组织上市后备企业培训，鼓励企业上市融资；落实企业上市奖补政策，优化企业上市激励机制。</w:t>
      </w:r>
    </w:p>
    <w:p>
      <w:pPr>
        <w:pStyle w:val="25"/>
      </w:pPr>
      <w:r>
        <w:t>（七）深化国企改革，有效提升国有资产监管水平</w:t>
      </w:r>
    </w:p>
    <w:p>
      <w:pPr>
        <w:pStyle w:val="25"/>
      </w:pPr>
      <w:r>
        <w:t>持续深入推进国企改革工作，优化国有经济布局和结构调整，促进国有企业跨越发展。一是推进企业做优做大做强，通过有效整合资产和健全市场化经营机制等手段，指导国企明确发展方向和特色主业，培育并形成可持续的盈利模式，推动国有企业积极参与市场竞争，参与经济建设，增强企业竞争力和抗风险能力。二是提高资产效能，下大力气解决整合重组遗留问题，清理退出不具备优势的非主营业务和低效无效资产。三是鼓励企业走出去，积极参与全国性的竞争与合作，不断增强企业整体素质和核心竞争力。四是进一步健全公司治理相关制度，巩固以管资本为主的国有资产监管体制。五是大力提高行政事业单位资产管理水平，强化和落实管理职责，组织开展资产管理人员业务培训，定期开展资产管理检查，合力促进行政事业单位资产管理工作提质增效。</w:t>
      </w:r>
    </w:p>
    <w:p>
      <w:pPr>
        <w:pStyle w:val="25"/>
      </w:pPr>
      <w:r>
        <w:t>（八）优化支出结构，有效发挥财政保障作用</w:t>
      </w:r>
    </w:p>
    <w:p>
      <w:pPr>
        <w:pStyle w:val="25"/>
      </w:pPr>
      <w:r>
        <w:t>加强财政资源统筹，全面落实常态化疫情防控和经济社会发展工作部署，做好服务“六稳”“六保”工作大局。一是加大民生投入，在兜底“三保”的基础上，加快涉及教育、医疗等重点民生领域的资金支出，落实弱势群体基本生活保障，支持乡村振兴战略，确保各项民生政策全面落实。二是强化重点支出保障，积极筹措发展资金，为重点产业发展、基础设施建设、疫情防控、环境保护、重大风险防范化解等提供有力支撑，确保工管委重大决策部署落实到位。三是加快预算执行，充分发挥预算单位的主体地位，增强预算单位主体责任意识，加强财政部门的督导职能，形成预算支出工作合力，确保财政支出序时进度，有效提高资金使用效益。四是全面落实政府过紧日子要求，建立完善节约保障机制，充分考虑财政承受力，坚持量入为出、精打细算，减少重复投资，严把预算支出关口，严肃财经纪律，有效提高财政支出的精准性有效性。</w:t>
      </w:r>
    </w:p>
    <w:p>
      <w:pPr>
        <w:pStyle w:val="25"/>
      </w:pPr>
      <w:r>
        <w:t>（九）加强重点管理，着力提升财政服务管理水平</w:t>
      </w:r>
    </w:p>
    <w:p>
      <w:pPr>
        <w:pStyle w:val="25"/>
      </w:pPr>
      <w:r>
        <w:t>一是科学编制2023年预算，全面落实“全口径”预算管理，规范编制政府、部门和项目预算，确保顺利通过市人大审查。二是深入推进全面预算绩效管理，有序组织开展2023年自评及重点绩效评价等各项工作，推进预算绩效管理在新区全面落地。三是抓好财政资金监管，加强重点项目资金预决算评审监管，有效降低投资成本；强化专项资金和存量资金监督，提高资金使用效益；做好会计信息质量监督检查，严肃财经纪律。</w:t>
      </w:r>
    </w:p>
    <w:p>
      <w:pPr>
        <w:pStyle w:val="25"/>
      </w:pPr>
      <w:r>
        <w:t>（十）增强人员素质，扎实推进干部队伍建设</w:t>
      </w:r>
    </w:p>
    <w:p>
      <w:pPr>
        <w:pStyle w:val="25"/>
      </w:pPr>
      <w:r>
        <w:t>一是坚持政治引领，将学习宣传贯彻党的二十大精神作为当前和今后一个时期的首要政治任务抓紧抓实，不断强化干部职工的政治素养。二是加强业务培训，落实好定期集体学习机制，坚持问题导向，提升干部职工的专业素养和履职能力。三是加强作风建设，深化机关作风整顿，全面优化机关作风，切实提高财政工作服务水平。四是完善对干部的激励机制，用好考核评价的“指挥棒”，积极营造创先争优、求真务实的发展氛围。四是切实抓好党风廉政思想建设。定期进行廉政谈话、提醒谈话，把抓业务和抓廉政同研究、同布置、同检查；组织各种警示教育活动，通过多形式、经常化，传导好责任和压力，筑牢廉洁从政的防线。</w:t>
      </w:r>
    </w:p>
    <w:p>
      <w:pPr>
        <w:spacing w:before="0" w:after="0" w:line="240" w:lineRule="auto"/>
        <w:ind w:firstLine="640" w:firstLineChars="20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1、财政决算编审等综合检查服务费绩效目标表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1.开展决算工作，确保决算工作顺利完成，配合完成本级财政检查工作。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检查事项的数量</w:t>
            </w:r>
          </w:p>
        </w:tc>
        <w:tc>
          <w:tcPr>
            <w:tcW w:w="2835" w:type="dxa"/>
            <w:vAlign w:val="center"/>
          </w:tcPr>
          <w:p>
            <w:pPr>
              <w:pStyle w:val="14"/>
            </w:pPr>
            <w:r>
              <w:t>检查事项的数量</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完成本级财政检查的质量</w:t>
            </w:r>
          </w:p>
        </w:tc>
        <w:tc>
          <w:tcPr>
            <w:tcW w:w="2835" w:type="dxa"/>
            <w:vAlign w:val="center"/>
          </w:tcPr>
          <w:p>
            <w:pPr>
              <w:pStyle w:val="14"/>
            </w:pPr>
            <w:r>
              <w:t>完成本级财政检查的质量</w:t>
            </w:r>
          </w:p>
        </w:tc>
        <w:tc>
          <w:tcPr>
            <w:tcW w:w="2551" w:type="dxa"/>
            <w:vAlign w:val="center"/>
          </w:tcPr>
          <w:p>
            <w:pPr>
              <w:pStyle w:val="14"/>
            </w:pPr>
            <w:r>
              <w:t>高质量完成</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检查工作的及时性</w:t>
            </w:r>
          </w:p>
        </w:tc>
        <w:tc>
          <w:tcPr>
            <w:tcW w:w="2835" w:type="dxa"/>
            <w:vAlign w:val="center"/>
          </w:tcPr>
          <w:p>
            <w:pPr>
              <w:pStyle w:val="14"/>
            </w:pPr>
            <w:r>
              <w:t>完成检查工作的配合度</w:t>
            </w:r>
          </w:p>
        </w:tc>
        <w:tc>
          <w:tcPr>
            <w:tcW w:w="2551" w:type="dxa"/>
            <w:vAlign w:val="center"/>
          </w:tcPr>
          <w:p>
            <w:pPr>
              <w:pStyle w:val="14"/>
            </w:pPr>
            <w:r>
              <w:t>高效配合</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总体费用</w:t>
            </w:r>
          </w:p>
        </w:tc>
        <w:tc>
          <w:tcPr>
            <w:tcW w:w="2835" w:type="dxa"/>
            <w:vAlign w:val="center"/>
          </w:tcPr>
          <w:p>
            <w:pPr>
              <w:pStyle w:val="14"/>
            </w:pPr>
            <w:r>
              <w:t>总体费用</w:t>
            </w:r>
          </w:p>
        </w:tc>
        <w:tc>
          <w:tcPr>
            <w:tcW w:w="2551" w:type="dxa"/>
            <w:vAlign w:val="center"/>
          </w:tcPr>
          <w:p>
            <w:pPr>
              <w:pStyle w:val="14"/>
            </w:pPr>
            <w:r>
              <w:t>≤15万元</w:t>
            </w: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根据检查建议制定的整改措施</w:t>
            </w:r>
          </w:p>
        </w:tc>
        <w:tc>
          <w:tcPr>
            <w:tcW w:w="2835" w:type="dxa"/>
            <w:vAlign w:val="center"/>
          </w:tcPr>
          <w:p>
            <w:pPr>
              <w:pStyle w:val="14"/>
            </w:pPr>
            <w:r>
              <w:t>根据检查建议制定的整改措施，取得实效</w:t>
            </w:r>
          </w:p>
        </w:tc>
        <w:tc>
          <w:tcPr>
            <w:tcW w:w="2551" w:type="dxa"/>
            <w:vAlign w:val="center"/>
          </w:tcPr>
          <w:p>
            <w:pPr>
              <w:pStyle w:val="14"/>
            </w:pPr>
            <w:r>
              <w:t>效果显著</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对检查工作的配合度</w:t>
            </w:r>
          </w:p>
        </w:tc>
        <w:tc>
          <w:tcPr>
            <w:tcW w:w="2551" w:type="dxa"/>
            <w:vAlign w:val="center"/>
          </w:tcPr>
          <w:p>
            <w:pPr>
              <w:pStyle w:val="14"/>
            </w:pPr>
            <w:r>
              <w:t>≥100 %</w:t>
            </w:r>
          </w:p>
        </w:tc>
        <w:tc>
          <w:tcPr>
            <w:tcW w:w="2268" w:type="dxa"/>
            <w:vAlign w:val="center"/>
          </w:tcPr>
          <w:p>
            <w:pPr>
              <w:pStyle w:val="14"/>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2、国资监管企业财务会计审计工作费用绩效目标表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1.加强对新区国资企事业规范化管理</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内部审计数量</w:t>
            </w:r>
          </w:p>
          <w:p>
            <w:pPr>
              <w:pStyle w:val="14"/>
            </w:pPr>
          </w:p>
        </w:tc>
        <w:tc>
          <w:tcPr>
            <w:tcW w:w="2835" w:type="dxa"/>
            <w:vAlign w:val="center"/>
          </w:tcPr>
          <w:p>
            <w:pPr>
              <w:pStyle w:val="14"/>
            </w:pPr>
            <w:r>
              <w:t xml:space="preserve"> 对企业开展内部审计户数</w:t>
            </w:r>
          </w:p>
          <w:p>
            <w:pPr>
              <w:pStyle w:val="14"/>
            </w:pP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项目建设进度</w:t>
            </w:r>
          </w:p>
        </w:tc>
        <w:tc>
          <w:tcPr>
            <w:tcW w:w="2835" w:type="dxa"/>
            <w:vAlign w:val="center"/>
          </w:tcPr>
          <w:p>
            <w:pPr>
              <w:pStyle w:val="14"/>
            </w:pPr>
            <w:r>
              <w:t>根据合作协议，资金拨付节点应实现的建设进度</w:t>
            </w:r>
          </w:p>
        </w:tc>
        <w:tc>
          <w:tcPr>
            <w:tcW w:w="2551" w:type="dxa"/>
            <w:vAlign w:val="center"/>
          </w:tcPr>
          <w:p>
            <w:pPr>
              <w:pStyle w:val="14"/>
            </w:pPr>
            <w:r>
              <w:t>合同协议</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国有资产业务开展时效</w:t>
            </w:r>
          </w:p>
          <w:p>
            <w:pPr>
              <w:pStyle w:val="14"/>
            </w:pPr>
          </w:p>
        </w:tc>
        <w:tc>
          <w:tcPr>
            <w:tcW w:w="2835" w:type="dxa"/>
            <w:vAlign w:val="center"/>
          </w:tcPr>
          <w:p>
            <w:pPr>
              <w:pStyle w:val="14"/>
            </w:pPr>
            <w:r>
              <w:t xml:space="preserve"> 国有资产业务开展及时性</w:t>
            </w:r>
          </w:p>
          <w:p>
            <w:pPr>
              <w:pStyle w:val="14"/>
            </w:pPr>
          </w:p>
        </w:tc>
        <w:tc>
          <w:tcPr>
            <w:tcW w:w="2551" w:type="dxa"/>
            <w:vAlign w:val="center"/>
          </w:tcPr>
          <w:p>
            <w:pPr>
              <w:pStyle w:val="14"/>
            </w:pPr>
            <w:r>
              <w:t>2021年12月底前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国有资产业务支出</w:t>
            </w:r>
          </w:p>
          <w:p>
            <w:pPr>
              <w:pStyle w:val="14"/>
            </w:pPr>
          </w:p>
        </w:tc>
        <w:tc>
          <w:tcPr>
            <w:tcW w:w="2835" w:type="dxa"/>
            <w:vAlign w:val="center"/>
          </w:tcPr>
          <w:p>
            <w:pPr>
              <w:pStyle w:val="14"/>
            </w:pPr>
            <w:r>
              <w:t xml:space="preserve"> 国有资产监管业务费用</w:t>
            </w:r>
          </w:p>
          <w:p>
            <w:pPr>
              <w:pStyle w:val="14"/>
            </w:pP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 xml:space="preserve"> 建立健全监管制度体系</w:t>
            </w:r>
          </w:p>
          <w:p>
            <w:pPr>
              <w:pStyle w:val="14"/>
            </w:pPr>
          </w:p>
        </w:tc>
        <w:tc>
          <w:tcPr>
            <w:tcW w:w="2835" w:type="dxa"/>
            <w:vAlign w:val="center"/>
          </w:tcPr>
          <w:p>
            <w:pPr>
              <w:pStyle w:val="14"/>
            </w:pPr>
            <w:r>
              <w:t xml:space="preserve"> 制定国有资本经营预算、国有资产转让、评估、对外投资等各项具体管理办法，健全制度体系</w:t>
            </w:r>
          </w:p>
          <w:p>
            <w:pPr>
              <w:pStyle w:val="14"/>
            </w:pPr>
          </w:p>
        </w:tc>
        <w:tc>
          <w:tcPr>
            <w:tcW w:w="2551" w:type="dxa"/>
            <w:vAlign w:val="center"/>
          </w:tcPr>
          <w:p>
            <w:pPr>
              <w:pStyle w:val="14"/>
            </w:pPr>
            <w:r>
              <w:t>完成</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服务对象满意度</w:t>
            </w:r>
          </w:p>
          <w:p>
            <w:pPr>
              <w:pStyle w:val="14"/>
            </w:pPr>
          </w:p>
        </w:tc>
        <w:tc>
          <w:tcPr>
            <w:tcW w:w="2835" w:type="dxa"/>
            <w:vAlign w:val="center"/>
          </w:tcPr>
          <w:p>
            <w:pPr>
              <w:pStyle w:val="14"/>
            </w:pPr>
            <w:r>
              <w:t xml:space="preserve"> 为国控企业提供服务的满意程度</w:t>
            </w:r>
          </w:p>
          <w:p>
            <w:pPr>
              <w:pStyle w:val="14"/>
            </w:pP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6.发放人员工资</w:t>
            </w:r>
          </w:p>
          <w:p>
            <w:pPr>
              <w:pStyle w:val="14"/>
            </w:pPr>
            <w:r>
              <w:t>7.缴纳各项社会保险</w:t>
            </w:r>
          </w:p>
          <w:p>
            <w:pPr>
              <w:pStyle w:val="14"/>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保证人数</w:t>
            </w:r>
          </w:p>
        </w:tc>
        <w:tc>
          <w:tcPr>
            <w:tcW w:w="2835" w:type="dxa"/>
            <w:vAlign w:val="center"/>
          </w:tcPr>
          <w:p>
            <w:pPr>
              <w:pStyle w:val="14"/>
            </w:pPr>
            <w:r>
              <w:t>保障人员经费的人数</w:t>
            </w:r>
          </w:p>
        </w:tc>
        <w:tc>
          <w:tcPr>
            <w:tcW w:w="2551" w:type="dxa"/>
            <w:vAlign w:val="center"/>
          </w:tcPr>
          <w:p>
            <w:pPr>
              <w:pStyle w:val="14"/>
            </w:pPr>
            <w:r>
              <w:t>≥1</w:t>
            </w:r>
          </w:p>
        </w:tc>
        <w:tc>
          <w:tcPr>
            <w:tcW w:w="2268"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人员经费发放到位率</w:t>
            </w:r>
          </w:p>
        </w:tc>
        <w:tc>
          <w:tcPr>
            <w:tcW w:w="2551" w:type="dxa"/>
            <w:vAlign w:val="center"/>
          </w:tcPr>
          <w:p>
            <w:pPr>
              <w:pStyle w:val="14"/>
            </w:pPr>
            <w:r>
              <w:t>1</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人事代理人员经费支付的及时性</w:t>
            </w:r>
          </w:p>
        </w:tc>
        <w:tc>
          <w:tcPr>
            <w:tcW w:w="2551" w:type="dxa"/>
            <w:vAlign w:val="center"/>
          </w:tcPr>
          <w:p>
            <w:pPr>
              <w:pStyle w:val="14"/>
            </w:pPr>
            <w:r>
              <w:t>1</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2835" w:type="dxa"/>
            <w:vAlign w:val="center"/>
          </w:tcPr>
          <w:p>
            <w:pPr>
              <w:pStyle w:val="14"/>
            </w:pPr>
            <w:r>
              <w:t>本部门人员经费支出总额</w:t>
            </w:r>
          </w:p>
        </w:tc>
        <w:tc>
          <w:tcPr>
            <w:tcW w:w="2551" w:type="dxa"/>
            <w:vAlign w:val="center"/>
          </w:tcPr>
          <w:p>
            <w:pPr>
              <w:pStyle w:val="14"/>
            </w:pPr>
            <w:r>
              <w:t>15.21万元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财政业务开展</w:t>
            </w:r>
          </w:p>
        </w:tc>
        <w:tc>
          <w:tcPr>
            <w:tcW w:w="2835" w:type="dxa"/>
            <w:vAlign w:val="center"/>
          </w:tcPr>
          <w:p>
            <w:pPr>
              <w:pStyle w:val="14"/>
            </w:pPr>
            <w:r>
              <w:t>促进财政业务提升</w:t>
            </w:r>
          </w:p>
        </w:tc>
        <w:tc>
          <w:tcPr>
            <w:tcW w:w="2551" w:type="dxa"/>
            <w:vAlign w:val="center"/>
          </w:tcPr>
          <w:p>
            <w:pPr>
              <w:pStyle w:val="14"/>
            </w:pPr>
            <w:r>
              <w:t>明显提升</w:t>
            </w:r>
          </w:p>
        </w:tc>
        <w:tc>
          <w:tcPr>
            <w:tcW w:w="2268" w:type="dxa"/>
            <w:vAlign w:val="center"/>
          </w:tcPr>
          <w:p>
            <w:pPr>
              <w:pStyle w:val="14"/>
            </w:pPr>
            <w:r>
              <w:t>工作实际标准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财政资金使用率</w:t>
            </w:r>
          </w:p>
        </w:tc>
        <w:tc>
          <w:tcPr>
            <w:tcW w:w="2835" w:type="dxa"/>
            <w:vAlign w:val="center"/>
          </w:tcPr>
          <w:p>
            <w:pPr>
              <w:pStyle w:val="14"/>
            </w:pPr>
            <w:r>
              <w:t>提高财政资金的使用情况</w:t>
            </w:r>
          </w:p>
        </w:tc>
        <w:tc>
          <w:tcPr>
            <w:tcW w:w="2551" w:type="dxa"/>
            <w:vAlign w:val="center"/>
          </w:tcPr>
          <w:p>
            <w:pPr>
              <w:pStyle w:val="14"/>
            </w:pPr>
            <w:r>
              <w:t>明显提升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均衡发展程度</w:t>
            </w:r>
          </w:p>
        </w:tc>
        <w:tc>
          <w:tcPr>
            <w:tcW w:w="2835" w:type="dxa"/>
            <w:vAlign w:val="center"/>
          </w:tcPr>
          <w:p>
            <w:pPr>
              <w:pStyle w:val="14"/>
            </w:pPr>
            <w:r>
              <w:t>促进人事代理人员队伍稳定发展</w:t>
            </w:r>
          </w:p>
        </w:tc>
        <w:tc>
          <w:tcPr>
            <w:tcW w:w="2551" w:type="dxa"/>
            <w:vAlign w:val="center"/>
          </w:tcPr>
          <w:p>
            <w:pPr>
              <w:pStyle w:val="14"/>
            </w:pPr>
            <w:r>
              <w:t>稳步提升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4、行政事业单位资产管理、预算管理一体化等系统运维服务费绩效目标表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1.保障财政业务的有序开展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完成计划工作数量</w:t>
            </w:r>
          </w:p>
        </w:tc>
        <w:tc>
          <w:tcPr>
            <w:tcW w:w="2835" w:type="dxa"/>
            <w:vAlign w:val="center"/>
          </w:tcPr>
          <w:p>
            <w:pPr>
              <w:pStyle w:val="14"/>
            </w:pPr>
            <w:r>
              <w:t>预计工作计划数量</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综合事项保障率</w:t>
            </w:r>
          </w:p>
        </w:tc>
        <w:tc>
          <w:tcPr>
            <w:tcW w:w="2835" w:type="dxa"/>
            <w:vAlign w:val="center"/>
          </w:tcPr>
          <w:p>
            <w:pPr>
              <w:pStyle w:val="14"/>
            </w:pPr>
            <w:r>
              <w:t>保障财政事务的正常运转</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工作计划完成率</w:t>
            </w:r>
          </w:p>
        </w:tc>
        <w:tc>
          <w:tcPr>
            <w:tcW w:w="2835" w:type="dxa"/>
            <w:vAlign w:val="center"/>
          </w:tcPr>
          <w:p>
            <w:pPr>
              <w:pStyle w:val="14"/>
            </w:pPr>
            <w:r>
              <w:t>工作计划完成情况</w:t>
            </w:r>
          </w:p>
        </w:tc>
        <w:tc>
          <w:tcPr>
            <w:tcW w:w="2551" w:type="dxa"/>
            <w:vAlign w:val="center"/>
          </w:tcPr>
          <w:p>
            <w:pPr>
              <w:pStyle w:val="14"/>
            </w:pPr>
            <w:r>
              <w:t>2023年12月底前</w:t>
            </w:r>
          </w:p>
          <w:p>
            <w:pPr>
              <w:pStyle w:val="14"/>
            </w:pP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保障资金有效利用</w:t>
            </w:r>
          </w:p>
        </w:tc>
        <w:tc>
          <w:tcPr>
            <w:tcW w:w="2835" w:type="dxa"/>
            <w:vAlign w:val="center"/>
          </w:tcPr>
          <w:p>
            <w:pPr>
              <w:pStyle w:val="14"/>
            </w:pPr>
            <w:r>
              <w:t>保障资金有效利用</w:t>
            </w:r>
          </w:p>
        </w:tc>
        <w:tc>
          <w:tcPr>
            <w:tcW w:w="2551" w:type="dxa"/>
            <w:vAlign w:val="center"/>
          </w:tcPr>
          <w:p>
            <w:pPr>
              <w:pStyle w:val="14"/>
            </w:pPr>
            <w:r>
              <w:t>有力保障</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促进和保障新区经济发展</w:t>
            </w:r>
          </w:p>
        </w:tc>
        <w:tc>
          <w:tcPr>
            <w:tcW w:w="2835" w:type="dxa"/>
            <w:vAlign w:val="center"/>
          </w:tcPr>
          <w:p>
            <w:pPr>
              <w:pStyle w:val="14"/>
            </w:pPr>
            <w:r>
              <w:t>坚持依法理财、统筹兼顾，切实做好新区重要战略部署落地生效的财力保障</w:t>
            </w:r>
          </w:p>
        </w:tc>
        <w:tc>
          <w:tcPr>
            <w:tcW w:w="2551" w:type="dxa"/>
            <w:vAlign w:val="center"/>
          </w:tcPr>
          <w:p>
            <w:pPr>
              <w:pStyle w:val="14"/>
            </w:pPr>
            <w:r>
              <w:t>有力保障</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调高办事效率</w:t>
            </w:r>
          </w:p>
        </w:tc>
        <w:tc>
          <w:tcPr>
            <w:tcW w:w="2835" w:type="dxa"/>
            <w:vAlign w:val="center"/>
          </w:tcPr>
          <w:p>
            <w:pPr>
              <w:pStyle w:val="14"/>
            </w:pPr>
            <w:r>
              <w:t>提高财政业务平稳运行，提高办事效率</w:t>
            </w:r>
          </w:p>
        </w:tc>
        <w:tc>
          <w:tcPr>
            <w:tcW w:w="2551" w:type="dxa"/>
            <w:vAlign w:val="center"/>
          </w:tcPr>
          <w:p>
            <w:pPr>
              <w:pStyle w:val="14"/>
            </w:pPr>
            <w:r>
              <w:t>有力保障</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提高财政资金的使用率</w:t>
            </w:r>
          </w:p>
        </w:tc>
        <w:tc>
          <w:tcPr>
            <w:tcW w:w="2835" w:type="dxa"/>
            <w:vAlign w:val="center"/>
          </w:tcPr>
          <w:p>
            <w:pPr>
              <w:pStyle w:val="14"/>
            </w:pPr>
            <w:r>
              <w:t>提高财政资金的使用率</w:t>
            </w:r>
          </w:p>
        </w:tc>
        <w:tc>
          <w:tcPr>
            <w:tcW w:w="2551" w:type="dxa"/>
            <w:vAlign w:val="center"/>
          </w:tcPr>
          <w:p>
            <w:pPr>
              <w:pStyle w:val="14"/>
            </w:pPr>
            <w:r>
              <w:t>有力保障</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局内科室满意度</w:t>
            </w:r>
          </w:p>
        </w:tc>
        <w:tc>
          <w:tcPr>
            <w:tcW w:w="2835" w:type="dxa"/>
            <w:vAlign w:val="center"/>
          </w:tcPr>
          <w:p>
            <w:pPr>
              <w:pStyle w:val="14"/>
            </w:pPr>
            <w:r>
              <w:t>各科室对所提供服务的满意程度</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财务人员满意度</w:t>
            </w:r>
          </w:p>
        </w:tc>
        <w:tc>
          <w:tcPr>
            <w:tcW w:w="2835" w:type="dxa"/>
            <w:vAlign w:val="center"/>
          </w:tcPr>
          <w:p>
            <w:pPr>
              <w:pStyle w:val="14"/>
            </w:pPr>
            <w:r>
              <w:t>对新区财务人员培训服务的满意度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5、对上市企业的奖励补贴绩效目标表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1.积极推进企业上市.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推动企业上市数量</w:t>
            </w:r>
          </w:p>
        </w:tc>
        <w:tc>
          <w:tcPr>
            <w:tcW w:w="2835" w:type="dxa"/>
            <w:vAlign w:val="center"/>
          </w:tcPr>
          <w:p>
            <w:pPr>
              <w:pStyle w:val="14"/>
            </w:pPr>
            <w:r>
              <w:t>推动新区企业（含迁入）上市（石家庄股权交易所等四板以上资本市场）数量</w:t>
            </w:r>
          </w:p>
        </w:tc>
        <w:tc>
          <w:tcPr>
            <w:tcW w:w="2551" w:type="dxa"/>
            <w:vAlign w:val="center"/>
          </w:tcPr>
          <w:p>
            <w:pPr>
              <w:pStyle w:val="14"/>
            </w:pPr>
            <w:r>
              <w:t>≥1家</w:t>
            </w:r>
          </w:p>
        </w:tc>
        <w:tc>
          <w:tcPr>
            <w:tcW w:w="2268" w:type="dxa"/>
            <w:vAlign w:val="center"/>
          </w:tcPr>
          <w:p>
            <w:pPr>
              <w:pStyle w:val="14"/>
            </w:pPr>
            <w:r>
              <w:t xml:space="preserve"> 目标计划值，《秦北新管[2916]14号》文件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规范上市后备企业改制</w:t>
            </w:r>
          </w:p>
        </w:tc>
        <w:tc>
          <w:tcPr>
            <w:tcW w:w="2835" w:type="dxa"/>
            <w:vAlign w:val="center"/>
          </w:tcPr>
          <w:p>
            <w:pPr>
              <w:pStyle w:val="14"/>
            </w:pPr>
            <w:r>
              <w:t>按照法律法规和上市要求，指导其规范改制，建立现代企业制度，达到上市要求</w:t>
            </w:r>
          </w:p>
        </w:tc>
        <w:tc>
          <w:tcPr>
            <w:tcW w:w="2551" w:type="dxa"/>
            <w:vAlign w:val="center"/>
          </w:tcPr>
          <w:p>
            <w:pPr>
              <w:pStyle w:val="14"/>
            </w:pPr>
            <w:r>
              <w:t>≥90%</w:t>
            </w:r>
          </w:p>
        </w:tc>
        <w:tc>
          <w:tcPr>
            <w:tcW w:w="2268" w:type="dxa"/>
            <w:vAlign w:val="center"/>
          </w:tcPr>
          <w:p>
            <w:pPr>
              <w:pStyle w:val="14"/>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奖补资金及时性</w:t>
            </w:r>
          </w:p>
        </w:tc>
        <w:tc>
          <w:tcPr>
            <w:tcW w:w="2835" w:type="dxa"/>
            <w:vAlign w:val="center"/>
          </w:tcPr>
          <w:p>
            <w:pPr>
              <w:pStyle w:val="14"/>
            </w:pPr>
            <w:r>
              <w:t xml:space="preserve"> 企业上市后本级奖补资金到位及时性</w:t>
            </w:r>
          </w:p>
        </w:tc>
        <w:tc>
          <w:tcPr>
            <w:tcW w:w="2551" w:type="dxa"/>
            <w:vAlign w:val="center"/>
          </w:tcPr>
          <w:p>
            <w:pPr>
              <w:pStyle w:val="14"/>
            </w:pPr>
            <w:r>
              <w:t>≤12月</w:t>
            </w:r>
          </w:p>
        </w:tc>
        <w:tc>
          <w:tcPr>
            <w:tcW w:w="2268" w:type="dxa"/>
            <w:vAlign w:val="center"/>
          </w:tcPr>
          <w:p>
            <w:pPr>
              <w:pStyle w:val="14"/>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上市企业奖补金额</w:t>
            </w:r>
          </w:p>
        </w:tc>
        <w:tc>
          <w:tcPr>
            <w:tcW w:w="2835" w:type="dxa"/>
            <w:vAlign w:val="center"/>
          </w:tcPr>
          <w:p>
            <w:pPr>
              <w:pStyle w:val="14"/>
            </w:pPr>
            <w:r>
              <w:t>上市企业（含迁入）奖补金额</w:t>
            </w:r>
          </w:p>
        </w:tc>
        <w:tc>
          <w:tcPr>
            <w:tcW w:w="2551" w:type="dxa"/>
            <w:vAlign w:val="center"/>
          </w:tcPr>
          <w:p>
            <w:pPr>
              <w:pStyle w:val="14"/>
            </w:pPr>
            <w:r>
              <w:t>30万元</w:t>
            </w:r>
          </w:p>
        </w:tc>
        <w:tc>
          <w:tcPr>
            <w:tcW w:w="2268" w:type="dxa"/>
            <w:vAlign w:val="center"/>
          </w:tcPr>
          <w:p>
            <w:pPr>
              <w:pStyle w:val="14"/>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带动新区经济发展</w:t>
            </w:r>
          </w:p>
        </w:tc>
        <w:tc>
          <w:tcPr>
            <w:tcW w:w="2835" w:type="dxa"/>
            <w:vAlign w:val="center"/>
          </w:tcPr>
          <w:p>
            <w:pPr>
              <w:pStyle w:val="14"/>
            </w:pPr>
            <w:r>
              <w:t xml:space="preserve"> 调整新区融资结构、优化产业结构，带动新区地方经济发展</w:t>
            </w:r>
          </w:p>
        </w:tc>
        <w:tc>
          <w:tcPr>
            <w:tcW w:w="2551" w:type="dxa"/>
            <w:vAlign w:val="center"/>
          </w:tcPr>
          <w:p>
            <w:pPr>
              <w:pStyle w:val="14"/>
            </w:pPr>
            <w:r>
              <w:t>提升</w:t>
            </w:r>
          </w:p>
        </w:tc>
        <w:tc>
          <w:tcPr>
            <w:tcW w:w="2268" w:type="dxa"/>
            <w:vAlign w:val="center"/>
          </w:tcPr>
          <w:p>
            <w:pPr>
              <w:pStyle w:val="14"/>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建立培育企业上市的长效机制</w:t>
            </w:r>
          </w:p>
        </w:tc>
        <w:tc>
          <w:tcPr>
            <w:tcW w:w="2835" w:type="dxa"/>
            <w:vAlign w:val="center"/>
          </w:tcPr>
          <w:p>
            <w:pPr>
              <w:pStyle w:val="14"/>
            </w:pPr>
            <w:r>
              <w:t xml:space="preserve"> 加强政府政策引导，坚持培育帮扶为主，规范企业经营行为及提升核心竞争力相结合，不断完善支持企业上市的长效机制</w:t>
            </w:r>
          </w:p>
        </w:tc>
        <w:tc>
          <w:tcPr>
            <w:tcW w:w="2551" w:type="dxa"/>
            <w:vAlign w:val="center"/>
          </w:tcPr>
          <w:p>
            <w:pPr>
              <w:pStyle w:val="14"/>
            </w:pPr>
            <w:r>
              <w:t>有效</w:t>
            </w:r>
          </w:p>
        </w:tc>
        <w:tc>
          <w:tcPr>
            <w:tcW w:w="2268" w:type="dxa"/>
            <w:vAlign w:val="center"/>
          </w:tcPr>
          <w:p>
            <w:pPr>
              <w:pStyle w:val="14"/>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企业满意度</w:t>
            </w:r>
          </w:p>
        </w:tc>
        <w:tc>
          <w:tcPr>
            <w:tcW w:w="2835" w:type="dxa"/>
            <w:vAlign w:val="center"/>
          </w:tcPr>
          <w:p>
            <w:pPr>
              <w:pStyle w:val="14"/>
            </w:pPr>
            <w:r>
              <w:t xml:space="preserve"> 企业满意度</w:t>
            </w:r>
          </w:p>
        </w:tc>
        <w:tc>
          <w:tcPr>
            <w:tcW w:w="2551" w:type="dxa"/>
            <w:vAlign w:val="center"/>
          </w:tcPr>
          <w:p>
            <w:pPr>
              <w:pStyle w:val="14"/>
            </w:pPr>
            <w:r>
              <w:t>≥90 %</w:t>
            </w:r>
          </w:p>
        </w:tc>
        <w:tc>
          <w:tcPr>
            <w:tcW w:w="2268" w:type="dxa"/>
            <w:vAlign w:val="center"/>
          </w:tcPr>
          <w:p>
            <w:pPr>
              <w:pStyle w:val="14"/>
            </w:pPr>
            <w:r>
              <w:t xml:space="preserve"> 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6、关于提前下达2022年省级农村财会人员培训一般转移支付指标绩效目标表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1.提高农村财会人员业务水平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培训人数</w:t>
            </w:r>
          </w:p>
        </w:tc>
        <w:tc>
          <w:tcPr>
            <w:tcW w:w="2551" w:type="dxa"/>
            <w:vAlign w:val="center"/>
          </w:tcPr>
          <w:p>
            <w:pPr>
              <w:pStyle w:val="14"/>
            </w:pPr>
            <w:r>
              <w:t>≥90%</w:t>
            </w:r>
          </w:p>
        </w:tc>
        <w:tc>
          <w:tcPr>
            <w:tcW w:w="2268" w:type="dxa"/>
            <w:vAlign w:val="center"/>
          </w:tcPr>
          <w:p>
            <w:pPr>
              <w:pStyle w:val="14"/>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≥95%</w:t>
            </w:r>
          </w:p>
        </w:tc>
        <w:tc>
          <w:tcPr>
            <w:tcW w:w="2268" w:type="dxa"/>
            <w:vAlign w:val="center"/>
          </w:tcPr>
          <w:p>
            <w:pPr>
              <w:pStyle w:val="14"/>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培训完成时间</w:t>
            </w:r>
          </w:p>
        </w:tc>
        <w:tc>
          <w:tcPr>
            <w:tcW w:w="2551" w:type="dxa"/>
            <w:vAlign w:val="center"/>
          </w:tcPr>
          <w:p>
            <w:pPr>
              <w:pStyle w:val="14"/>
            </w:pPr>
            <w:r>
              <w:t>≤1年</w:t>
            </w:r>
          </w:p>
        </w:tc>
        <w:tc>
          <w:tcPr>
            <w:tcW w:w="2268" w:type="dxa"/>
            <w:vAlign w:val="center"/>
          </w:tcPr>
          <w:p>
            <w:pPr>
              <w:pStyle w:val="14"/>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参训学员能力提高</w:t>
            </w:r>
          </w:p>
        </w:tc>
        <w:tc>
          <w:tcPr>
            <w:tcW w:w="2835" w:type="dxa"/>
            <w:vAlign w:val="center"/>
          </w:tcPr>
          <w:p>
            <w:pPr>
              <w:pStyle w:val="14"/>
            </w:pPr>
            <w:r>
              <w:t>参加培训学员能力提高水平</w:t>
            </w:r>
          </w:p>
        </w:tc>
        <w:tc>
          <w:tcPr>
            <w:tcW w:w="2551" w:type="dxa"/>
            <w:vAlign w:val="center"/>
          </w:tcPr>
          <w:p>
            <w:pPr>
              <w:pStyle w:val="14"/>
            </w:pPr>
            <w:r>
              <w:t>&gt;70明显提高</w:t>
            </w:r>
          </w:p>
        </w:tc>
        <w:tc>
          <w:tcPr>
            <w:tcW w:w="2268" w:type="dxa"/>
            <w:vAlign w:val="center"/>
          </w:tcPr>
          <w:p>
            <w:pPr>
              <w:pStyle w:val="14"/>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≥10%</w:t>
            </w:r>
          </w:p>
        </w:tc>
        <w:tc>
          <w:tcPr>
            <w:tcW w:w="2268" w:type="dxa"/>
            <w:vAlign w:val="center"/>
          </w:tcPr>
          <w:p>
            <w:pPr>
              <w:pStyle w:val="14"/>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学员满意度</w:t>
            </w:r>
          </w:p>
        </w:tc>
        <w:tc>
          <w:tcPr>
            <w:tcW w:w="2835" w:type="dxa"/>
            <w:vAlign w:val="center"/>
          </w:tcPr>
          <w:p>
            <w:pPr>
              <w:pStyle w:val="14"/>
            </w:pPr>
            <w:r>
              <w:t>参加培训学员满意度</w:t>
            </w:r>
          </w:p>
          <w:p>
            <w:pPr>
              <w:pStyle w:val="14"/>
            </w:pPr>
          </w:p>
        </w:tc>
        <w:tc>
          <w:tcPr>
            <w:tcW w:w="2551" w:type="dxa"/>
            <w:vAlign w:val="center"/>
          </w:tcPr>
          <w:p>
            <w:pPr>
              <w:pStyle w:val="14"/>
            </w:pPr>
            <w:r>
              <w:t>&gt;90%</w:t>
            </w:r>
          </w:p>
        </w:tc>
        <w:tc>
          <w:tcPr>
            <w:tcW w:w="2268" w:type="dxa"/>
            <w:vAlign w:val="center"/>
          </w:tcPr>
          <w:p>
            <w:pPr>
              <w:pStyle w:val="14"/>
            </w:pPr>
            <w:r>
              <w:t>按相关规定要求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7、金融小镇及基金招商运营管理费绩效目标表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1.创新投资举措，大力支持新区产业发展</w:t>
            </w:r>
            <w:r>
              <w:tab/>
            </w:r>
            <w:r>
              <w:tab/>
            </w:r>
            <w:r>
              <w:tab/>
            </w:r>
            <w:r>
              <w:tab/>
            </w:r>
            <w:r>
              <w:tab/>
            </w:r>
            <w:r>
              <w:tab/>
            </w:r>
          </w:p>
          <w:p>
            <w:pPr>
              <w:pStyle w:val="14"/>
            </w:pPr>
            <w:r>
              <w:t>2.确保金融（小镇）工作顺利开展</w:t>
            </w:r>
            <w:r>
              <w:tab/>
            </w:r>
            <w:r>
              <w:tab/>
            </w:r>
            <w:r>
              <w:tab/>
            </w:r>
            <w:r>
              <w:tab/>
            </w:r>
            <w:r>
              <w:tab/>
            </w:r>
            <w:r>
              <w:tab/>
            </w:r>
          </w:p>
          <w:p>
            <w:pPr>
              <w:pStyle w:val="14"/>
            </w:pPr>
            <w:r>
              <w:t>3.新区产业培训与转型支持</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基金立项数量</w:t>
            </w:r>
          </w:p>
        </w:tc>
        <w:tc>
          <w:tcPr>
            <w:tcW w:w="2835" w:type="dxa"/>
            <w:vAlign w:val="center"/>
          </w:tcPr>
          <w:p>
            <w:pPr>
              <w:pStyle w:val="14"/>
            </w:pPr>
            <w:r>
              <w:t>基金立项数量</w:t>
            </w:r>
          </w:p>
        </w:tc>
        <w:tc>
          <w:tcPr>
            <w:tcW w:w="2551" w:type="dxa"/>
            <w:vAlign w:val="center"/>
          </w:tcPr>
          <w:p>
            <w:pPr>
              <w:pStyle w:val="14"/>
            </w:pPr>
            <w:r>
              <w:t>≥2支</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保障基金运行</w:t>
            </w:r>
          </w:p>
        </w:tc>
        <w:tc>
          <w:tcPr>
            <w:tcW w:w="2835" w:type="dxa"/>
            <w:vAlign w:val="center"/>
          </w:tcPr>
          <w:p>
            <w:pPr>
              <w:pStyle w:val="14"/>
            </w:pPr>
            <w:r>
              <w:t>保障基金运行</w:t>
            </w:r>
          </w:p>
        </w:tc>
        <w:tc>
          <w:tcPr>
            <w:tcW w:w="2551" w:type="dxa"/>
            <w:vAlign w:val="center"/>
          </w:tcPr>
          <w:p>
            <w:pPr>
              <w:pStyle w:val="14"/>
            </w:pPr>
            <w:r>
              <w:t>≥80%</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基金项目建立时间</w:t>
            </w:r>
          </w:p>
        </w:tc>
        <w:tc>
          <w:tcPr>
            <w:tcW w:w="2835" w:type="dxa"/>
            <w:vAlign w:val="center"/>
          </w:tcPr>
          <w:p>
            <w:pPr>
              <w:pStyle w:val="14"/>
            </w:pPr>
            <w:r>
              <w:t>基金项目建立时间</w:t>
            </w:r>
          </w:p>
        </w:tc>
        <w:tc>
          <w:tcPr>
            <w:tcW w:w="2551" w:type="dxa"/>
            <w:vAlign w:val="center"/>
          </w:tcPr>
          <w:p>
            <w:pPr>
              <w:pStyle w:val="14"/>
            </w:pPr>
            <w:r>
              <w:t>≥1年</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建立基金规模</w:t>
            </w:r>
          </w:p>
        </w:tc>
        <w:tc>
          <w:tcPr>
            <w:tcW w:w="2835" w:type="dxa"/>
            <w:vAlign w:val="center"/>
          </w:tcPr>
          <w:p>
            <w:pPr>
              <w:pStyle w:val="14"/>
            </w:pPr>
            <w:r>
              <w:t>建立基金规模</w:t>
            </w:r>
          </w:p>
        </w:tc>
        <w:tc>
          <w:tcPr>
            <w:tcW w:w="2551" w:type="dxa"/>
            <w:vAlign w:val="center"/>
          </w:tcPr>
          <w:p>
            <w:pPr>
              <w:pStyle w:val="14"/>
            </w:pPr>
            <w:r>
              <w:t>≥10亿元</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≥80%</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不断推进专业技术人才队伍建设</w:t>
            </w:r>
          </w:p>
        </w:tc>
        <w:tc>
          <w:tcPr>
            <w:tcW w:w="2835" w:type="dxa"/>
            <w:vAlign w:val="center"/>
          </w:tcPr>
          <w:p>
            <w:pPr>
              <w:pStyle w:val="14"/>
            </w:pPr>
            <w:r>
              <w:t>不断推进专业技术人才队伍建设</w:t>
            </w:r>
          </w:p>
        </w:tc>
        <w:tc>
          <w:tcPr>
            <w:tcW w:w="2551" w:type="dxa"/>
            <w:vAlign w:val="center"/>
          </w:tcPr>
          <w:p>
            <w:pPr>
              <w:pStyle w:val="14"/>
            </w:pPr>
            <w:r>
              <w:t>技术人才</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环保要求</w:t>
            </w:r>
          </w:p>
        </w:tc>
        <w:tc>
          <w:tcPr>
            <w:tcW w:w="2268" w:type="dxa"/>
            <w:vAlign w:val="center"/>
          </w:tcPr>
          <w:p>
            <w:pPr>
              <w:pStyle w:val="14"/>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目标计划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8、农村综合改革工作经费绩效目标表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1.保障各街道办农村综合改革该工作顺利开展。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p>
            <w:pPr>
              <w:pStyle w:val="14"/>
            </w:pPr>
          </w:p>
        </w:tc>
        <w:tc>
          <w:tcPr>
            <w:tcW w:w="2835" w:type="dxa"/>
            <w:vAlign w:val="center"/>
          </w:tcPr>
          <w:p>
            <w:pPr>
              <w:pStyle w:val="14"/>
            </w:pPr>
            <w:r>
              <w:t xml:space="preserve"> 项目完工数占项目总数</w:t>
            </w:r>
          </w:p>
        </w:tc>
        <w:tc>
          <w:tcPr>
            <w:tcW w:w="2551" w:type="dxa"/>
            <w:vAlign w:val="center"/>
          </w:tcPr>
          <w:p>
            <w:pPr>
              <w:pStyle w:val="14"/>
            </w:pPr>
            <w:r>
              <w:t>≥90 %</w:t>
            </w:r>
          </w:p>
        </w:tc>
        <w:tc>
          <w:tcPr>
            <w:tcW w:w="2268" w:type="dxa"/>
            <w:vAlign w:val="center"/>
          </w:tcPr>
          <w:p>
            <w:pPr>
              <w:pStyle w:val="14"/>
            </w:pPr>
            <w:r>
              <w:t>农村综合改革项目办法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项目验收合格情况，占当年项目</w:t>
            </w:r>
          </w:p>
          <w:p>
            <w:pPr>
              <w:pStyle w:val="14"/>
            </w:pPr>
            <w:r>
              <w:t>建设数</w:t>
            </w:r>
          </w:p>
        </w:tc>
        <w:tc>
          <w:tcPr>
            <w:tcW w:w="2551" w:type="dxa"/>
            <w:vAlign w:val="center"/>
          </w:tcPr>
          <w:p>
            <w:pPr>
              <w:pStyle w:val="14"/>
            </w:pPr>
            <w:r>
              <w:t>≥90 %</w:t>
            </w:r>
          </w:p>
        </w:tc>
        <w:tc>
          <w:tcPr>
            <w:tcW w:w="2268" w:type="dxa"/>
            <w:vAlign w:val="center"/>
          </w:tcPr>
          <w:p>
            <w:pPr>
              <w:pStyle w:val="14"/>
            </w:pPr>
            <w:r>
              <w:t>农村综合改革项目办法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项目完成及时性</w:t>
            </w:r>
          </w:p>
          <w:p>
            <w:pPr>
              <w:pStyle w:val="14"/>
            </w:pPr>
          </w:p>
        </w:tc>
        <w:tc>
          <w:tcPr>
            <w:tcW w:w="2551" w:type="dxa"/>
            <w:vAlign w:val="center"/>
          </w:tcPr>
          <w:p>
            <w:pPr>
              <w:pStyle w:val="14"/>
            </w:pPr>
            <w:r>
              <w:t xml:space="preserve"> 及时</w:t>
            </w:r>
          </w:p>
        </w:tc>
        <w:tc>
          <w:tcPr>
            <w:tcW w:w="2268" w:type="dxa"/>
            <w:vAlign w:val="center"/>
          </w:tcPr>
          <w:p>
            <w:pPr>
              <w:pStyle w:val="14"/>
            </w:pPr>
            <w:r>
              <w:t>农村综合改革项目办法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委托中介机构完成财政资金 预算评审、决算审查、绩效评价项目付费标准</w:t>
            </w:r>
          </w:p>
          <w:p>
            <w:pPr>
              <w:pStyle w:val="14"/>
            </w:pPr>
          </w:p>
        </w:tc>
        <w:tc>
          <w:tcPr>
            <w:tcW w:w="2835" w:type="dxa"/>
            <w:vAlign w:val="center"/>
          </w:tcPr>
          <w:p>
            <w:pPr>
              <w:pStyle w:val="14"/>
            </w:pPr>
            <w:r>
              <w:t xml:space="preserve"> 按照文件中的标准按各项目计算</w:t>
            </w:r>
          </w:p>
          <w:p>
            <w:pPr>
              <w:pStyle w:val="14"/>
            </w:pPr>
          </w:p>
        </w:tc>
        <w:tc>
          <w:tcPr>
            <w:tcW w:w="2551" w:type="dxa"/>
            <w:vAlign w:val="center"/>
          </w:tcPr>
          <w:p>
            <w:pPr>
              <w:pStyle w:val="14"/>
            </w:pPr>
            <w:r>
              <w:t xml:space="preserve"> 按文件规定标准和政府采购中标价执行 </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项目实际投资情况</w:t>
            </w:r>
          </w:p>
          <w:p>
            <w:pPr>
              <w:pStyle w:val="14"/>
            </w:pPr>
          </w:p>
        </w:tc>
        <w:tc>
          <w:tcPr>
            <w:tcW w:w="2835" w:type="dxa"/>
            <w:vAlign w:val="center"/>
          </w:tcPr>
          <w:p>
            <w:pPr>
              <w:pStyle w:val="14"/>
            </w:pPr>
            <w:r>
              <w:t xml:space="preserve"> 合理审增或审减资金</w:t>
            </w:r>
          </w:p>
          <w:p>
            <w:pPr>
              <w:pStyle w:val="14"/>
            </w:pPr>
          </w:p>
        </w:tc>
        <w:tc>
          <w:tcPr>
            <w:tcW w:w="2551" w:type="dxa"/>
            <w:vAlign w:val="center"/>
          </w:tcPr>
          <w:p>
            <w:pPr>
              <w:pStyle w:val="14"/>
            </w:pPr>
            <w:r>
              <w:t xml:space="preserve"> 有效</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项目效益</w:t>
            </w:r>
          </w:p>
        </w:tc>
        <w:tc>
          <w:tcPr>
            <w:tcW w:w="2835" w:type="dxa"/>
            <w:vAlign w:val="center"/>
          </w:tcPr>
          <w:p>
            <w:pPr>
              <w:pStyle w:val="14"/>
            </w:pPr>
            <w:r>
              <w:t xml:space="preserve"> 项目实际完成情况</w:t>
            </w:r>
          </w:p>
        </w:tc>
        <w:tc>
          <w:tcPr>
            <w:tcW w:w="2551" w:type="dxa"/>
            <w:vAlign w:val="center"/>
          </w:tcPr>
          <w:p>
            <w:pPr>
              <w:pStyle w:val="14"/>
            </w:pPr>
            <w:r>
              <w:t xml:space="preserve"> 有效</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 xml:space="preserve"> 受益对象满意度</w:t>
            </w:r>
          </w:p>
        </w:tc>
        <w:tc>
          <w:tcPr>
            <w:tcW w:w="2551" w:type="dxa"/>
            <w:vAlign w:val="center"/>
          </w:tcPr>
          <w:p>
            <w:pPr>
              <w:pStyle w:val="14"/>
            </w:pPr>
            <w:r>
              <w:t>≥90 %</w:t>
            </w:r>
          </w:p>
        </w:tc>
        <w:tc>
          <w:tcPr>
            <w:tcW w:w="2268" w:type="dxa"/>
            <w:vAlign w:val="center"/>
          </w:tcPr>
          <w:p>
            <w:pPr>
              <w:pStyle w:val="14"/>
            </w:pPr>
            <w:r>
              <w:t xml:space="preserve"> 目标计划值</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9、农业保险保费区级补贴资金绩效目标表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1."支持农户参加农业保险"</w:t>
            </w:r>
            <w:r>
              <w:tab/>
            </w:r>
          </w:p>
          <w:p>
            <w:pPr>
              <w:pStyle w:val="14"/>
            </w:pPr>
            <w:r>
              <w:t>2."稳定农业生产，保障农民收入“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监督检查率</w:t>
            </w:r>
          </w:p>
        </w:tc>
        <w:tc>
          <w:tcPr>
            <w:tcW w:w="2835" w:type="dxa"/>
            <w:vAlign w:val="center"/>
          </w:tcPr>
          <w:p>
            <w:pPr>
              <w:pStyle w:val="14"/>
            </w:pPr>
            <w:r>
              <w:t>对参与新区保费补贴资金项目的保险公司进行监督检查的年度覆盖率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中央财政保费补贴配套率</w:t>
            </w:r>
          </w:p>
        </w:tc>
        <w:tc>
          <w:tcPr>
            <w:tcW w:w="2835" w:type="dxa"/>
            <w:vAlign w:val="center"/>
          </w:tcPr>
          <w:p>
            <w:pPr>
              <w:pStyle w:val="14"/>
            </w:pPr>
            <w:r>
              <w:t>按照文件要求，对各种农业保险保费资金区级资金的配套率（根据各级财政补贴资金拨付情况确定）</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保费拨及时率</w:t>
            </w:r>
          </w:p>
        </w:tc>
        <w:tc>
          <w:tcPr>
            <w:tcW w:w="2835" w:type="dxa"/>
            <w:vAlign w:val="center"/>
          </w:tcPr>
          <w:p>
            <w:pPr>
              <w:pStyle w:val="14"/>
            </w:pPr>
            <w:r>
              <w:t>根据保险合同，按照规定时间支付保费的及时性</w:t>
            </w:r>
          </w:p>
        </w:tc>
        <w:tc>
          <w:tcPr>
            <w:tcW w:w="2551" w:type="dxa"/>
            <w:vAlign w:val="center"/>
          </w:tcPr>
          <w:p>
            <w:pPr>
              <w:pStyle w:val="14"/>
            </w:pPr>
            <w:r>
              <w:t>90%</w:t>
            </w:r>
          </w:p>
        </w:tc>
        <w:tc>
          <w:tcPr>
            <w:tcW w:w="2268" w:type="dxa"/>
            <w:vAlign w:val="center"/>
          </w:tcPr>
          <w:p>
            <w:pPr>
              <w:pStyle w:val="14"/>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农业保险保费额</w:t>
            </w:r>
          </w:p>
        </w:tc>
        <w:tc>
          <w:tcPr>
            <w:tcW w:w="2835" w:type="dxa"/>
            <w:vAlign w:val="center"/>
          </w:tcPr>
          <w:p>
            <w:pPr>
              <w:pStyle w:val="14"/>
            </w:pPr>
            <w:r>
              <w:t>2022年农业保险保费项目投入</w:t>
            </w:r>
          </w:p>
        </w:tc>
        <w:tc>
          <w:tcPr>
            <w:tcW w:w="2551" w:type="dxa"/>
            <w:vAlign w:val="center"/>
          </w:tcPr>
          <w:p>
            <w:pPr>
              <w:pStyle w:val="14"/>
            </w:pPr>
            <w:r>
              <w:t>≤50万元</w:t>
            </w:r>
          </w:p>
        </w:tc>
        <w:tc>
          <w:tcPr>
            <w:tcW w:w="2268" w:type="dxa"/>
            <w:vAlign w:val="center"/>
          </w:tcPr>
          <w:p>
            <w:pPr>
              <w:pStyle w:val="14"/>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受灾损失赔付及时率</w:t>
            </w:r>
          </w:p>
        </w:tc>
        <w:tc>
          <w:tcPr>
            <w:tcW w:w="2835" w:type="dxa"/>
            <w:vAlign w:val="center"/>
          </w:tcPr>
          <w:p>
            <w:pPr>
              <w:pStyle w:val="14"/>
            </w:pPr>
            <w:r>
              <w:t>受灾损失赔付及时赔付的及时性，按照保险合同规定时间内赔付到农户账户</w:t>
            </w:r>
          </w:p>
        </w:tc>
        <w:tc>
          <w:tcPr>
            <w:tcW w:w="2551" w:type="dxa"/>
            <w:vAlign w:val="center"/>
          </w:tcPr>
          <w:p>
            <w:pPr>
              <w:pStyle w:val="14"/>
            </w:pPr>
            <w:r>
              <w:t>≥90%</w:t>
            </w:r>
          </w:p>
        </w:tc>
        <w:tc>
          <w:tcPr>
            <w:tcW w:w="2268" w:type="dxa"/>
            <w:vAlign w:val="center"/>
          </w:tcPr>
          <w:p>
            <w:pPr>
              <w:pStyle w:val="14"/>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信息公开率</w:t>
            </w:r>
          </w:p>
        </w:tc>
        <w:tc>
          <w:tcPr>
            <w:tcW w:w="2835" w:type="dxa"/>
            <w:vAlign w:val="center"/>
          </w:tcPr>
          <w:p>
            <w:pPr>
              <w:pStyle w:val="14"/>
            </w:pPr>
            <w:r>
              <w:t>按照农业保险补贴监督政策，对各类保险信息公开比例</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农业保险投保数</w:t>
            </w:r>
          </w:p>
        </w:tc>
        <w:tc>
          <w:tcPr>
            <w:tcW w:w="2835" w:type="dxa"/>
            <w:vAlign w:val="center"/>
          </w:tcPr>
          <w:p>
            <w:pPr>
              <w:pStyle w:val="14"/>
            </w:pPr>
            <w:r>
              <w:t>按照市政府及新区支农惠农政策参与农业保险投保的数量</w:t>
            </w:r>
          </w:p>
        </w:tc>
        <w:tc>
          <w:tcPr>
            <w:tcW w:w="2551" w:type="dxa"/>
            <w:vAlign w:val="center"/>
          </w:tcPr>
          <w:p>
            <w:pPr>
              <w:pStyle w:val="14"/>
            </w:pPr>
            <w:r>
              <w:t>≥100户</w:t>
            </w:r>
          </w:p>
        </w:tc>
        <w:tc>
          <w:tcPr>
            <w:tcW w:w="2268" w:type="dxa"/>
            <w:vAlign w:val="center"/>
          </w:tcPr>
          <w:p>
            <w:pPr>
              <w:pStyle w:val="14"/>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受灾损失赔付率</w:t>
            </w:r>
          </w:p>
        </w:tc>
        <w:tc>
          <w:tcPr>
            <w:tcW w:w="2835" w:type="dxa"/>
            <w:vAlign w:val="center"/>
          </w:tcPr>
          <w:p>
            <w:pPr>
              <w:pStyle w:val="14"/>
            </w:pPr>
            <w:r>
              <w:t>农业保险承保公司应完成农业保险赔付</w:t>
            </w:r>
          </w:p>
        </w:tc>
        <w:tc>
          <w:tcPr>
            <w:tcW w:w="2551" w:type="dxa"/>
            <w:vAlign w:val="center"/>
          </w:tcPr>
          <w:p>
            <w:pPr>
              <w:pStyle w:val="14"/>
            </w:pPr>
            <w:r>
              <w:t>≥90%</w:t>
            </w:r>
          </w:p>
        </w:tc>
        <w:tc>
          <w:tcPr>
            <w:tcW w:w="2268" w:type="dxa"/>
            <w:vAlign w:val="center"/>
          </w:tcPr>
          <w:p>
            <w:pPr>
              <w:pStyle w:val="14"/>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合规率</w:t>
            </w:r>
          </w:p>
        </w:tc>
        <w:tc>
          <w:tcPr>
            <w:tcW w:w="2835" w:type="dxa"/>
            <w:vAlign w:val="center"/>
          </w:tcPr>
          <w:p>
            <w:pPr>
              <w:pStyle w:val="14"/>
            </w:pPr>
            <w:r>
              <w:t>按程序对保险公司申报材料进行审核</w:t>
            </w:r>
          </w:p>
        </w:tc>
        <w:tc>
          <w:tcPr>
            <w:tcW w:w="2551" w:type="dxa"/>
            <w:vAlign w:val="center"/>
          </w:tcPr>
          <w:p>
            <w:pPr>
              <w:pStyle w:val="14"/>
            </w:pPr>
            <w:r>
              <w:t>≤90%</w:t>
            </w:r>
          </w:p>
        </w:tc>
        <w:tc>
          <w:tcPr>
            <w:tcW w:w="2268" w:type="dxa"/>
            <w:vAlign w:val="center"/>
          </w:tcPr>
          <w:p>
            <w:pPr>
              <w:pStyle w:val="14"/>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风险保障总额</w:t>
            </w:r>
          </w:p>
        </w:tc>
        <w:tc>
          <w:tcPr>
            <w:tcW w:w="2835" w:type="dxa"/>
            <w:vAlign w:val="center"/>
          </w:tcPr>
          <w:p>
            <w:pPr>
              <w:pStyle w:val="14"/>
            </w:pPr>
            <w:r>
              <w:t>农业保险承保总额</w:t>
            </w:r>
          </w:p>
        </w:tc>
        <w:tc>
          <w:tcPr>
            <w:tcW w:w="2551" w:type="dxa"/>
            <w:vAlign w:val="center"/>
          </w:tcPr>
          <w:p>
            <w:pPr>
              <w:pStyle w:val="14"/>
            </w:pPr>
            <w:r>
              <w:t>≥500万元</w:t>
            </w:r>
          </w:p>
        </w:tc>
        <w:tc>
          <w:tcPr>
            <w:tcW w:w="2268" w:type="dxa"/>
            <w:vAlign w:val="center"/>
          </w:tcPr>
          <w:p>
            <w:pPr>
              <w:pStyle w:val="14"/>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农业保险经办机构数</w:t>
            </w:r>
          </w:p>
        </w:tc>
        <w:tc>
          <w:tcPr>
            <w:tcW w:w="2835" w:type="dxa"/>
            <w:vAlign w:val="center"/>
          </w:tcPr>
          <w:p>
            <w:pPr>
              <w:pStyle w:val="14"/>
            </w:pPr>
            <w:r>
              <w:t>在新区开展农业保险工作的机构数</w:t>
            </w:r>
          </w:p>
        </w:tc>
        <w:tc>
          <w:tcPr>
            <w:tcW w:w="2551" w:type="dxa"/>
            <w:vAlign w:val="center"/>
          </w:tcPr>
          <w:p>
            <w:pPr>
              <w:pStyle w:val="14"/>
            </w:pPr>
            <w:r>
              <w:t>≥2个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综合投保增长率</w:t>
            </w:r>
          </w:p>
        </w:tc>
        <w:tc>
          <w:tcPr>
            <w:tcW w:w="2835" w:type="dxa"/>
            <w:vAlign w:val="center"/>
          </w:tcPr>
          <w:p>
            <w:pPr>
              <w:pStyle w:val="14"/>
            </w:pPr>
            <w:r>
              <w:t>新区农户参与农业保险投保的户数的增长率</w:t>
            </w:r>
          </w:p>
        </w:tc>
        <w:tc>
          <w:tcPr>
            <w:tcW w:w="2551" w:type="dxa"/>
            <w:vAlign w:val="center"/>
          </w:tcPr>
          <w:p>
            <w:pPr>
              <w:pStyle w:val="14"/>
            </w:pPr>
            <w:r>
              <w:t>≥5%</w:t>
            </w:r>
          </w:p>
        </w:tc>
        <w:tc>
          <w:tcPr>
            <w:tcW w:w="2268" w:type="dxa"/>
            <w:vAlign w:val="center"/>
          </w:tcPr>
          <w:p>
            <w:pPr>
              <w:pStyle w:val="14"/>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参保农户满意度</w:t>
            </w:r>
          </w:p>
          <w:p>
            <w:pPr>
              <w:pStyle w:val="14"/>
            </w:pPr>
          </w:p>
        </w:tc>
        <w:tc>
          <w:tcPr>
            <w:tcW w:w="2835" w:type="dxa"/>
            <w:vAlign w:val="center"/>
          </w:tcPr>
          <w:p>
            <w:pPr>
              <w:pStyle w:val="14"/>
            </w:pPr>
            <w:r>
              <w:t xml:space="preserve"> 参保农户对新区农业保险的满意度</w:t>
            </w:r>
          </w:p>
          <w:p>
            <w:pPr>
              <w:pStyle w:val="14"/>
            </w:pPr>
          </w:p>
        </w:tc>
        <w:tc>
          <w:tcPr>
            <w:tcW w:w="2551" w:type="dxa"/>
            <w:vAlign w:val="center"/>
          </w:tcPr>
          <w:p>
            <w:pPr>
              <w:pStyle w:val="14"/>
            </w:pPr>
            <w:r>
              <w:t>≥90 %</w:t>
            </w:r>
          </w:p>
        </w:tc>
        <w:tc>
          <w:tcPr>
            <w:tcW w:w="2268" w:type="dxa"/>
            <w:vAlign w:val="center"/>
          </w:tcPr>
          <w:p>
            <w:pPr>
              <w:pStyle w:val="14"/>
            </w:pPr>
            <w:r>
              <w:t xml:space="preserve"> 目标计划值</w:t>
            </w:r>
          </w:p>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10、秦财预[2022]647--2023年边境地区转移支付资金绩效目标表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1.支持新区农村道路改造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改造农村道路数量</w:t>
            </w:r>
          </w:p>
        </w:tc>
        <w:tc>
          <w:tcPr>
            <w:tcW w:w="2835" w:type="dxa"/>
            <w:vAlign w:val="center"/>
          </w:tcPr>
          <w:p>
            <w:pPr>
              <w:pStyle w:val="14"/>
            </w:pPr>
            <w:r>
              <w:t>支持不少于2个村道路改造</w:t>
            </w:r>
          </w:p>
        </w:tc>
        <w:tc>
          <w:tcPr>
            <w:tcW w:w="2551" w:type="dxa"/>
            <w:vAlign w:val="center"/>
          </w:tcPr>
          <w:p>
            <w:pPr>
              <w:pStyle w:val="14"/>
            </w:pPr>
            <w:r>
              <w:t>2个</w:t>
            </w:r>
          </w:p>
        </w:tc>
        <w:tc>
          <w:tcPr>
            <w:tcW w:w="2268" w:type="dxa"/>
            <w:vAlign w:val="center"/>
          </w:tcPr>
          <w:p>
            <w:pPr>
              <w:pStyle w:val="14"/>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工程施工质量</w:t>
            </w:r>
          </w:p>
        </w:tc>
        <w:tc>
          <w:tcPr>
            <w:tcW w:w="2835" w:type="dxa"/>
            <w:vAlign w:val="center"/>
          </w:tcPr>
          <w:p>
            <w:pPr>
              <w:pStyle w:val="14"/>
            </w:pPr>
            <w:r>
              <w:t>工程质量达标，验收合格</w:t>
            </w:r>
          </w:p>
        </w:tc>
        <w:tc>
          <w:tcPr>
            <w:tcW w:w="2551" w:type="dxa"/>
            <w:vAlign w:val="center"/>
          </w:tcPr>
          <w:p>
            <w:pPr>
              <w:pStyle w:val="14"/>
            </w:pPr>
            <w:r>
              <w:t>工程质量达标，验收合格</w:t>
            </w:r>
          </w:p>
        </w:tc>
        <w:tc>
          <w:tcPr>
            <w:tcW w:w="2268" w:type="dxa"/>
            <w:vAlign w:val="center"/>
          </w:tcPr>
          <w:p>
            <w:pPr>
              <w:pStyle w:val="14"/>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项目建设期限</w:t>
            </w:r>
          </w:p>
        </w:tc>
        <w:tc>
          <w:tcPr>
            <w:tcW w:w="2835" w:type="dxa"/>
            <w:vAlign w:val="center"/>
          </w:tcPr>
          <w:p>
            <w:pPr>
              <w:pStyle w:val="14"/>
            </w:pPr>
            <w:r>
              <w:t>2023年7月前完成</w:t>
            </w:r>
          </w:p>
        </w:tc>
        <w:tc>
          <w:tcPr>
            <w:tcW w:w="2551" w:type="dxa"/>
            <w:vAlign w:val="center"/>
          </w:tcPr>
          <w:p>
            <w:pPr>
              <w:pStyle w:val="14"/>
            </w:pPr>
            <w:r>
              <w:t>2023年7月前完成</w:t>
            </w:r>
          </w:p>
        </w:tc>
        <w:tc>
          <w:tcPr>
            <w:tcW w:w="2268" w:type="dxa"/>
            <w:vAlign w:val="center"/>
          </w:tcPr>
          <w:p>
            <w:pPr>
              <w:pStyle w:val="14"/>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不高于318万元</w:t>
            </w:r>
          </w:p>
        </w:tc>
        <w:tc>
          <w:tcPr>
            <w:tcW w:w="2551" w:type="dxa"/>
            <w:vAlign w:val="center"/>
          </w:tcPr>
          <w:p>
            <w:pPr>
              <w:pStyle w:val="14"/>
            </w:pPr>
            <w:r>
              <w:t>≤318万元</w:t>
            </w:r>
          </w:p>
        </w:tc>
        <w:tc>
          <w:tcPr>
            <w:tcW w:w="2268" w:type="dxa"/>
            <w:vAlign w:val="center"/>
          </w:tcPr>
          <w:p>
            <w:pPr>
              <w:pStyle w:val="14"/>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提高周边村民出行便利</w:t>
            </w:r>
          </w:p>
        </w:tc>
        <w:tc>
          <w:tcPr>
            <w:tcW w:w="2835" w:type="dxa"/>
            <w:vAlign w:val="center"/>
          </w:tcPr>
          <w:p>
            <w:pPr>
              <w:pStyle w:val="14"/>
            </w:pPr>
            <w:r>
              <w:t>提高周边村民出行便利</w:t>
            </w:r>
          </w:p>
        </w:tc>
        <w:tc>
          <w:tcPr>
            <w:tcW w:w="2551" w:type="dxa"/>
            <w:vAlign w:val="center"/>
          </w:tcPr>
          <w:p>
            <w:pPr>
              <w:pStyle w:val="14"/>
            </w:pPr>
            <w:r>
              <w:t>提高周边村民出行便利</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11、秦财预[2022]648--2023年革命老区转移支付资金绩效目标表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1.支持新区农村道路改造项目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改造农村道路数量</w:t>
            </w:r>
          </w:p>
        </w:tc>
        <w:tc>
          <w:tcPr>
            <w:tcW w:w="2835" w:type="dxa"/>
            <w:vAlign w:val="center"/>
          </w:tcPr>
          <w:p>
            <w:pPr>
              <w:pStyle w:val="14"/>
            </w:pPr>
            <w:r>
              <w:t>支持不少于2个村道路改造</w:t>
            </w:r>
          </w:p>
        </w:tc>
        <w:tc>
          <w:tcPr>
            <w:tcW w:w="2551" w:type="dxa"/>
            <w:vAlign w:val="center"/>
          </w:tcPr>
          <w:p>
            <w:pPr>
              <w:pStyle w:val="14"/>
            </w:pPr>
            <w:r>
              <w:t>2个</w:t>
            </w:r>
          </w:p>
        </w:tc>
        <w:tc>
          <w:tcPr>
            <w:tcW w:w="2268" w:type="dxa"/>
            <w:vAlign w:val="center"/>
          </w:tcPr>
          <w:p>
            <w:pPr>
              <w:pStyle w:val="14"/>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工程施工质量</w:t>
            </w:r>
          </w:p>
        </w:tc>
        <w:tc>
          <w:tcPr>
            <w:tcW w:w="2835" w:type="dxa"/>
            <w:vAlign w:val="center"/>
          </w:tcPr>
          <w:p>
            <w:pPr>
              <w:pStyle w:val="14"/>
            </w:pPr>
            <w:r>
              <w:t>工程质量达标，验收合格</w:t>
            </w:r>
          </w:p>
        </w:tc>
        <w:tc>
          <w:tcPr>
            <w:tcW w:w="2551" w:type="dxa"/>
            <w:vAlign w:val="center"/>
          </w:tcPr>
          <w:p>
            <w:pPr>
              <w:pStyle w:val="14"/>
            </w:pPr>
            <w:r>
              <w:t>工程质量达标，验收合格</w:t>
            </w:r>
          </w:p>
        </w:tc>
        <w:tc>
          <w:tcPr>
            <w:tcW w:w="2268" w:type="dxa"/>
            <w:vAlign w:val="center"/>
          </w:tcPr>
          <w:p>
            <w:pPr>
              <w:pStyle w:val="14"/>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项目建设期限</w:t>
            </w:r>
          </w:p>
        </w:tc>
        <w:tc>
          <w:tcPr>
            <w:tcW w:w="2835" w:type="dxa"/>
            <w:vAlign w:val="center"/>
          </w:tcPr>
          <w:p>
            <w:pPr>
              <w:pStyle w:val="14"/>
            </w:pPr>
            <w:r>
              <w:t>2023年7月前完成</w:t>
            </w:r>
          </w:p>
        </w:tc>
        <w:tc>
          <w:tcPr>
            <w:tcW w:w="2551" w:type="dxa"/>
            <w:vAlign w:val="center"/>
          </w:tcPr>
          <w:p>
            <w:pPr>
              <w:pStyle w:val="14"/>
            </w:pPr>
            <w:r>
              <w:t>2023年7月前完成</w:t>
            </w:r>
          </w:p>
        </w:tc>
        <w:tc>
          <w:tcPr>
            <w:tcW w:w="2268" w:type="dxa"/>
            <w:vAlign w:val="center"/>
          </w:tcPr>
          <w:p>
            <w:pPr>
              <w:pStyle w:val="14"/>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不高于318万元</w:t>
            </w:r>
          </w:p>
        </w:tc>
        <w:tc>
          <w:tcPr>
            <w:tcW w:w="2551" w:type="dxa"/>
            <w:vAlign w:val="center"/>
          </w:tcPr>
          <w:p>
            <w:pPr>
              <w:pStyle w:val="14"/>
            </w:pPr>
            <w:r>
              <w:t>≤318万元</w:t>
            </w:r>
          </w:p>
        </w:tc>
        <w:tc>
          <w:tcPr>
            <w:tcW w:w="2268" w:type="dxa"/>
            <w:vAlign w:val="center"/>
          </w:tcPr>
          <w:p>
            <w:pPr>
              <w:pStyle w:val="14"/>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提高周边村民出行便利</w:t>
            </w:r>
          </w:p>
        </w:tc>
        <w:tc>
          <w:tcPr>
            <w:tcW w:w="2835" w:type="dxa"/>
            <w:vAlign w:val="center"/>
          </w:tcPr>
          <w:p>
            <w:pPr>
              <w:pStyle w:val="14"/>
            </w:pPr>
            <w:r>
              <w:t>提高周边村民出行便利</w:t>
            </w:r>
          </w:p>
        </w:tc>
        <w:tc>
          <w:tcPr>
            <w:tcW w:w="2551" w:type="dxa"/>
            <w:vAlign w:val="center"/>
          </w:tcPr>
          <w:p>
            <w:pPr>
              <w:pStyle w:val="14"/>
            </w:pPr>
            <w:r>
              <w:t>提高周边村民出行便利</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12、预算评审、绩效管理及监督检查等经费绩效目标表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1.合理支出财政资金，严控预算，确保预算细化并按规定编制；开展决算工作，确保决算工作顺利完成。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预算评审率</w:t>
            </w:r>
          </w:p>
          <w:p>
            <w:pPr>
              <w:pStyle w:val="14"/>
            </w:pPr>
          </w:p>
        </w:tc>
        <w:tc>
          <w:tcPr>
            <w:tcW w:w="2835" w:type="dxa"/>
            <w:vAlign w:val="center"/>
          </w:tcPr>
          <w:p>
            <w:pPr>
              <w:pStyle w:val="14"/>
            </w:pPr>
            <w:r>
              <w:t xml:space="preserve"> 全年预算评审情况，占当年评审项目比例</w:t>
            </w:r>
          </w:p>
          <w:p>
            <w:pPr>
              <w:pStyle w:val="14"/>
            </w:pPr>
          </w:p>
        </w:tc>
        <w:tc>
          <w:tcPr>
            <w:tcW w:w="2551" w:type="dxa"/>
            <w:vAlign w:val="center"/>
          </w:tcPr>
          <w:p>
            <w:pPr>
              <w:pStyle w:val="14"/>
            </w:pPr>
            <w:r>
              <w:t>≥90 %</w:t>
            </w:r>
          </w:p>
        </w:tc>
        <w:tc>
          <w:tcPr>
            <w:tcW w:w="2268" w:type="dxa"/>
            <w:vAlign w:val="center"/>
          </w:tcPr>
          <w:p>
            <w:pPr>
              <w:pStyle w:val="14"/>
            </w:pPr>
            <w:r>
              <w:t xml:space="preserve"> 预算评审办法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预算评审完成率</w:t>
            </w:r>
          </w:p>
          <w:p>
            <w:pPr>
              <w:pStyle w:val="14"/>
            </w:pPr>
          </w:p>
        </w:tc>
        <w:tc>
          <w:tcPr>
            <w:tcW w:w="2835" w:type="dxa"/>
            <w:vAlign w:val="center"/>
          </w:tcPr>
          <w:p>
            <w:pPr>
              <w:pStyle w:val="14"/>
            </w:pPr>
            <w:r>
              <w:t xml:space="preserve"> 全年预算评审完成情况，占当年评审项目</w:t>
            </w:r>
          </w:p>
          <w:p>
            <w:pPr>
              <w:pStyle w:val="14"/>
            </w:pPr>
          </w:p>
        </w:tc>
        <w:tc>
          <w:tcPr>
            <w:tcW w:w="2551" w:type="dxa"/>
            <w:vAlign w:val="center"/>
          </w:tcPr>
          <w:p>
            <w:pPr>
              <w:pStyle w:val="14"/>
            </w:pPr>
            <w:r>
              <w:t>≥90 %</w:t>
            </w:r>
          </w:p>
        </w:tc>
        <w:tc>
          <w:tcPr>
            <w:tcW w:w="2268" w:type="dxa"/>
            <w:vAlign w:val="center"/>
          </w:tcPr>
          <w:p>
            <w:pPr>
              <w:pStyle w:val="14"/>
            </w:pPr>
            <w:r>
              <w:t xml:space="preserve"> 预算评审办法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预算评审完成时限</w:t>
            </w:r>
          </w:p>
        </w:tc>
        <w:tc>
          <w:tcPr>
            <w:tcW w:w="2835" w:type="dxa"/>
            <w:vAlign w:val="center"/>
          </w:tcPr>
          <w:p>
            <w:pPr>
              <w:pStyle w:val="14"/>
            </w:pPr>
            <w:r>
              <w:t xml:space="preserve"> 全年预算评审完成及时性</w:t>
            </w:r>
          </w:p>
          <w:p>
            <w:pPr>
              <w:pStyle w:val="14"/>
            </w:pPr>
          </w:p>
        </w:tc>
        <w:tc>
          <w:tcPr>
            <w:tcW w:w="2551" w:type="dxa"/>
            <w:vAlign w:val="center"/>
          </w:tcPr>
          <w:p>
            <w:pPr>
              <w:pStyle w:val="14"/>
            </w:pPr>
            <w:r>
              <w:t xml:space="preserve"> 及时</w:t>
            </w:r>
          </w:p>
        </w:tc>
        <w:tc>
          <w:tcPr>
            <w:tcW w:w="2268" w:type="dxa"/>
            <w:vAlign w:val="center"/>
          </w:tcPr>
          <w:p>
            <w:pPr>
              <w:pStyle w:val="14"/>
            </w:pPr>
            <w:r>
              <w:t xml:space="preserve"> 预算评审办法</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6"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委托中介机构完成财政资金 预算评审、决算审查、绩效评价项目付费标准</w:t>
            </w:r>
          </w:p>
        </w:tc>
        <w:tc>
          <w:tcPr>
            <w:tcW w:w="2835" w:type="dxa"/>
            <w:vAlign w:val="center"/>
          </w:tcPr>
          <w:p>
            <w:pPr>
              <w:pStyle w:val="14"/>
            </w:pPr>
            <w:r>
              <w:t xml:space="preserve"> 按照文件中的标准按各项目计算</w:t>
            </w:r>
          </w:p>
          <w:p>
            <w:pPr>
              <w:pStyle w:val="14"/>
            </w:pPr>
          </w:p>
        </w:tc>
        <w:tc>
          <w:tcPr>
            <w:tcW w:w="2551" w:type="dxa"/>
            <w:vAlign w:val="center"/>
          </w:tcPr>
          <w:p>
            <w:pPr>
              <w:pStyle w:val="14"/>
            </w:pPr>
            <w:r>
              <w:t xml:space="preserve"> 按文件规定标准和政府采购中标价执行 </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评审项目预算纠偏</w:t>
            </w:r>
          </w:p>
          <w:p>
            <w:pPr>
              <w:pStyle w:val="14"/>
            </w:pPr>
          </w:p>
        </w:tc>
        <w:tc>
          <w:tcPr>
            <w:tcW w:w="2835" w:type="dxa"/>
            <w:vAlign w:val="center"/>
          </w:tcPr>
          <w:p>
            <w:pPr>
              <w:pStyle w:val="14"/>
            </w:pPr>
            <w:r>
              <w:t xml:space="preserve"> 合理审增或审减资金预算</w:t>
            </w:r>
          </w:p>
          <w:p>
            <w:pPr>
              <w:pStyle w:val="14"/>
            </w:pPr>
          </w:p>
        </w:tc>
        <w:tc>
          <w:tcPr>
            <w:tcW w:w="2551" w:type="dxa"/>
            <w:vAlign w:val="center"/>
          </w:tcPr>
          <w:p>
            <w:pPr>
              <w:pStyle w:val="14"/>
            </w:pPr>
            <w:r>
              <w:t xml:space="preserve"> 有效</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推动全区预算单位全面实施预算绩效管理</w:t>
            </w:r>
          </w:p>
          <w:p>
            <w:pPr>
              <w:pStyle w:val="14"/>
            </w:pPr>
          </w:p>
        </w:tc>
        <w:tc>
          <w:tcPr>
            <w:tcW w:w="2835" w:type="dxa"/>
            <w:vAlign w:val="center"/>
          </w:tcPr>
          <w:p>
            <w:pPr>
              <w:pStyle w:val="14"/>
            </w:pPr>
            <w:r>
              <w:t xml:space="preserve"> 推动全区预算单位全面实施预算绩效管理</w:t>
            </w:r>
          </w:p>
          <w:p>
            <w:pPr>
              <w:pStyle w:val="14"/>
            </w:pPr>
          </w:p>
        </w:tc>
        <w:tc>
          <w:tcPr>
            <w:tcW w:w="2551" w:type="dxa"/>
            <w:vAlign w:val="center"/>
          </w:tcPr>
          <w:p>
            <w:pPr>
              <w:pStyle w:val="14"/>
            </w:pPr>
            <w:r>
              <w:t xml:space="preserve"> 有效</w:t>
            </w:r>
          </w:p>
          <w:p>
            <w:pPr>
              <w:pStyle w:val="14"/>
            </w:pPr>
          </w:p>
        </w:tc>
        <w:tc>
          <w:tcPr>
            <w:tcW w:w="2268" w:type="dxa"/>
            <w:vAlign w:val="center"/>
          </w:tcPr>
          <w:p>
            <w:pPr>
              <w:pStyle w:val="14"/>
            </w:pPr>
            <w:r>
              <w:t xml:space="preserve"> 目标计划值</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预算单位满意度</w:t>
            </w:r>
          </w:p>
          <w:p>
            <w:pPr>
              <w:pStyle w:val="14"/>
            </w:pPr>
          </w:p>
        </w:tc>
        <w:tc>
          <w:tcPr>
            <w:tcW w:w="2835" w:type="dxa"/>
            <w:vAlign w:val="center"/>
          </w:tcPr>
          <w:p>
            <w:pPr>
              <w:pStyle w:val="14"/>
            </w:pPr>
            <w:r>
              <w:t xml:space="preserve"> 受益对象满意度</w:t>
            </w:r>
          </w:p>
          <w:p>
            <w:pPr>
              <w:pStyle w:val="14"/>
            </w:pPr>
          </w:p>
        </w:tc>
        <w:tc>
          <w:tcPr>
            <w:tcW w:w="2551" w:type="dxa"/>
            <w:vAlign w:val="center"/>
          </w:tcPr>
          <w:p>
            <w:pPr>
              <w:pStyle w:val="14"/>
            </w:pPr>
            <w:r>
              <w:t>≥90 %</w:t>
            </w:r>
          </w:p>
        </w:tc>
        <w:tc>
          <w:tcPr>
            <w:tcW w:w="2268" w:type="dxa"/>
            <w:vAlign w:val="center"/>
          </w:tcPr>
          <w:p>
            <w:pPr>
              <w:pStyle w:val="14"/>
            </w:pPr>
            <w:r>
              <w:t xml:space="preserve"> 目标计划值</w:t>
            </w:r>
          </w:p>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2023年，秦皇岛北戴河新区财政局安排政府采购预算1092.62万元。具体内容见下表。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318秦皇岛北戴河新区财政局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1092.62</w:t>
            </w:r>
          </w:p>
        </w:tc>
        <w:tc>
          <w:tcPr>
            <w:tcW w:w="964" w:type="dxa"/>
            <w:vAlign w:val="center"/>
          </w:tcPr>
          <w:p>
            <w:pPr>
              <w:pStyle w:val="17"/>
            </w:pPr>
            <w:r>
              <w:t>1092.62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秦皇岛北戴河新区财政局本级小计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1092.62</w:t>
            </w:r>
          </w:p>
        </w:tc>
        <w:tc>
          <w:tcPr>
            <w:tcW w:w="964" w:type="dxa"/>
            <w:vAlign w:val="center"/>
          </w:tcPr>
          <w:p>
            <w:pPr>
              <w:pStyle w:val="17"/>
            </w:pPr>
            <w:r>
              <w:t>1092.62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0.48</w:t>
            </w:r>
          </w:p>
        </w:tc>
        <w:tc>
          <w:tcPr>
            <w:tcW w:w="964" w:type="dxa"/>
            <w:vAlign w:val="center"/>
          </w:tcPr>
          <w:p>
            <w:pPr>
              <w:pStyle w:val="13"/>
            </w:pPr>
            <w:r>
              <w:t>0.96</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升</w:t>
            </w:r>
          </w:p>
        </w:tc>
        <w:tc>
          <w:tcPr>
            <w:tcW w:w="850" w:type="dxa"/>
            <w:vAlign w:val="center"/>
          </w:tcPr>
          <w:p>
            <w:pPr>
              <w:pStyle w:val="13"/>
            </w:pPr>
            <w:r>
              <w:t>120</w:t>
            </w:r>
          </w:p>
        </w:tc>
        <w:tc>
          <w:tcPr>
            <w:tcW w:w="850" w:type="dxa"/>
            <w:vAlign w:val="center"/>
          </w:tcPr>
          <w:p>
            <w:pPr>
              <w:pStyle w:val="13"/>
            </w:pPr>
            <w:r>
              <w:t>0.01</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年度</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场</w:t>
            </w:r>
          </w:p>
        </w:tc>
        <w:tc>
          <w:tcPr>
            <w:tcW w:w="850" w:type="dxa"/>
            <w:vAlign w:val="center"/>
          </w:tcPr>
          <w:p>
            <w:pPr>
              <w:pStyle w:val="13"/>
            </w:pPr>
            <w:r>
              <w:t>6</w:t>
            </w:r>
          </w:p>
        </w:tc>
        <w:tc>
          <w:tcPr>
            <w:tcW w:w="850" w:type="dxa"/>
            <w:vAlign w:val="center"/>
          </w:tcPr>
          <w:p>
            <w:pPr>
              <w:pStyle w:val="13"/>
            </w:pPr>
            <w:r>
              <w:t>0.40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份</w:t>
            </w:r>
          </w:p>
        </w:tc>
        <w:tc>
          <w:tcPr>
            <w:tcW w:w="850" w:type="dxa"/>
            <w:vAlign w:val="center"/>
          </w:tcPr>
          <w:p>
            <w:pPr>
              <w:pStyle w:val="13"/>
            </w:pPr>
            <w:r>
              <w:t>96</w:t>
            </w:r>
          </w:p>
        </w:tc>
        <w:tc>
          <w:tcPr>
            <w:tcW w:w="850" w:type="dxa"/>
            <w:vAlign w:val="center"/>
          </w:tcPr>
          <w:p>
            <w:pPr>
              <w:pStyle w:val="13"/>
            </w:pPr>
            <w:r>
              <w:t>0.01</w:t>
            </w:r>
          </w:p>
        </w:tc>
        <w:tc>
          <w:tcPr>
            <w:tcW w:w="964" w:type="dxa"/>
            <w:vAlign w:val="center"/>
          </w:tcPr>
          <w:p>
            <w:pPr>
              <w:pStyle w:val="13"/>
            </w:pPr>
            <w:r>
              <w:t>0.96</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3</w:t>
            </w:r>
          </w:p>
        </w:tc>
        <w:tc>
          <w:tcPr>
            <w:tcW w:w="850" w:type="dxa"/>
            <w:vAlign w:val="center"/>
          </w:tcPr>
          <w:p>
            <w:pPr>
              <w:pStyle w:val="13"/>
            </w:pPr>
            <w:r>
              <w:t>0.20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30.47</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行政事业单位资产管理、预算管理一体化等系统运维服务费</w:t>
            </w:r>
          </w:p>
        </w:tc>
        <w:tc>
          <w:tcPr>
            <w:tcW w:w="964" w:type="dxa"/>
            <w:vAlign w:val="center"/>
          </w:tcPr>
          <w:p>
            <w:pPr>
              <w:pStyle w:val="13"/>
            </w:pPr>
            <w:r>
              <w:t>35.00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项</w:t>
            </w:r>
          </w:p>
        </w:tc>
        <w:tc>
          <w:tcPr>
            <w:tcW w:w="850" w:type="dxa"/>
            <w:vAlign w:val="center"/>
          </w:tcPr>
          <w:p>
            <w:pPr>
              <w:pStyle w:val="13"/>
            </w:pPr>
            <w:r>
              <w:t>7</w:t>
            </w:r>
          </w:p>
        </w:tc>
        <w:tc>
          <w:tcPr>
            <w:tcW w:w="850" w:type="dxa"/>
            <w:vAlign w:val="center"/>
          </w:tcPr>
          <w:p>
            <w:pPr>
              <w:pStyle w:val="13"/>
            </w:pPr>
            <w:r>
              <w:t>5.00</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金融小镇及基金招商运营管理费</w:t>
            </w:r>
          </w:p>
        </w:tc>
        <w:tc>
          <w:tcPr>
            <w:tcW w:w="964" w:type="dxa"/>
            <w:vAlign w:val="center"/>
          </w:tcPr>
          <w:p>
            <w:pPr>
              <w:pStyle w:val="13"/>
            </w:pPr>
            <w:r>
              <w:t>330.00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280.00</w:t>
            </w:r>
          </w:p>
        </w:tc>
        <w:tc>
          <w:tcPr>
            <w:tcW w:w="964" w:type="dxa"/>
            <w:vAlign w:val="center"/>
          </w:tcPr>
          <w:p>
            <w:pPr>
              <w:pStyle w:val="13"/>
            </w:pPr>
            <w:r>
              <w:t>280.00</w:t>
            </w:r>
          </w:p>
        </w:tc>
        <w:tc>
          <w:tcPr>
            <w:tcW w:w="964" w:type="dxa"/>
            <w:vAlign w:val="center"/>
          </w:tcPr>
          <w:p>
            <w:pPr>
              <w:pStyle w:val="13"/>
            </w:pPr>
            <w:r>
              <w:t>280.00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秦财预[2022]647--2023年边境地区转移支付资金</w:t>
            </w:r>
          </w:p>
        </w:tc>
        <w:tc>
          <w:tcPr>
            <w:tcW w:w="964" w:type="dxa"/>
            <w:vAlign w:val="center"/>
          </w:tcPr>
          <w:p>
            <w:pPr>
              <w:pStyle w:val="13"/>
            </w:pPr>
            <w:r>
              <w:t>117.00</w:t>
            </w:r>
          </w:p>
        </w:tc>
        <w:tc>
          <w:tcPr>
            <w:tcW w:w="1134" w:type="dxa"/>
            <w:vAlign w:val="center"/>
          </w:tcPr>
          <w:p>
            <w:pPr>
              <w:pStyle w:val="14"/>
            </w:pPr>
            <w:r>
              <w:t>公路工程施工</w:t>
            </w:r>
          </w:p>
        </w:tc>
        <w:tc>
          <w:tcPr>
            <w:tcW w:w="1134" w:type="dxa"/>
            <w:vAlign w:val="center"/>
          </w:tcPr>
          <w:p>
            <w:pPr>
              <w:pStyle w:val="14"/>
            </w:pPr>
            <w:r>
              <w:t>B02020000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117.00</w:t>
            </w:r>
          </w:p>
        </w:tc>
        <w:tc>
          <w:tcPr>
            <w:tcW w:w="964" w:type="dxa"/>
            <w:vAlign w:val="center"/>
          </w:tcPr>
          <w:p>
            <w:pPr>
              <w:pStyle w:val="13"/>
            </w:pPr>
            <w:r>
              <w:t>117.00</w:t>
            </w:r>
          </w:p>
        </w:tc>
        <w:tc>
          <w:tcPr>
            <w:tcW w:w="964" w:type="dxa"/>
            <w:vAlign w:val="center"/>
          </w:tcPr>
          <w:p>
            <w:pPr>
              <w:pStyle w:val="13"/>
            </w:pPr>
            <w:r>
              <w:t>117.00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秦财预[2022]648--2023年革命老区转移支付资金</w:t>
            </w:r>
          </w:p>
        </w:tc>
        <w:tc>
          <w:tcPr>
            <w:tcW w:w="964" w:type="dxa"/>
            <w:vAlign w:val="center"/>
          </w:tcPr>
          <w:p>
            <w:pPr>
              <w:pStyle w:val="13"/>
            </w:pPr>
            <w:r>
              <w:t>201.00</w:t>
            </w:r>
          </w:p>
        </w:tc>
        <w:tc>
          <w:tcPr>
            <w:tcW w:w="1134" w:type="dxa"/>
            <w:vAlign w:val="center"/>
          </w:tcPr>
          <w:p>
            <w:pPr>
              <w:pStyle w:val="14"/>
            </w:pPr>
            <w:r>
              <w:t>公路工程施工</w:t>
            </w:r>
          </w:p>
        </w:tc>
        <w:tc>
          <w:tcPr>
            <w:tcW w:w="1134" w:type="dxa"/>
            <w:vAlign w:val="center"/>
          </w:tcPr>
          <w:p>
            <w:pPr>
              <w:pStyle w:val="14"/>
            </w:pPr>
            <w:r>
              <w:t>B02020000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201.00</w:t>
            </w:r>
          </w:p>
        </w:tc>
        <w:tc>
          <w:tcPr>
            <w:tcW w:w="964" w:type="dxa"/>
            <w:vAlign w:val="center"/>
          </w:tcPr>
          <w:p>
            <w:pPr>
              <w:pStyle w:val="13"/>
            </w:pPr>
            <w:r>
              <w:t>201.00</w:t>
            </w:r>
          </w:p>
        </w:tc>
        <w:tc>
          <w:tcPr>
            <w:tcW w:w="964" w:type="dxa"/>
            <w:vAlign w:val="center"/>
          </w:tcPr>
          <w:p>
            <w:pPr>
              <w:pStyle w:val="13"/>
            </w:pPr>
            <w:r>
              <w:t>201.00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预算评审、绩效管理及监督检查等经费</w:t>
            </w:r>
          </w:p>
        </w:tc>
        <w:tc>
          <w:tcPr>
            <w:tcW w:w="964" w:type="dxa"/>
            <w:vAlign w:val="center"/>
          </w:tcPr>
          <w:p>
            <w:pPr>
              <w:pStyle w:val="13"/>
            </w:pPr>
            <w:r>
              <w:t>450.00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10</w:t>
            </w:r>
          </w:p>
        </w:tc>
        <w:tc>
          <w:tcPr>
            <w:tcW w:w="850" w:type="dxa"/>
            <w:vAlign w:val="center"/>
          </w:tcPr>
          <w:p>
            <w:pPr>
              <w:pStyle w:val="13"/>
            </w:pPr>
            <w:r>
              <w:t>45.00</w:t>
            </w:r>
          </w:p>
        </w:tc>
        <w:tc>
          <w:tcPr>
            <w:tcW w:w="964" w:type="dxa"/>
            <w:vAlign w:val="center"/>
          </w:tcPr>
          <w:p>
            <w:pPr>
              <w:pStyle w:val="13"/>
            </w:pPr>
            <w:r>
              <w:t>450.00</w:t>
            </w:r>
          </w:p>
        </w:tc>
        <w:tc>
          <w:tcPr>
            <w:tcW w:w="964" w:type="dxa"/>
            <w:vAlign w:val="center"/>
          </w:tcPr>
          <w:p>
            <w:pPr>
              <w:pStyle w:val="13"/>
            </w:pPr>
            <w:r>
              <w:t>450.00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bookmarkStart w:id="13" w:name="_Toc_3_3_0000000016"/>
      <w:r>
        <w:rPr>
          <w:rFonts w:ascii="黑体" w:hAnsi="黑体" w:eastAsia="黑体" w:cs="黑体"/>
          <w:color w:val="auto"/>
          <w:sz w:val="32"/>
        </w:rPr>
        <w:t>七、国有资产信息</w:t>
      </w:r>
      <w:bookmarkEnd w:id="13"/>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秦皇岛北戴河新区财政局（含所属单位）上年末固定资产金额为</w:t>
      </w:r>
      <w:r>
        <w:rPr>
          <w:rFonts w:hint="eastAsia" w:eastAsia="方正仿宋_GBK" w:cs="Times New Roman"/>
          <w:b w:val="0"/>
          <w:color w:val="auto"/>
          <w:sz w:val="28"/>
          <w:lang w:val="en-US" w:eastAsia="zh-CN"/>
        </w:rPr>
        <w:t>145.91</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318.96</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318秦皇岛北戴河新区财政局</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ind w:firstLine="0" w:firstLineChars="0"/>
              <w:jc w:val="left"/>
              <w:rPr>
                <w:rFonts w:hint="eastAsia"/>
                <w:color w:val="auto"/>
                <w:lang w:val="en-US" w:eastAsia="zh-CN"/>
              </w:rPr>
            </w:pPr>
            <w:bookmarkStart w:id="16" w:name="_GoBack"/>
            <w:r>
              <w:rPr>
                <w:rFonts w:hint="eastAsia"/>
                <w:color w:val="auto"/>
                <w:lang w:val="en-US" w:eastAsia="zh-CN"/>
              </w:rPr>
              <w:t>合计</w:t>
            </w:r>
            <w:bookmarkEnd w:id="16"/>
          </w:p>
        </w:tc>
        <w:tc>
          <w:tcPr>
            <w:tcW w:w="4933" w:type="dxa"/>
            <w:vAlign w:val="center"/>
          </w:tcPr>
          <w:p>
            <w:pPr>
              <w:pStyle w:val="13"/>
              <w:ind w:firstLine="0" w:firstLineChars="0"/>
              <w:rPr>
                <w:rFonts w:hint="eastAsia"/>
                <w:color w:val="auto"/>
                <w:lang w:val="en-US" w:eastAsia="zh-CN"/>
              </w:rPr>
            </w:pPr>
          </w:p>
        </w:tc>
        <w:tc>
          <w:tcPr>
            <w:tcW w:w="4933" w:type="dxa"/>
            <w:vAlign w:val="center"/>
          </w:tcPr>
          <w:p>
            <w:pPr>
              <w:pStyle w:val="13"/>
              <w:ind w:firstLine="0" w:firstLineChars="0"/>
              <w:rPr>
                <w:rFonts w:hint="eastAsia"/>
                <w:color w:val="auto"/>
                <w:lang w:val="en-US" w:eastAsia="zh-CN"/>
              </w:rPr>
            </w:pPr>
            <w:r>
              <w:rPr>
                <w:rFonts w:hint="eastAsia"/>
                <w:color w:val="auto"/>
                <w:lang w:val="en-US" w:eastAsia="zh-CN"/>
              </w:rPr>
              <w:t>145.91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通用设备</w:t>
            </w:r>
          </w:p>
        </w:tc>
        <w:tc>
          <w:tcPr>
            <w:tcW w:w="4933" w:type="dxa"/>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143</w:t>
            </w:r>
          </w:p>
        </w:tc>
        <w:tc>
          <w:tcPr>
            <w:tcW w:w="4933" w:type="dxa"/>
            <w:vAlign w:val="center"/>
          </w:tcPr>
          <w:p>
            <w:pPr>
              <w:pStyle w:val="13"/>
              <w:ind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val="en-US" w:eastAsia="zh-CN"/>
              </w:rPr>
              <w:t>123.89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家具、用具、装具及动植物</w:t>
            </w:r>
          </w:p>
        </w:tc>
        <w:tc>
          <w:tcPr>
            <w:tcW w:w="0" w:type="auto"/>
            <w:vAlign w:val="center"/>
          </w:tcPr>
          <w:p>
            <w:pPr>
              <w:pStyle w:val="15"/>
              <w:ind w:firstLine="0" w:firstLineChars="0"/>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265</w:t>
            </w:r>
          </w:p>
        </w:tc>
        <w:tc>
          <w:tcPr>
            <w:tcW w:w="0" w:type="auto"/>
            <w:vAlign w:val="center"/>
          </w:tcPr>
          <w:p>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22.02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240" w:lineRule="auto"/>
        <w:ind w:firstLine="0"/>
        <w:jc w:val="left"/>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2AB2"/>
    <w:rsid w:val="02983FE2"/>
    <w:rsid w:val="11802D90"/>
    <w:rsid w:val="1ECF5D9F"/>
    <w:rsid w:val="1EE12809"/>
    <w:rsid w:val="3B966C1C"/>
    <w:rsid w:val="48FD112C"/>
    <w:rsid w:val="568A137F"/>
    <w:rsid w:val="5FEA2ED1"/>
    <w:rsid w:val="65AD7FD1"/>
    <w:rsid w:val="6C7E4DED"/>
    <w:rsid w:val="75AF0DE1"/>
    <w:rsid w:val="77C65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2023-03-10T09:27:28Z</dcterms:created>
  <dcterms:modified xsi:type="dcterms:W3CDTF">2023-03-10T01:27:28Z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2023-03-10T09:27:38Z</dcterms:created>
  <dcterms:modified xsi:type="dcterms:W3CDTF">2023-03-10T01:27:38Z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2023-03-10T09:27:36Z</dcterms:created>
  <dcterms:modified xsi:type="dcterms:W3CDTF">2023-03-10T01:27:35Z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2023-03-10T09:27:30Z</dcterms:created>
  <dcterms:modified xsi:type="dcterms:W3CDTF">2023-03-10T01:27:30Z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2023-03-10T09:27:32Z</dcterms:created>
  <dcterms:modified xsi:type="dcterms:W3CDTF">2023-03-10T01:27:32Z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2023-03-10T09:27:32Z</dcterms:created>
  <dcterms:modified xsi:type="dcterms:W3CDTF">2023-03-10T01:27:32Z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2023-03-10T09:27:32Z</dcterms:created>
  <dcterms:modified xsi:type="dcterms:W3CDTF">2023-03-10T01:27:32Z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2023-03-10T09:27:32Z</dcterms:created>
  <dcterms:modified xsi:type="dcterms:W3CDTF">2023-03-10T01:27:32Z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2023-03-10T09:27:31Z</dcterms:created>
  <dcterms:modified xsi:type="dcterms:W3CDTF">2023-03-10T01:27:31Z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2023-03-10T09:27:39Z</dcterms:created>
  <dcterms:modified xsi:type="dcterms:W3CDTF">2023-03-10T01:27:39Z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1493b5-3453-4b7b-a00e-204614df13f4}">
  <ds:schemaRefs/>
</ds:datastoreItem>
</file>

<file path=customXml/itemProps11.xml><?xml version="1.0" encoding="utf-8"?>
<ds:datastoreItem xmlns:ds="http://schemas.openxmlformats.org/officeDocument/2006/customXml" ds:itemID="{3740550d-9951-4827-9b04-8e177b3b22be}">
  <ds:schemaRefs/>
</ds:datastoreItem>
</file>

<file path=customXml/itemProps12.xml><?xml version="1.0" encoding="utf-8"?>
<ds:datastoreItem xmlns:ds="http://schemas.openxmlformats.org/officeDocument/2006/customXml" ds:itemID="{03463b11-e06d-473e-b02a-8ff1e3e0c1db}">
  <ds:schemaRefs/>
</ds:datastoreItem>
</file>

<file path=customXml/itemProps13.xml><?xml version="1.0" encoding="utf-8"?>
<ds:datastoreItem xmlns:ds="http://schemas.openxmlformats.org/officeDocument/2006/customXml" ds:itemID="{4f612ef3-f5db-4a4d-8c0a-ea2d7c785704}">
  <ds:schemaRefs/>
</ds:datastoreItem>
</file>

<file path=customXml/itemProps14.xml><?xml version="1.0" encoding="utf-8"?>
<ds:datastoreItem xmlns:ds="http://schemas.openxmlformats.org/officeDocument/2006/customXml" ds:itemID="{6c3653cb-d269-46d6-b38c-8a4bcd9df468}">
  <ds:schemaRefs/>
</ds:datastoreItem>
</file>

<file path=customXml/itemProps15.xml><?xml version="1.0" encoding="utf-8"?>
<ds:datastoreItem xmlns:ds="http://schemas.openxmlformats.org/officeDocument/2006/customXml" ds:itemID="{cfc5f4ad-fc26-4247-bca6-faf736b9acae}">
  <ds:schemaRefs/>
</ds:datastoreItem>
</file>

<file path=customXml/itemProps16.xml><?xml version="1.0" encoding="utf-8"?>
<ds:datastoreItem xmlns:ds="http://schemas.openxmlformats.org/officeDocument/2006/customXml" ds:itemID="{520c9a16-1593-47fc-a613-9881c5b57623}">
  <ds:schemaRefs/>
</ds:datastoreItem>
</file>

<file path=customXml/itemProps17.xml><?xml version="1.0" encoding="utf-8"?>
<ds:datastoreItem xmlns:ds="http://schemas.openxmlformats.org/officeDocument/2006/customXml" ds:itemID="{56d234d3-3191-4f5a-bec5-b416f5f95beb}">
  <ds:schemaRefs/>
</ds:datastoreItem>
</file>

<file path=customXml/itemProps18.xml><?xml version="1.0" encoding="utf-8"?>
<ds:datastoreItem xmlns:ds="http://schemas.openxmlformats.org/officeDocument/2006/customXml" ds:itemID="{122590c4-e400-4ef0-b080-32b3b8aa972e}">
  <ds:schemaRefs/>
</ds:datastoreItem>
</file>

<file path=customXml/itemProps19.xml><?xml version="1.0" encoding="utf-8"?>
<ds:datastoreItem xmlns:ds="http://schemas.openxmlformats.org/officeDocument/2006/customXml" ds:itemID="{14fc124d-e0c9-485f-ba2b-1c318e6e11f2}">
  <ds:schemaRefs/>
</ds:datastoreItem>
</file>

<file path=customXml/itemProps2.xml><?xml version="1.0" encoding="utf-8"?>
<ds:datastoreItem xmlns:ds="http://schemas.openxmlformats.org/officeDocument/2006/customXml" ds:itemID="{fe6f09f3-78de-42cf-9675-805a2768cd95}">
  <ds:schemaRefs/>
</ds:datastoreItem>
</file>

<file path=customXml/itemProps20.xml><?xml version="1.0" encoding="utf-8"?>
<ds:datastoreItem xmlns:ds="http://schemas.openxmlformats.org/officeDocument/2006/customXml" ds:itemID="{1cc84ae8-edbe-43a2-95a7-693b4edaf3b1}">
  <ds:schemaRefs/>
</ds:datastoreItem>
</file>

<file path=customXml/itemProps21.xml><?xml version="1.0" encoding="utf-8"?>
<ds:datastoreItem xmlns:ds="http://schemas.openxmlformats.org/officeDocument/2006/customXml" ds:itemID="{833d0eaa-a059-403d-b751-2f4393a5792e}">
  <ds:schemaRefs/>
</ds:datastoreItem>
</file>

<file path=customXml/itemProps22.xml><?xml version="1.0" encoding="utf-8"?>
<ds:datastoreItem xmlns:ds="http://schemas.openxmlformats.org/officeDocument/2006/customXml" ds:itemID="{e5efd064-7142-451d-a652-c684f56251b7}">
  <ds:schemaRefs/>
</ds:datastoreItem>
</file>

<file path=customXml/itemProps23.xml><?xml version="1.0" encoding="utf-8"?>
<ds:datastoreItem xmlns:ds="http://schemas.openxmlformats.org/officeDocument/2006/customXml" ds:itemID="{d0210444-3958-40a4-8062-2c72569d3fbd}">
  <ds:schemaRefs/>
</ds:datastoreItem>
</file>

<file path=customXml/itemProps24.xml><?xml version="1.0" encoding="utf-8"?>
<ds:datastoreItem xmlns:ds="http://schemas.openxmlformats.org/officeDocument/2006/customXml" ds:itemID="{5efd64e6-a088-4fd5-9638-4fa47a9da54c}">
  <ds:schemaRefs/>
</ds:datastoreItem>
</file>

<file path=customXml/itemProps25.xml><?xml version="1.0" encoding="utf-8"?>
<ds:datastoreItem xmlns:ds="http://schemas.openxmlformats.org/officeDocument/2006/customXml" ds:itemID="{cc9bd4e0-c8eb-459b-9c5f-62a2fc3c1d3c}">
  <ds:schemaRefs/>
</ds:datastoreItem>
</file>

<file path=customXml/itemProps26.xml><?xml version="1.0" encoding="utf-8"?>
<ds:datastoreItem xmlns:ds="http://schemas.openxmlformats.org/officeDocument/2006/customXml" ds:itemID="{e57c5c35-1e0e-450a-8371-1db25e0762be}">
  <ds:schemaRefs/>
</ds:datastoreItem>
</file>

<file path=customXml/itemProps27.xml><?xml version="1.0" encoding="utf-8"?>
<ds:datastoreItem xmlns:ds="http://schemas.openxmlformats.org/officeDocument/2006/customXml" ds:itemID="{db641026-163b-4bca-8f0e-386594d88f84}">
  <ds:schemaRefs/>
</ds:datastoreItem>
</file>

<file path=customXml/itemProps28.xml><?xml version="1.0" encoding="utf-8"?>
<ds:datastoreItem xmlns:ds="http://schemas.openxmlformats.org/officeDocument/2006/customXml" ds:itemID="{9602e719-340d-4b01-bc2b-5b63463118e0}">
  <ds:schemaRefs/>
</ds:datastoreItem>
</file>

<file path=customXml/itemProps29.xml><?xml version="1.0" encoding="utf-8"?>
<ds:datastoreItem xmlns:ds="http://schemas.openxmlformats.org/officeDocument/2006/customXml" ds:itemID="{db21f05b-b7ae-462a-aa8d-2622fc4e6d53}">
  <ds:schemaRefs/>
</ds:datastoreItem>
</file>

<file path=customXml/itemProps3.xml><?xml version="1.0" encoding="utf-8"?>
<ds:datastoreItem xmlns:ds="http://schemas.openxmlformats.org/officeDocument/2006/customXml" ds:itemID="{eac95b22-1966-4d99-8c56-d391cbe6fc22}">
  <ds:schemaRefs/>
</ds:datastoreItem>
</file>

<file path=customXml/itemProps30.xml><?xml version="1.0" encoding="utf-8"?>
<ds:datastoreItem xmlns:ds="http://schemas.openxmlformats.org/officeDocument/2006/customXml" ds:itemID="{e56812fb-0e5f-4358-a497-1f9d1e713b54}">
  <ds:schemaRefs/>
</ds:datastoreItem>
</file>

<file path=customXml/itemProps31.xml><?xml version="1.0" encoding="utf-8"?>
<ds:datastoreItem xmlns:ds="http://schemas.openxmlformats.org/officeDocument/2006/customXml" ds:itemID="{053388bd-c700-45d2-b21e-79aa0bebb9b4}">
  <ds:schemaRefs/>
</ds:datastoreItem>
</file>

<file path=customXml/itemProps32.xml><?xml version="1.0" encoding="utf-8"?>
<ds:datastoreItem xmlns:ds="http://schemas.openxmlformats.org/officeDocument/2006/customXml" ds:itemID="{8814fad5-73b5-473a-9adc-f0368ae05a9a}">
  <ds:schemaRefs/>
</ds:datastoreItem>
</file>

<file path=customXml/itemProps33.xml><?xml version="1.0" encoding="utf-8"?>
<ds:datastoreItem xmlns:ds="http://schemas.openxmlformats.org/officeDocument/2006/customXml" ds:itemID="{57b957b9-ffda-4cb4-8edc-7fd985ec92e4}">
  <ds:schemaRefs/>
</ds:datastoreItem>
</file>

<file path=customXml/itemProps34.xml><?xml version="1.0" encoding="utf-8"?>
<ds:datastoreItem xmlns:ds="http://schemas.openxmlformats.org/officeDocument/2006/customXml" ds:itemID="{8cabe410-c6cc-4402-b9ed-05d894021979}">
  <ds:schemaRefs/>
</ds:datastoreItem>
</file>

<file path=customXml/itemProps35.xml><?xml version="1.0" encoding="utf-8"?>
<ds:datastoreItem xmlns:ds="http://schemas.openxmlformats.org/officeDocument/2006/customXml" ds:itemID="{d5c4c584-351b-4a66-9ce1-f4242632e10e}">
  <ds:schemaRefs/>
</ds:datastoreItem>
</file>

<file path=customXml/itemProps36.xml><?xml version="1.0" encoding="utf-8"?>
<ds:datastoreItem xmlns:ds="http://schemas.openxmlformats.org/officeDocument/2006/customXml" ds:itemID="{52ba5f46-df41-449f-9f16-d5161e1e7ca7}">
  <ds:schemaRefs/>
</ds:datastoreItem>
</file>

<file path=customXml/itemProps37.xml><?xml version="1.0" encoding="utf-8"?>
<ds:datastoreItem xmlns:ds="http://schemas.openxmlformats.org/officeDocument/2006/customXml" ds:itemID="{8814ddc8-a63f-4c84-be27-dba586391138}">
  <ds:schemaRefs/>
</ds:datastoreItem>
</file>

<file path=customXml/itemProps38.xml><?xml version="1.0" encoding="utf-8"?>
<ds:datastoreItem xmlns:ds="http://schemas.openxmlformats.org/officeDocument/2006/customXml" ds:itemID="{af09c92c-1914-430a-9c3a-4711692a369b}">
  <ds:schemaRefs/>
</ds:datastoreItem>
</file>

<file path=customXml/itemProps39.xml><?xml version="1.0" encoding="utf-8"?>
<ds:datastoreItem xmlns:ds="http://schemas.openxmlformats.org/officeDocument/2006/customXml" ds:itemID="{1618f236-4e54-463d-958d-515041340238}">
  <ds:schemaRefs/>
</ds:datastoreItem>
</file>

<file path=customXml/itemProps4.xml><?xml version="1.0" encoding="utf-8"?>
<ds:datastoreItem xmlns:ds="http://schemas.openxmlformats.org/officeDocument/2006/customXml" ds:itemID="{7d9d6451-2a89-4c97-b093-bbf6966d72b9}">
  <ds:schemaRefs/>
</ds:datastoreItem>
</file>

<file path=customXml/itemProps40.xml><?xml version="1.0" encoding="utf-8"?>
<ds:datastoreItem xmlns:ds="http://schemas.openxmlformats.org/officeDocument/2006/customXml" ds:itemID="{09efda42-3c98-4b3d-a10f-7ca0f88be5c0}">
  <ds:schemaRefs/>
</ds:datastoreItem>
</file>

<file path=customXml/itemProps41.xml><?xml version="1.0" encoding="utf-8"?>
<ds:datastoreItem xmlns:ds="http://schemas.openxmlformats.org/officeDocument/2006/customXml" ds:itemID="{d1f2c8cc-d5e9-407f-877b-5ba477f73e48}">
  <ds:schemaRefs/>
</ds:datastoreItem>
</file>

<file path=customXml/itemProps42.xml><?xml version="1.0" encoding="utf-8"?>
<ds:datastoreItem xmlns:ds="http://schemas.openxmlformats.org/officeDocument/2006/customXml" ds:itemID="{81b6faef-fcf6-492f-ab9b-decbc89a234c}">
  <ds:schemaRefs/>
</ds:datastoreItem>
</file>

<file path=customXml/itemProps43.xml><?xml version="1.0" encoding="utf-8"?>
<ds:datastoreItem xmlns:ds="http://schemas.openxmlformats.org/officeDocument/2006/customXml" ds:itemID="{8934bac5-797a-405a-bbcf-bbb8c46200ff}">
  <ds:schemaRefs/>
</ds:datastoreItem>
</file>

<file path=customXml/itemProps44.xml><?xml version="1.0" encoding="utf-8"?>
<ds:datastoreItem xmlns:ds="http://schemas.openxmlformats.org/officeDocument/2006/customXml" ds:itemID="{2fb780f1-7d35-4471-86bf-99018286047b}">
  <ds:schemaRefs/>
</ds:datastoreItem>
</file>

<file path=customXml/itemProps45.xml><?xml version="1.0" encoding="utf-8"?>
<ds:datastoreItem xmlns:ds="http://schemas.openxmlformats.org/officeDocument/2006/customXml" ds:itemID="{0009cf55-9880-4065-8893-b6a0291f4a0f}">
  <ds:schemaRefs/>
</ds:datastoreItem>
</file>

<file path=customXml/itemProps46.xml><?xml version="1.0" encoding="utf-8"?>
<ds:datastoreItem xmlns:ds="http://schemas.openxmlformats.org/officeDocument/2006/customXml" ds:itemID="{85f65215-3b5f-4541-bdb6-a349b31b9aa0}">
  <ds:schemaRefs/>
</ds:datastoreItem>
</file>

<file path=customXml/itemProps47.xml><?xml version="1.0" encoding="utf-8"?>
<ds:datastoreItem xmlns:ds="http://schemas.openxmlformats.org/officeDocument/2006/customXml" ds:itemID="{68985a96-6f7e-437e-9e72-57a5f3142c39}">
  <ds:schemaRefs/>
</ds:datastoreItem>
</file>

<file path=customXml/itemProps48.xml><?xml version="1.0" encoding="utf-8"?>
<ds:datastoreItem xmlns:ds="http://schemas.openxmlformats.org/officeDocument/2006/customXml" ds:itemID="{3da289b1-e1ac-4785-bc43-88d55357f6e1}">
  <ds:schemaRefs/>
</ds:datastoreItem>
</file>

<file path=customXml/itemProps49.xml><?xml version="1.0" encoding="utf-8"?>
<ds:datastoreItem xmlns:ds="http://schemas.openxmlformats.org/officeDocument/2006/customXml" ds:itemID="{792593d1-887c-496f-b8ec-a5a662f6a625}">
  <ds:schemaRefs/>
</ds:datastoreItem>
</file>

<file path=customXml/itemProps5.xml><?xml version="1.0" encoding="utf-8"?>
<ds:datastoreItem xmlns:ds="http://schemas.openxmlformats.org/officeDocument/2006/customXml" ds:itemID="{102f964c-61c8-45df-ae36-a58f0faaee71}">
  <ds:schemaRefs/>
</ds:datastoreItem>
</file>

<file path=customXml/itemProps50.xml><?xml version="1.0" encoding="utf-8"?>
<ds:datastoreItem xmlns:ds="http://schemas.openxmlformats.org/officeDocument/2006/customXml" ds:itemID="{37c191a3-6dd0-4552-8e6e-21df2eb2c2a2}">
  <ds:schemaRefs/>
</ds:datastoreItem>
</file>

<file path=customXml/itemProps51.xml><?xml version="1.0" encoding="utf-8"?>
<ds:datastoreItem xmlns:ds="http://schemas.openxmlformats.org/officeDocument/2006/customXml" ds:itemID="{dcbd210e-5863-4feb-8c7f-010c18bd568b}">
  <ds:schemaRefs/>
</ds:datastoreItem>
</file>

<file path=customXml/itemProps52.xml><?xml version="1.0" encoding="utf-8"?>
<ds:datastoreItem xmlns:ds="http://schemas.openxmlformats.org/officeDocument/2006/customXml" ds:itemID="{4b5760f5-0e6b-4cf1-b485-dcc10befb799}">
  <ds:schemaRefs/>
</ds:datastoreItem>
</file>

<file path=customXml/itemProps53.xml><?xml version="1.0" encoding="utf-8"?>
<ds:datastoreItem xmlns:ds="http://schemas.openxmlformats.org/officeDocument/2006/customXml" ds:itemID="{937081fb-ce81-463c-86df-2a6f77689f18}">
  <ds:schemaRefs/>
</ds:datastoreItem>
</file>

<file path=customXml/itemProps54.xml><?xml version="1.0" encoding="utf-8"?>
<ds:datastoreItem xmlns:ds="http://schemas.openxmlformats.org/officeDocument/2006/customXml" ds:itemID="{43888dea-82c3-4c18-a43b-3ece73b57e58}">
  <ds:schemaRefs/>
</ds:datastoreItem>
</file>

<file path=customXml/itemProps55.xml><?xml version="1.0" encoding="utf-8"?>
<ds:datastoreItem xmlns:ds="http://schemas.openxmlformats.org/officeDocument/2006/customXml" ds:itemID="{1ea1cc1a-e028-493a-874e-73ea01f22159}">
  <ds:schemaRefs/>
</ds:datastoreItem>
</file>

<file path=customXml/itemProps56.xml><?xml version="1.0" encoding="utf-8"?>
<ds:datastoreItem xmlns:ds="http://schemas.openxmlformats.org/officeDocument/2006/customXml" ds:itemID="{d99e55e2-88f0-43c1-8da2-ac0b0fa6720f}">
  <ds:schemaRefs/>
</ds:datastoreItem>
</file>

<file path=customXml/itemProps57.xml><?xml version="1.0" encoding="utf-8"?>
<ds:datastoreItem xmlns:ds="http://schemas.openxmlformats.org/officeDocument/2006/customXml" ds:itemID="{e1436ac2-7325-4a48-a0e3-381f49792074}">
  <ds:schemaRefs/>
</ds:datastoreItem>
</file>

<file path=customXml/itemProps58.xml><?xml version="1.0" encoding="utf-8"?>
<ds:datastoreItem xmlns:ds="http://schemas.openxmlformats.org/officeDocument/2006/customXml" ds:itemID="{ba3c07bd-2032-44b3-a467-d6cdf5fd88e3}">
  <ds:schemaRefs/>
</ds:datastoreItem>
</file>

<file path=customXml/itemProps59.xml><?xml version="1.0" encoding="utf-8"?>
<ds:datastoreItem xmlns:ds="http://schemas.openxmlformats.org/officeDocument/2006/customXml" ds:itemID="{2c05c8ac-0040-4b26-8724-751805184bc4}">
  <ds:schemaRefs/>
</ds:datastoreItem>
</file>

<file path=customXml/itemProps6.xml><?xml version="1.0" encoding="utf-8"?>
<ds:datastoreItem xmlns:ds="http://schemas.openxmlformats.org/officeDocument/2006/customXml" ds:itemID="{28c6d296-ae6d-4ee8-94c9-ec25aeeedafe}">
  <ds:schemaRefs/>
</ds:datastoreItem>
</file>

<file path=customXml/itemProps7.xml><?xml version="1.0" encoding="utf-8"?>
<ds:datastoreItem xmlns:ds="http://schemas.openxmlformats.org/officeDocument/2006/customXml" ds:itemID="{5d437270-1901-428e-8b38-7383a58a4a95}">
  <ds:schemaRefs/>
</ds:datastoreItem>
</file>

<file path=customXml/itemProps8.xml><?xml version="1.0" encoding="utf-8"?>
<ds:datastoreItem xmlns:ds="http://schemas.openxmlformats.org/officeDocument/2006/customXml" ds:itemID="{a0a141e1-e79e-4809-a75c-8d01471537c0}">
  <ds:schemaRefs/>
</ds:datastoreItem>
</file>

<file path=customXml/itemProps9.xml><?xml version="1.0" encoding="utf-8"?>
<ds:datastoreItem xmlns:ds="http://schemas.openxmlformats.org/officeDocument/2006/customXml" ds:itemID="{f6ca263c-0fce-4b68-900e-3a723e29c11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2023-03-10T09:27:00Z</dcterms:created>
  <dc:creator>Administrator</dc:creator>
  <cp:lastModifiedBy>Alexa</cp:lastModifiedBy>
  <dcterms:modified xsi:type="dcterms:W3CDTF">2023-08-18T01:47:52Z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