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p>
    <w:p>
      <w:pPr>
        <w:spacing w:before="0" w:after="0" w:line="240" w:lineRule="auto"/>
        <w:ind w:firstLine="0"/>
        <w:jc w:val="center"/>
        <w:outlineLvl w:val="9"/>
        <w:rPr>
          <w:rFonts w:ascii="黑体" w:hAnsi="黑体" w:eastAsia="黑体" w:cs="黑体"/>
          <w:b/>
          <w:color w:val="000000"/>
          <w:sz w:val="30"/>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313中共秦皇岛北戴河新区工委政法委员会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3"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879.47</w:t>
            </w:r>
          </w:p>
        </w:tc>
        <w:tc>
          <w:tcPr>
            <w:tcW w:w="4535" w:type="dxa"/>
            <w:vAlign w:val="center"/>
          </w:tcPr>
          <w:p>
            <w:pPr>
              <w:pStyle w:val="14"/>
            </w:pPr>
            <w:r>
              <w:t>一、一般公共服务支出</w:t>
            </w:r>
          </w:p>
        </w:tc>
        <w:tc>
          <w:tcPr>
            <w:tcW w:w="2126"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648.21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879.47</w:t>
            </w:r>
          </w:p>
        </w:tc>
        <w:tc>
          <w:tcPr>
            <w:tcW w:w="4535" w:type="dxa"/>
            <w:vAlign w:val="center"/>
          </w:tcPr>
          <w:p>
            <w:pPr>
              <w:pStyle w:val="16"/>
            </w:pPr>
            <w:r>
              <w:t>本年支出合计</w:t>
            </w:r>
          </w:p>
        </w:tc>
        <w:tc>
          <w:tcPr>
            <w:tcW w:w="2126" w:type="dxa"/>
            <w:vAlign w:val="center"/>
          </w:tcPr>
          <w:p>
            <w:pPr>
              <w:pStyle w:val="17"/>
            </w:pPr>
            <w:r>
              <w:t>879.47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879.47</w:t>
            </w:r>
          </w:p>
        </w:tc>
        <w:tc>
          <w:tcPr>
            <w:tcW w:w="4535" w:type="dxa"/>
            <w:vAlign w:val="center"/>
          </w:tcPr>
          <w:p>
            <w:pPr>
              <w:pStyle w:val="16"/>
            </w:pPr>
            <w:r>
              <w:t>支出总计</w:t>
            </w:r>
          </w:p>
        </w:tc>
        <w:tc>
          <w:tcPr>
            <w:tcW w:w="2126" w:type="dxa"/>
            <w:vAlign w:val="center"/>
          </w:tcPr>
          <w:p>
            <w:pPr>
              <w:pStyle w:val="17"/>
            </w:pPr>
            <w:r>
              <w:t>879.47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313中共秦皇岛北戴河新区工委政法委员会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879.47</w:t>
            </w:r>
          </w:p>
        </w:tc>
        <w:tc>
          <w:tcPr>
            <w:tcW w:w="1134" w:type="dxa"/>
            <w:vAlign w:val="center"/>
          </w:tcPr>
          <w:p>
            <w:pPr>
              <w:pStyle w:val="17"/>
            </w:pPr>
            <w:r>
              <w:t>879.47</w:t>
            </w:r>
          </w:p>
        </w:tc>
        <w:tc>
          <w:tcPr>
            <w:tcW w:w="1134" w:type="dxa"/>
            <w:vAlign w:val="center"/>
          </w:tcPr>
          <w:p>
            <w:pPr>
              <w:pStyle w:val="17"/>
            </w:pPr>
            <w:r>
              <w:t>879.47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648.21</w:t>
            </w:r>
          </w:p>
        </w:tc>
        <w:tc>
          <w:tcPr>
            <w:tcW w:w="1134" w:type="dxa"/>
            <w:vAlign w:val="center"/>
          </w:tcPr>
          <w:p>
            <w:pPr>
              <w:pStyle w:val="13"/>
            </w:pPr>
            <w:r>
              <w:t>648.21</w:t>
            </w:r>
          </w:p>
        </w:tc>
        <w:tc>
          <w:tcPr>
            <w:tcW w:w="1134" w:type="dxa"/>
            <w:vAlign w:val="center"/>
          </w:tcPr>
          <w:p>
            <w:pPr>
              <w:pStyle w:val="13"/>
            </w:pPr>
            <w:r>
              <w:t>648.21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179.00</w:t>
            </w:r>
          </w:p>
        </w:tc>
        <w:tc>
          <w:tcPr>
            <w:tcW w:w="1134" w:type="dxa"/>
            <w:vAlign w:val="center"/>
          </w:tcPr>
          <w:p>
            <w:pPr>
              <w:pStyle w:val="13"/>
            </w:pPr>
            <w:r>
              <w:t>179.00</w:t>
            </w:r>
          </w:p>
        </w:tc>
        <w:tc>
          <w:tcPr>
            <w:tcW w:w="1134" w:type="dxa"/>
            <w:vAlign w:val="center"/>
          </w:tcPr>
          <w:p>
            <w:pPr>
              <w:pStyle w:val="13"/>
            </w:pPr>
            <w:r>
              <w:t>179.00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2040219</w:t>
            </w:r>
          </w:p>
        </w:tc>
        <w:tc>
          <w:tcPr>
            <w:tcW w:w="1559" w:type="dxa"/>
            <w:vAlign w:val="center"/>
          </w:tcPr>
          <w:p>
            <w:pPr>
              <w:pStyle w:val="14"/>
            </w:pPr>
            <w:r>
              <w:t>信息化建设</w:t>
            </w:r>
          </w:p>
        </w:tc>
        <w:tc>
          <w:tcPr>
            <w:tcW w:w="1134" w:type="dxa"/>
            <w:vAlign w:val="center"/>
          </w:tcPr>
          <w:p>
            <w:pPr>
              <w:pStyle w:val="13"/>
            </w:pPr>
            <w:r>
              <w:t>175.00</w:t>
            </w:r>
          </w:p>
        </w:tc>
        <w:tc>
          <w:tcPr>
            <w:tcW w:w="1134" w:type="dxa"/>
            <w:vAlign w:val="center"/>
          </w:tcPr>
          <w:p>
            <w:pPr>
              <w:pStyle w:val="13"/>
            </w:pPr>
            <w:r>
              <w:t>175.00</w:t>
            </w:r>
          </w:p>
        </w:tc>
        <w:tc>
          <w:tcPr>
            <w:tcW w:w="1134" w:type="dxa"/>
            <w:vAlign w:val="center"/>
          </w:tcPr>
          <w:p>
            <w:pPr>
              <w:pStyle w:val="13"/>
            </w:pPr>
            <w:r>
              <w:t>175.00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2040299</w:t>
            </w:r>
          </w:p>
        </w:tc>
        <w:tc>
          <w:tcPr>
            <w:tcW w:w="1559" w:type="dxa"/>
            <w:vAlign w:val="center"/>
          </w:tcPr>
          <w:p>
            <w:pPr>
              <w:pStyle w:val="14"/>
            </w:pPr>
            <w:r>
              <w:t>其他公安支出</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20406</w:t>
            </w:r>
          </w:p>
        </w:tc>
        <w:tc>
          <w:tcPr>
            <w:tcW w:w="1559" w:type="dxa"/>
            <w:vAlign w:val="center"/>
          </w:tcPr>
          <w:p>
            <w:pPr>
              <w:pStyle w:val="14"/>
            </w:pPr>
            <w:r>
              <w:t>司法</w:t>
            </w:r>
          </w:p>
        </w:tc>
        <w:tc>
          <w:tcPr>
            <w:tcW w:w="1134" w:type="dxa"/>
            <w:vAlign w:val="center"/>
          </w:tcPr>
          <w:p>
            <w:pPr>
              <w:pStyle w:val="13"/>
            </w:pPr>
            <w:r>
              <w:t>367.21</w:t>
            </w:r>
          </w:p>
        </w:tc>
        <w:tc>
          <w:tcPr>
            <w:tcW w:w="1134" w:type="dxa"/>
            <w:vAlign w:val="center"/>
          </w:tcPr>
          <w:p>
            <w:pPr>
              <w:pStyle w:val="13"/>
            </w:pPr>
            <w:r>
              <w:t>367.21</w:t>
            </w:r>
          </w:p>
        </w:tc>
        <w:tc>
          <w:tcPr>
            <w:tcW w:w="1134" w:type="dxa"/>
            <w:vAlign w:val="center"/>
          </w:tcPr>
          <w:p>
            <w:pPr>
              <w:pStyle w:val="13"/>
            </w:pPr>
            <w:r>
              <w:t>367.21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2040601</w:t>
            </w:r>
          </w:p>
        </w:tc>
        <w:tc>
          <w:tcPr>
            <w:tcW w:w="1559" w:type="dxa"/>
            <w:vAlign w:val="center"/>
          </w:tcPr>
          <w:p>
            <w:pPr>
              <w:pStyle w:val="14"/>
            </w:pPr>
            <w:r>
              <w:t>行政运行</w:t>
            </w:r>
          </w:p>
        </w:tc>
        <w:tc>
          <w:tcPr>
            <w:tcW w:w="1134" w:type="dxa"/>
            <w:vAlign w:val="center"/>
          </w:tcPr>
          <w:p>
            <w:pPr>
              <w:pStyle w:val="13"/>
            </w:pPr>
            <w:r>
              <w:t>362.21</w:t>
            </w:r>
          </w:p>
        </w:tc>
        <w:tc>
          <w:tcPr>
            <w:tcW w:w="1134" w:type="dxa"/>
            <w:vAlign w:val="center"/>
          </w:tcPr>
          <w:p>
            <w:pPr>
              <w:pStyle w:val="13"/>
            </w:pPr>
            <w:r>
              <w:t>362.21</w:t>
            </w:r>
          </w:p>
        </w:tc>
        <w:tc>
          <w:tcPr>
            <w:tcW w:w="1134" w:type="dxa"/>
            <w:vAlign w:val="center"/>
          </w:tcPr>
          <w:p>
            <w:pPr>
              <w:pStyle w:val="13"/>
            </w:pPr>
            <w:r>
              <w:t>362.21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2040604</w:t>
            </w:r>
          </w:p>
        </w:tc>
        <w:tc>
          <w:tcPr>
            <w:tcW w:w="1559" w:type="dxa"/>
            <w:vAlign w:val="center"/>
          </w:tcPr>
          <w:p>
            <w:pPr>
              <w:pStyle w:val="14"/>
            </w:pPr>
            <w:r>
              <w:t>基层司法业务</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20499</w:t>
            </w:r>
          </w:p>
        </w:tc>
        <w:tc>
          <w:tcPr>
            <w:tcW w:w="1559" w:type="dxa"/>
            <w:vAlign w:val="center"/>
          </w:tcPr>
          <w:p>
            <w:pPr>
              <w:pStyle w:val="14"/>
            </w:pPr>
            <w:r>
              <w:t>其他公共安全支出</w:t>
            </w:r>
          </w:p>
        </w:tc>
        <w:tc>
          <w:tcPr>
            <w:tcW w:w="1134" w:type="dxa"/>
            <w:vAlign w:val="center"/>
          </w:tcPr>
          <w:p>
            <w:pPr>
              <w:pStyle w:val="13"/>
            </w:pPr>
            <w:r>
              <w:t>102.00</w:t>
            </w:r>
          </w:p>
        </w:tc>
        <w:tc>
          <w:tcPr>
            <w:tcW w:w="1134" w:type="dxa"/>
            <w:vAlign w:val="center"/>
          </w:tcPr>
          <w:p>
            <w:pPr>
              <w:pStyle w:val="13"/>
            </w:pPr>
            <w:r>
              <w:t>102.00</w:t>
            </w:r>
          </w:p>
        </w:tc>
        <w:tc>
          <w:tcPr>
            <w:tcW w:w="1134" w:type="dxa"/>
            <w:vAlign w:val="center"/>
          </w:tcPr>
          <w:p>
            <w:pPr>
              <w:pStyle w:val="13"/>
            </w:pPr>
            <w:r>
              <w:t>102.00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2049999</w:t>
            </w:r>
          </w:p>
        </w:tc>
        <w:tc>
          <w:tcPr>
            <w:tcW w:w="1559" w:type="dxa"/>
            <w:vAlign w:val="center"/>
          </w:tcPr>
          <w:p>
            <w:pPr>
              <w:pStyle w:val="14"/>
            </w:pPr>
            <w:r>
              <w:t>其他公共安全支出</w:t>
            </w:r>
          </w:p>
        </w:tc>
        <w:tc>
          <w:tcPr>
            <w:tcW w:w="1134" w:type="dxa"/>
            <w:vAlign w:val="center"/>
          </w:tcPr>
          <w:p>
            <w:pPr>
              <w:pStyle w:val="13"/>
            </w:pPr>
            <w:r>
              <w:t>102.00</w:t>
            </w:r>
          </w:p>
        </w:tc>
        <w:tc>
          <w:tcPr>
            <w:tcW w:w="1134" w:type="dxa"/>
            <w:vAlign w:val="center"/>
          </w:tcPr>
          <w:p>
            <w:pPr>
              <w:pStyle w:val="13"/>
            </w:pPr>
            <w:r>
              <w:t>102.00</w:t>
            </w:r>
          </w:p>
        </w:tc>
        <w:tc>
          <w:tcPr>
            <w:tcW w:w="1134" w:type="dxa"/>
            <w:vAlign w:val="center"/>
          </w:tcPr>
          <w:p>
            <w:pPr>
              <w:pStyle w:val="13"/>
            </w:pPr>
            <w:r>
              <w:t>102.00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56.31</w:t>
            </w:r>
          </w:p>
        </w:tc>
        <w:tc>
          <w:tcPr>
            <w:tcW w:w="1134" w:type="dxa"/>
            <w:vAlign w:val="center"/>
          </w:tcPr>
          <w:p>
            <w:pPr>
              <w:pStyle w:val="13"/>
            </w:pPr>
            <w:r>
              <w:t>56.31</w:t>
            </w:r>
          </w:p>
        </w:tc>
        <w:tc>
          <w:tcPr>
            <w:tcW w:w="1134" w:type="dxa"/>
            <w:vAlign w:val="center"/>
          </w:tcPr>
          <w:p>
            <w:pPr>
              <w:pStyle w:val="13"/>
            </w:pPr>
            <w:r>
              <w:t>56.31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56.31</w:t>
            </w:r>
          </w:p>
        </w:tc>
        <w:tc>
          <w:tcPr>
            <w:tcW w:w="1134" w:type="dxa"/>
            <w:vAlign w:val="center"/>
          </w:tcPr>
          <w:p>
            <w:pPr>
              <w:pStyle w:val="13"/>
            </w:pPr>
            <w:r>
              <w:t>56.31</w:t>
            </w:r>
          </w:p>
        </w:tc>
        <w:tc>
          <w:tcPr>
            <w:tcW w:w="1134" w:type="dxa"/>
            <w:vAlign w:val="center"/>
          </w:tcPr>
          <w:p>
            <w:pPr>
              <w:pStyle w:val="13"/>
            </w:pPr>
            <w:r>
              <w:t>56.31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45.72</w:t>
            </w:r>
          </w:p>
        </w:tc>
        <w:tc>
          <w:tcPr>
            <w:tcW w:w="1134" w:type="dxa"/>
            <w:vAlign w:val="center"/>
          </w:tcPr>
          <w:p>
            <w:pPr>
              <w:pStyle w:val="13"/>
            </w:pPr>
            <w:r>
              <w:t>45.72</w:t>
            </w:r>
          </w:p>
        </w:tc>
        <w:tc>
          <w:tcPr>
            <w:tcW w:w="1134" w:type="dxa"/>
            <w:vAlign w:val="center"/>
          </w:tcPr>
          <w:p>
            <w:pPr>
              <w:pStyle w:val="13"/>
            </w:pPr>
            <w:r>
              <w:t>45.72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10.59</w:t>
            </w:r>
          </w:p>
        </w:tc>
        <w:tc>
          <w:tcPr>
            <w:tcW w:w="1134" w:type="dxa"/>
            <w:vAlign w:val="center"/>
          </w:tcPr>
          <w:p>
            <w:pPr>
              <w:pStyle w:val="13"/>
            </w:pPr>
            <w:r>
              <w:t>10.59</w:t>
            </w:r>
          </w:p>
        </w:tc>
        <w:tc>
          <w:tcPr>
            <w:tcW w:w="1134" w:type="dxa"/>
            <w:vAlign w:val="center"/>
          </w:tcPr>
          <w:p>
            <w:pPr>
              <w:pStyle w:val="13"/>
            </w:pPr>
            <w:r>
              <w:t>10.59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36.49</w:t>
            </w:r>
          </w:p>
        </w:tc>
        <w:tc>
          <w:tcPr>
            <w:tcW w:w="1134" w:type="dxa"/>
            <w:vAlign w:val="center"/>
          </w:tcPr>
          <w:p>
            <w:pPr>
              <w:pStyle w:val="13"/>
            </w:pPr>
            <w:r>
              <w:t>36.49</w:t>
            </w:r>
          </w:p>
        </w:tc>
        <w:tc>
          <w:tcPr>
            <w:tcW w:w="1134" w:type="dxa"/>
            <w:vAlign w:val="center"/>
          </w:tcPr>
          <w:p>
            <w:pPr>
              <w:pStyle w:val="13"/>
            </w:pPr>
            <w:r>
              <w:t>36.49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36.49</w:t>
            </w:r>
          </w:p>
        </w:tc>
        <w:tc>
          <w:tcPr>
            <w:tcW w:w="1134" w:type="dxa"/>
            <w:vAlign w:val="center"/>
          </w:tcPr>
          <w:p>
            <w:pPr>
              <w:pStyle w:val="13"/>
            </w:pPr>
            <w:r>
              <w:t>36.49</w:t>
            </w:r>
          </w:p>
        </w:tc>
        <w:tc>
          <w:tcPr>
            <w:tcW w:w="1134" w:type="dxa"/>
            <w:vAlign w:val="center"/>
          </w:tcPr>
          <w:p>
            <w:pPr>
              <w:pStyle w:val="13"/>
            </w:pPr>
            <w:r>
              <w:t>36.49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36.49</w:t>
            </w:r>
          </w:p>
        </w:tc>
        <w:tc>
          <w:tcPr>
            <w:tcW w:w="1134" w:type="dxa"/>
            <w:vAlign w:val="center"/>
          </w:tcPr>
          <w:p>
            <w:pPr>
              <w:pStyle w:val="13"/>
            </w:pPr>
            <w:r>
              <w:t>36.49</w:t>
            </w:r>
          </w:p>
        </w:tc>
        <w:tc>
          <w:tcPr>
            <w:tcW w:w="1134" w:type="dxa"/>
            <w:vAlign w:val="center"/>
          </w:tcPr>
          <w:p>
            <w:pPr>
              <w:pStyle w:val="13"/>
            </w:pPr>
            <w:r>
              <w:t>36.49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38.46</w:t>
            </w:r>
          </w:p>
        </w:tc>
        <w:tc>
          <w:tcPr>
            <w:tcW w:w="1134" w:type="dxa"/>
            <w:vAlign w:val="center"/>
          </w:tcPr>
          <w:p>
            <w:pPr>
              <w:pStyle w:val="13"/>
            </w:pPr>
            <w:r>
              <w:t>38.46</w:t>
            </w:r>
          </w:p>
        </w:tc>
        <w:tc>
          <w:tcPr>
            <w:tcW w:w="1134" w:type="dxa"/>
            <w:vAlign w:val="center"/>
          </w:tcPr>
          <w:p>
            <w:pPr>
              <w:pStyle w:val="13"/>
            </w:pPr>
            <w:r>
              <w:t>38.46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38.46</w:t>
            </w:r>
          </w:p>
        </w:tc>
        <w:tc>
          <w:tcPr>
            <w:tcW w:w="1134" w:type="dxa"/>
            <w:vAlign w:val="center"/>
          </w:tcPr>
          <w:p>
            <w:pPr>
              <w:pStyle w:val="13"/>
            </w:pPr>
            <w:r>
              <w:t>38.46</w:t>
            </w:r>
          </w:p>
        </w:tc>
        <w:tc>
          <w:tcPr>
            <w:tcW w:w="1134" w:type="dxa"/>
            <w:vAlign w:val="center"/>
          </w:tcPr>
          <w:p>
            <w:pPr>
              <w:pStyle w:val="13"/>
            </w:pPr>
            <w:r>
              <w:t>38.46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38.46</w:t>
            </w:r>
          </w:p>
        </w:tc>
        <w:tc>
          <w:tcPr>
            <w:tcW w:w="1134" w:type="dxa"/>
            <w:vAlign w:val="center"/>
          </w:tcPr>
          <w:p>
            <w:pPr>
              <w:pStyle w:val="13"/>
            </w:pPr>
            <w:r>
              <w:t>38.46</w:t>
            </w:r>
          </w:p>
        </w:tc>
        <w:tc>
          <w:tcPr>
            <w:tcW w:w="1134" w:type="dxa"/>
            <w:vAlign w:val="center"/>
          </w:tcPr>
          <w:p>
            <w:pPr>
              <w:pStyle w:val="13"/>
            </w:pPr>
            <w:r>
              <w:t>38.46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58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1073"/>
        <w:gridCol w:w="445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1" w:type="dxa"/>
            <w:gridSpan w:val="3"/>
            <w:tcBorders>
              <w:top w:val="single" w:color="FFFFFF" w:sz="6" w:space="0"/>
              <w:left w:val="single" w:color="FFFFFF" w:sz="6" w:space="0"/>
              <w:right w:val="single" w:color="FFFFFF" w:sz="6" w:space="0"/>
            </w:tcBorders>
            <w:vAlign w:val="center"/>
          </w:tcPr>
          <w:p>
            <w:pPr>
              <w:pStyle w:val="11"/>
            </w:pPr>
            <w:r>
              <w:t>313中共秦皇岛北戴河新区工委政法委员会</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3"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3" w:type="dxa"/>
            <w:vMerge w:val="continue"/>
          </w:tcPr>
          <w:p/>
        </w:tc>
        <w:tc>
          <w:tcPr>
            <w:tcW w:w="1073" w:type="dxa"/>
            <w:vAlign w:val="center"/>
          </w:tcPr>
          <w:p>
            <w:pPr>
              <w:pStyle w:val="12"/>
            </w:pPr>
            <w:r>
              <w:t>科目    编码</w:t>
            </w:r>
          </w:p>
        </w:tc>
        <w:tc>
          <w:tcPr>
            <w:tcW w:w="445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143" w:type="dxa"/>
            <w:vAlign w:val="center"/>
          </w:tcPr>
          <w:p>
            <w:pPr>
              <w:pStyle w:val="12"/>
            </w:pPr>
            <w:r>
              <w:t>栏次</w:t>
            </w:r>
          </w:p>
        </w:tc>
        <w:tc>
          <w:tcPr>
            <w:tcW w:w="1073" w:type="dxa"/>
            <w:vAlign w:val="center"/>
          </w:tcPr>
          <w:p>
            <w:pPr>
              <w:pStyle w:val="12"/>
            </w:pPr>
            <w:r>
              <w:t>1</w:t>
            </w:r>
          </w:p>
        </w:tc>
        <w:tc>
          <w:tcPr>
            <w:tcW w:w="445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143" w:type="dxa"/>
            <w:vAlign w:val="center"/>
          </w:tcPr>
          <w:p>
            <w:pPr>
              <w:pStyle w:val="15"/>
            </w:pPr>
            <w:r>
              <w:t>1</w:t>
            </w:r>
          </w:p>
        </w:tc>
        <w:tc>
          <w:tcPr>
            <w:tcW w:w="1073" w:type="dxa"/>
            <w:vAlign w:val="center"/>
          </w:tcPr>
          <w:p>
            <w:pPr>
              <w:pStyle w:val="18"/>
            </w:pPr>
          </w:p>
        </w:tc>
        <w:tc>
          <w:tcPr>
            <w:tcW w:w="4455" w:type="dxa"/>
            <w:vAlign w:val="center"/>
          </w:tcPr>
          <w:p>
            <w:pPr>
              <w:pStyle w:val="16"/>
            </w:pPr>
            <w:r>
              <w:t>合计</w:t>
            </w:r>
          </w:p>
        </w:tc>
        <w:tc>
          <w:tcPr>
            <w:tcW w:w="1361" w:type="dxa"/>
            <w:vAlign w:val="center"/>
          </w:tcPr>
          <w:p>
            <w:pPr>
              <w:pStyle w:val="17"/>
            </w:pPr>
            <w:r>
              <w:t>879.47</w:t>
            </w:r>
          </w:p>
        </w:tc>
        <w:tc>
          <w:tcPr>
            <w:tcW w:w="1361" w:type="dxa"/>
            <w:vAlign w:val="center"/>
          </w:tcPr>
          <w:p>
            <w:pPr>
              <w:pStyle w:val="17"/>
            </w:pPr>
            <w:r>
              <w:t>423.47</w:t>
            </w:r>
          </w:p>
        </w:tc>
        <w:tc>
          <w:tcPr>
            <w:tcW w:w="1361" w:type="dxa"/>
            <w:vAlign w:val="center"/>
          </w:tcPr>
          <w:p>
            <w:pPr>
              <w:pStyle w:val="17"/>
            </w:pPr>
            <w:r>
              <w:t>456.00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2</w:t>
            </w:r>
          </w:p>
        </w:tc>
        <w:tc>
          <w:tcPr>
            <w:tcW w:w="1073" w:type="dxa"/>
            <w:vAlign w:val="center"/>
          </w:tcPr>
          <w:p>
            <w:pPr>
              <w:pStyle w:val="14"/>
            </w:pPr>
            <w:r>
              <w:t>201</w:t>
            </w:r>
          </w:p>
        </w:tc>
        <w:tc>
          <w:tcPr>
            <w:tcW w:w="4455" w:type="dxa"/>
            <w:vAlign w:val="center"/>
          </w:tcPr>
          <w:p>
            <w:pPr>
              <w:pStyle w:val="14"/>
            </w:pPr>
            <w:r>
              <w:t>一般公共服务支出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3</w:t>
            </w:r>
          </w:p>
        </w:tc>
        <w:tc>
          <w:tcPr>
            <w:tcW w:w="1073" w:type="dxa"/>
            <w:vAlign w:val="center"/>
          </w:tcPr>
          <w:p>
            <w:pPr>
              <w:pStyle w:val="14"/>
            </w:pPr>
            <w:r>
              <w:t>20103</w:t>
            </w:r>
          </w:p>
        </w:tc>
        <w:tc>
          <w:tcPr>
            <w:tcW w:w="4455" w:type="dxa"/>
            <w:vAlign w:val="center"/>
          </w:tcPr>
          <w:p>
            <w:pPr>
              <w:pStyle w:val="14"/>
            </w:pPr>
            <w:r>
              <w:t>政府办公厅（室）及相关机构事务</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4</w:t>
            </w:r>
          </w:p>
        </w:tc>
        <w:tc>
          <w:tcPr>
            <w:tcW w:w="1073" w:type="dxa"/>
            <w:vAlign w:val="center"/>
          </w:tcPr>
          <w:p>
            <w:pPr>
              <w:pStyle w:val="14"/>
            </w:pPr>
            <w:r>
              <w:t>2010308</w:t>
            </w:r>
          </w:p>
        </w:tc>
        <w:tc>
          <w:tcPr>
            <w:tcW w:w="4455" w:type="dxa"/>
            <w:vAlign w:val="center"/>
          </w:tcPr>
          <w:p>
            <w:pPr>
              <w:pStyle w:val="14"/>
            </w:pPr>
            <w:r>
              <w:t>信访事务</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5</w:t>
            </w:r>
          </w:p>
        </w:tc>
        <w:tc>
          <w:tcPr>
            <w:tcW w:w="1073" w:type="dxa"/>
            <w:vAlign w:val="center"/>
          </w:tcPr>
          <w:p>
            <w:pPr>
              <w:pStyle w:val="14"/>
            </w:pPr>
            <w:r>
              <w:t>204</w:t>
            </w:r>
          </w:p>
        </w:tc>
        <w:tc>
          <w:tcPr>
            <w:tcW w:w="4455" w:type="dxa"/>
            <w:vAlign w:val="center"/>
          </w:tcPr>
          <w:p>
            <w:pPr>
              <w:pStyle w:val="14"/>
            </w:pPr>
            <w:r>
              <w:t>公共安全支出</w:t>
            </w:r>
          </w:p>
        </w:tc>
        <w:tc>
          <w:tcPr>
            <w:tcW w:w="1361" w:type="dxa"/>
            <w:vAlign w:val="center"/>
          </w:tcPr>
          <w:p>
            <w:pPr>
              <w:pStyle w:val="13"/>
            </w:pPr>
            <w:r>
              <w:t>648.21</w:t>
            </w:r>
          </w:p>
        </w:tc>
        <w:tc>
          <w:tcPr>
            <w:tcW w:w="1361" w:type="dxa"/>
            <w:vAlign w:val="center"/>
          </w:tcPr>
          <w:p>
            <w:pPr>
              <w:pStyle w:val="13"/>
            </w:pPr>
            <w:r>
              <w:t>292.21</w:t>
            </w:r>
          </w:p>
        </w:tc>
        <w:tc>
          <w:tcPr>
            <w:tcW w:w="1361" w:type="dxa"/>
            <w:vAlign w:val="center"/>
          </w:tcPr>
          <w:p>
            <w:pPr>
              <w:pStyle w:val="13"/>
            </w:pPr>
            <w:r>
              <w:t>356.00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6</w:t>
            </w:r>
          </w:p>
        </w:tc>
        <w:tc>
          <w:tcPr>
            <w:tcW w:w="1073" w:type="dxa"/>
            <w:vAlign w:val="center"/>
          </w:tcPr>
          <w:p>
            <w:pPr>
              <w:pStyle w:val="14"/>
            </w:pPr>
            <w:r>
              <w:t>20402</w:t>
            </w:r>
          </w:p>
        </w:tc>
        <w:tc>
          <w:tcPr>
            <w:tcW w:w="4455" w:type="dxa"/>
            <w:vAlign w:val="center"/>
          </w:tcPr>
          <w:p>
            <w:pPr>
              <w:pStyle w:val="14"/>
            </w:pPr>
            <w:r>
              <w:t>公安</w:t>
            </w:r>
          </w:p>
        </w:tc>
        <w:tc>
          <w:tcPr>
            <w:tcW w:w="1361" w:type="dxa"/>
            <w:vAlign w:val="center"/>
          </w:tcPr>
          <w:p>
            <w:pPr>
              <w:pStyle w:val="13"/>
            </w:pPr>
            <w:r>
              <w:t>179.00</w:t>
            </w:r>
          </w:p>
        </w:tc>
        <w:tc>
          <w:tcPr>
            <w:tcW w:w="1361" w:type="dxa"/>
            <w:vAlign w:val="center"/>
          </w:tcPr>
          <w:p>
            <w:pPr>
              <w:pStyle w:val="13"/>
            </w:pPr>
          </w:p>
        </w:tc>
        <w:tc>
          <w:tcPr>
            <w:tcW w:w="1361" w:type="dxa"/>
            <w:vAlign w:val="center"/>
          </w:tcPr>
          <w:p>
            <w:pPr>
              <w:pStyle w:val="13"/>
            </w:pPr>
            <w:r>
              <w:t>179.00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7</w:t>
            </w:r>
          </w:p>
        </w:tc>
        <w:tc>
          <w:tcPr>
            <w:tcW w:w="1073" w:type="dxa"/>
            <w:vAlign w:val="center"/>
          </w:tcPr>
          <w:p>
            <w:pPr>
              <w:pStyle w:val="14"/>
            </w:pPr>
            <w:r>
              <w:t>2040219</w:t>
            </w:r>
          </w:p>
        </w:tc>
        <w:tc>
          <w:tcPr>
            <w:tcW w:w="4455" w:type="dxa"/>
            <w:vAlign w:val="center"/>
          </w:tcPr>
          <w:p>
            <w:pPr>
              <w:pStyle w:val="14"/>
            </w:pPr>
            <w:r>
              <w:t>信息化建设</w:t>
            </w:r>
          </w:p>
        </w:tc>
        <w:tc>
          <w:tcPr>
            <w:tcW w:w="1361" w:type="dxa"/>
            <w:vAlign w:val="center"/>
          </w:tcPr>
          <w:p>
            <w:pPr>
              <w:pStyle w:val="13"/>
            </w:pPr>
            <w:r>
              <w:t>175.00</w:t>
            </w:r>
          </w:p>
        </w:tc>
        <w:tc>
          <w:tcPr>
            <w:tcW w:w="1361" w:type="dxa"/>
            <w:vAlign w:val="center"/>
          </w:tcPr>
          <w:p>
            <w:pPr>
              <w:pStyle w:val="13"/>
            </w:pPr>
          </w:p>
        </w:tc>
        <w:tc>
          <w:tcPr>
            <w:tcW w:w="1361" w:type="dxa"/>
            <w:vAlign w:val="center"/>
          </w:tcPr>
          <w:p>
            <w:pPr>
              <w:pStyle w:val="13"/>
            </w:pPr>
            <w:r>
              <w:t>175.00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8</w:t>
            </w:r>
          </w:p>
        </w:tc>
        <w:tc>
          <w:tcPr>
            <w:tcW w:w="1073" w:type="dxa"/>
            <w:vAlign w:val="center"/>
          </w:tcPr>
          <w:p>
            <w:pPr>
              <w:pStyle w:val="14"/>
            </w:pPr>
            <w:r>
              <w:t>2040299</w:t>
            </w:r>
          </w:p>
        </w:tc>
        <w:tc>
          <w:tcPr>
            <w:tcW w:w="4455" w:type="dxa"/>
            <w:vAlign w:val="center"/>
          </w:tcPr>
          <w:p>
            <w:pPr>
              <w:pStyle w:val="14"/>
            </w:pPr>
            <w:r>
              <w:t>其他公安支出</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9</w:t>
            </w:r>
          </w:p>
        </w:tc>
        <w:tc>
          <w:tcPr>
            <w:tcW w:w="1073" w:type="dxa"/>
            <w:vAlign w:val="center"/>
          </w:tcPr>
          <w:p>
            <w:pPr>
              <w:pStyle w:val="14"/>
            </w:pPr>
            <w:r>
              <w:t>20406</w:t>
            </w:r>
          </w:p>
        </w:tc>
        <w:tc>
          <w:tcPr>
            <w:tcW w:w="4455" w:type="dxa"/>
            <w:vAlign w:val="center"/>
          </w:tcPr>
          <w:p>
            <w:pPr>
              <w:pStyle w:val="14"/>
            </w:pPr>
            <w:r>
              <w:t>司法</w:t>
            </w:r>
          </w:p>
        </w:tc>
        <w:tc>
          <w:tcPr>
            <w:tcW w:w="1361" w:type="dxa"/>
            <w:vAlign w:val="center"/>
          </w:tcPr>
          <w:p>
            <w:pPr>
              <w:pStyle w:val="13"/>
            </w:pPr>
            <w:r>
              <w:t>367.21</w:t>
            </w:r>
          </w:p>
        </w:tc>
        <w:tc>
          <w:tcPr>
            <w:tcW w:w="1361" w:type="dxa"/>
            <w:vAlign w:val="center"/>
          </w:tcPr>
          <w:p>
            <w:pPr>
              <w:pStyle w:val="13"/>
            </w:pPr>
            <w:r>
              <w:t>292.21</w:t>
            </w: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10</w:t>
            </w:r>
          </w:p>
        </w:tc>
        <w:tc>
          <w:tcPr>
            <w:tcW w:w="1073" w:type="dxa"/>
            <w:vAlign w:val="center"/>
          </w:tcPr>
          <w:p>
            <w:pPr>
              <w:pStyle w:val="14"/>
            </w:pPr>
            <w:r>
              <w:t>2040601</w:t>
            </w:r>
          </w:p>
        </w:tc>
        <w:tc>
          <w:tcPr>
            <w:tcW w:w="4455" w:type="dxa"/>
            <w:vAlign w:val="center"/>
          </w:tcPr>
          <w:p>
            <w:pPr>
              <w:pStyle w:val="14"/>
            </w:pPr>
            <w:r>
              <w:t>行政运行</w:t>
            </w:r>
          </w:p>
        </w:tc>
        <w:tc>
          <w:tcPr>
            <w:tcW w:w="1361" w:type="dxa"/>
            <w:vAlign w:val="center"/>
          </w:tcPr>
          <w:p>
            <w:pPr>
              <w:pStyle w:val="13"/>
            </w:pPr>
            <w:r>
              <w:t>362.21</w:t>
            </w:r>
          </w:p>
        </w:tc>
        <w:tc>
          <w:tcPr>
            <w:tcW w:w="1361" w:type="dxa"/>
            <w:vAlign w:val="center"/>
          </w:tcPr>
          <w:p>
            <w:pPr>
              <w:pStyle w:val="13"/>
            </w:pPr>
            <w:r>
              <w:t>292.21</w:t>
            </w: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11</w:t>
            </w:r>
          </w:p>
        </w:tc>
        <w:tc>
          <w:tcPr>
            <w:tcW w:w="1073" w:type="dxa"/>
            <w:vAlign w:val="center"/>
          </w:tcPr>
          <w:p>
            <w:pPr>
              <w:pStyle w:val="14"/>
            </w:pPr>
            <w:r>
              <w:t>2040604</w:t>
            </w:r>
          </w:p>
        </w:tc>
        <w:tc>
          <w:tcPr>
            <w:tcW w:w="4455" w:type="dxa"/>
            <w:vAlign w:val="center"/>
          </w:tcPr>
          <w:p>
            <w:pPr>
              <w:pStyle w:val="14"/>
            </w:pPr>
            <w:r>
              <w:t>基层司法业务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12</w:t>
            </w:r>
          </w:p>
        </w:tc>
        <w:tc>
          <w:tcPr>
            <w:tcW w:w="1073" w:type="dxa"/>
            <w:vAlign w:val="center"/>
          </w:tcPr>
          <w:p>
            <w:pPr>
              <w:pStyle w:val="14"/>
            </w:pPr>
            <w:r>
              <w:t>20499</w:t>
            </w:r>
          </w:p>
        </w:tc>
        <w:tc>
          <w:tcPr>
            <w:tcW w:w="4455" w:type="dxa"/>
            <w:vAlign w:val="center"/>
          </w:tcPr>
          <w:p>
            <w:pPr>
              <w:pStyle w:val="14"/>
            </w:pPr>
            <w:r>
              <w:t>其他公共安全支出</w:t>
            </w:r>
          </w:p>
        </w:tc>
        <w:tc>
          <w:tcPr>
            <w:tcW w:w="1361" w:type="dxa"/>
            <w:vAlign w:val="center"/>
          </w:tcPr>
          <w:p>
            <w:pPr>
              <w:pStyle w:val="13"/>
            </w:pPr>
            <w:r>
              <w:t>102.00</w:t>
            </w:r>
          </w:p>
        </w:tc>
        <w:tc>
          <w:tcPr>
            <w:tcW w:w="1361" w:type="dxa"/>
            <w:vAlign w:val="center"/>
          </w:tcPr>
          <w:p>
            <w:pPr>
              <w:pStyle w:val="13"/>
            </w:pPr>
          </w:p>
        </w:tc>
        <w:tc>
          <w:tcPr>
            <w:tcW w:w="1361" w:type="dxa"/>
            <w:vAlign w:val="center"/>
          </w:tcPr>
          <w:p>
            <w:pPr>
              <w:pStyle w:val="13"/>
            </w:pPr>
            <w:r>
              <w:t>102.00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13</w:t>
            </w:r>
          </w:p>
        </w:tc>
        <w:tc>
          <w:tcPr>
            <w:tcW w:w="1073" w:type="dxa"/>
            <w:vAlign w:val="center"/>
          </w:tcPr>
          <w:p>
            <w:pPr>
              <w:pStyle w:val="14"/>
            </w:pPr>
            <w:r>
              <w:t>2049999</w:t>
            </w:r>
          </w:p>
        </w:tc>
        <w:tc>
          <w:tcPr>
            <w:tcW w:w="4455" w:type="dxa"/>
            <w:vAlign w:val="center"/>
          </w:tcPr>
          <w:p>
            <w:pPr>
              <w:pStyle w:val="14"/>
            </w:pPr>
            <w:r>
              <w:t>其他公共安全支出</w:t>
            </w:r>
          </w:p>
        </w:tc>
        <w:tc>
          <w:tcPr>
            <w:tcW w:w="1361" w:type="dxa"/>
            <w:vAlign w:val="center"/>
          </w:tcPr>
          <w:p>
            <w:pPr>
              <w:pStyle w:val="13"/>
            </w:pPr>
            <w:r>
              <w:t>102.00</w:t>
            </w:r>
          </w:p>
        </w:tc>
        <w:tc>
          <w:tcPr>
            <w:tcW w:w="1361" w:type="dxa"/>
            <w:vAlign w:val="center"/>
          </w:tcPr>
          <w:p>
            <w:pPr>
              <w:pStyle w:val="13"/>
            </w:pPr>
          </w:p>
        </w:tc>
        <w:tc>
          <w:tcPr>
            <w:tcW w:w="1361" w:type="dxa"/>
            <w:vAlign w:val="center"/>
          </w:tcPr>
          <w:p>
            <w:pPr>
              <w:pStyle w:val="13"/>
            </w:pPr>
            <w:r>
              <w:t>102.00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14</w:t>
            </w:r>
          </w:p>
        </w:tc>
        <w:tc>
          <w:tcPr>
            <w:tcW w:w="1073" w:type="dxa"/>
            <w:vAlign w:val="center"/>
          </w:tcPr>
          <w:p>
            <w:pPr>
              <w:pStyle w:val="14"/>
            </w:pPr>
            <w:r>
              <w:t>208</w:t>
            </w:r>
          </w:p>
        </w:tc>
        <w:tc>
          <w:tcPr>
            <w:tcW w:w="4455" w:type="dxa"/>
            <w:vAlign w:val="center"/>
          </w:tcPr>
          <w:p>
            <w:pPr>
              <w:pStyle w:val="14"/>
            </w:pPr>
            <w:r>
              <w:t>社会保障和就业支出</w:t>
            </w:r>
          </w:p>
        </w:tc>
        <w:tc>
          <w:tcPr>
            <w:tcW w:w="1361" w:type="dxa"/>
            <w:vAlign w:val="center"/>
          </w:tcPr>
          <w:p>
            <w:pPr>
              <w:pStyle w:val="13"/>
            </w:pPr>
            <w:r>
              <w:t>56.31</w:t>
            </w:r>
          </w:p>
        </w:tc>
        <w:tc>
          <w:tcPr>
            <w:tcW w:w="1361" w:type="dxa"/>
            <w:vAlign w:val="center"/>
          </w:tcPr>
          <w:p>
            <w:pPr>
              <w:pStyle w:val="13"/>
            </w:pPr>
            <w:r>
              <w:t>56.31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15</w:t>
            </w:r>
          </w:p>
        </w:tc>
        <w:tc>
          <w:tcPr>
            <w:tcW w:w="1073" w:type="dxa"/>
            <w:vAlign w:val="center"/>
          </w:tcPr>
          <w:p>
            <w:pPr>
              <w:pStyle w:val="14"/>
            </w:pPr>
            <w:r>
              <w:t>20805</w:t>
            </w:r>
          </w:p>
        </w:tc>
        <w:tc>
          <w:tcPr>
            <w:tcW w:w="4455" w:type="dxa"/>
            <w:vAlign w:val="center"/>
          </w:tcPr>
          <w:p>
            <w:pPr>
              <w:pStyle w:val="14"/>
            </w:pPr>
            <w:r>
              <w:t>行政事业单位养老支出</w:t>
            </w:r>
          </w:p>
        </w:tc>
        <w:tc>
          <w:tcPr>
            <w:tcW w:w="1361" w:type="dxa"/>
            <w:vAlign w:val="center"/>
          </w:tcPr>
          <w:p>
            <w:pPr>
              <w:pStyle w:val="13"/>
            </w:pPr>
            <w:r>
              <w:t>56.31</w:t>
            </w:r>
          </w:p>
        </w:tc>
        <w:tc>
          <w:tcPr>
            <w:tcW w:w="1361" w:type="dxa"/>
            <w:vAlign w:val="center"/>
          </w:tcPr>
          <w:p>
            <w:pPr>
              <w:pStyle w:val="13"/>
            </w:pPr>
            <w:r>
              <w:t>56.31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16</w:t>
            </w:r>
          </w:p>
        </w:tc>
        <w:tc>
          <w:tcPr>
            <w:tcW w:w="1073" w:type="dxa"/>
            <w:vAlign w:val="center"/>
          </w:tcPr>
          <w:p>
            <w:pPr>
              <w:pStyle w:val="14"/>
            </w:pPr>
            <w:r>
              <w:t>2080505</w:t>
            </w:r>
          </w:p>
        </w:tc>
        <w:tc>
          <w:tcPr>
            <w:tcW w:w="4455" w:type="dxa"/>
            <w:vAlign w:val="center"/>
          </w:tcPr>
          <w:p>
            <w:pPr>
              <w:pStyle w:val="14"/>
            </w:pPr>
            <w:r>
              <w:t>机关事业单位基本养老保险缴费支出</w:t>
            </w:r>
          </w:p>
        </w:tc>
        <w:tc>
          <w:tcPr>
            <w:tcW w:w="1361" w:type="dxa"/>
            <w:vAlign w:val="center"/>
          </w:tcPr>
          <w:p>
            <w:pPr>
              <w:pStyle w:val="13"/>
            </w:pPr>
            <w:r>
              <w:t>45.72</w:t>
            </w:r>
          </w:p>
        </w:tc>
        <w:tc>
          <w:tcPr>
            <w:tcW w:w="1361" w:type="dxa"/>
            <w:vAlign w:val="center"/>
          </w:tcPr>
          <w:p>
            <w:pPr>
              <w:pStyle w:val="13"/>
            </w:pPr>
            <w:r>
              <w:t>45.72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17</w:t>
            </w:r>
          </w:p>
        </w:tc>
        <w:tc>
          <w:tcPr>
            <w:tcW w:w="1073" w:type="dxa"/>
            <w:vAlign w:val="center"/>
          </w:tcPr>
          <w:p>
            <w:pPr>
              <w:pStyle w:val="14"/>
            </w:pPr>
            <w:r>
              <w:t>2080506</w:t>
            </w:r>
          </w:p>
        </w:tc>
        <w:tc>
          <w:tcPr>
            <w:tcW w:w="4455" w:type="dxa"/>
            <w:vAlign w:val="center"/>
          </w:tcPr>
          <w:p>
            <w:pPr>
              <w:pStyle w:val="14"/>
            </w:pPr>
            <w:r>
              <w:t>机关事业单位职业年金缴费支出</w:t>
            </w:r>
          </w:p>
        </w:tc>
        <w:tc>
          <w:tcPr>
            <w:tcW w:w="1361" w:type="dxa"/>
            <w:vAlign w:val="center"/>
          </w:tcPr>
          <w:p>
            <w:pPr>
              <w:pStyle w:val="13"/>
            </w:pPr>
            <w:r>
              <w:t>10.59</w:t>
            </w:r>
          </w:p>
        </w:tc>
        <w:tc>
          <w:tcPr>
            <w:tcW w:w="1361" w:type="dxa"/>
            <w:vAlign w:val="center"/>
          </w:tcPr>
          <w:p>
            <w:pPr>
              <w:pStyle w:val="13"/>
            </w:pPr>
            <w:r>
              <w:t>10.59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18</w:t>
            </w:r>
          </w:p>
        </w:tc>
        <w:tc>
          <w:tcPr>
            <w:tcW w:w="1073" w:type="dxa"/>
            <w:vAlign w:val="center"/>
          </w:tcPr>
          <w:p>
            <w:pPr>
              <w:pStyle w:val="14"/>
            </w:pPr>
            <w:r>
              <w:t>210</w:t>
            </w:r>
          </w:p>
        </w:tc>
        <w:tc>
          <w:tcPr>
            <w:tcW w:w="4455" w:type="dxa"/>
            <w:vAlign w:val="center"/>
          </w:tcPr>
          <w:p>
            <w:pPr>
              <w:pStyle w:val="14"/>
            </w:pPr>
            <w:r>
              <w:t>卫生健康支出</w:t>
            </w:r>
          </w:p>
        </w:tc>
        <w:tc>
          <w:tcPr>
            <w:tcW w:w="1361" w:type="dxa"/>
            <w:vAlign w:val="center"/>
          </w:tcPr>
          <w:p>
            <w:pPr>
              <w:pStyle w:val="13"/>
            </w:pPr>
            <w:r>
              <w:t>36.49</w:t>
            </w:r>
          </w:p>
        </w:tc>
        <w:tc>
          <w:tcPr>
            <w:tcW w:w="1361" w:type="dxa"/>
            <w:vAlign w:val="center"/>
          </w:tcPr>
          <w:p>
            <w:pPr>
              <w:pStyle w:val="13"/>
            </w:pPr>
            <w:r>
              <w:t>36.49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19</w:t>
            </w:r>
          </w:p>
        </w:tc>
        <w:tc>
          <w:tcPr>
            <w:tcW w:w="1073" w:type="dxa"/>
            <w:vAlign w:val="center"/>
          </w:tcPr>
          <w:p>
            <w:pPr>
              <w:pStyle w:val="14"/>
            </w:pPr>
            <w:r>
              <w:t>21011</w:t>
            </w:r>
          </w:p>
        </w:tc>
        <w:tc>
          <w:tcPr>
            <w:tcW w:w="4455" w:type="dxa"/>
            <w:vAlign w:val="center"/>
          </w:tcPr>
          <w:p>
            <w:pPr>
              <w:pStyle w:val="14"/>
            </w:pPr>
            <w:r>
              <w:t>行政事业单位医疗</w:t>
            </w:r>
          </w:p>
        </w:tc>
        <w:tc>
          <w:tcPr>
            <w:tcW w:w="1361" w:type="dxa"/>
            <w:vAlign w:val="center"/>
          </w:tcPr>
          <w:p>
            <w:pPr>
              <w:pStyle w:val="13"/>
            </w:pPr>
            <w:r>
              <w:t>36.49</w:t>
            </w:r>
          </w:p>
        </w:tc>
        <w:tc>
          <w:tcPr>
            <w:tcW w:w="1361" w:type="dxa"/>
            <w:vAlign w:val="center"/>
          </w:tcPr>
          <w:p>
            <w:pPr>
              <w:pStyle w:val="13"/>
            </w:pPr>
            <w:r>
              <w:t>36.49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143" w:type="dxa"/>
            <w:vAlign w:val="center"/>
          </w:tcPr>
          <w:p>
            <w:pPr>
              <w:pStyle w:val="15"/>
            </w:pPr>
            <w:r>
              <w:t>20</w:t>
            </w:r>
          </w:p>
        </w:tc>
        <w:tc>
          <w:tcPr>
            <w:tcW w:w="1073" w:type="dxa"/>
            <w:vAlign w:val="center"/>
          </w:tcPr>
          <w:p>
            <w:pPr>
              <w:pStyle w:val="14"/>
            </w:pPr>
            <w:r>
              <w:t>2101101</w:t>
            </w:r>
          </w:p>
        </w:tc>
        <w:tc>
          <w:tcPr>
            <w:tcW w:w="4455" w:type="dxa"/>
            <w:vAlign w:val="center"/>
          </w:tcPr>
          <w:p>
            <w:pPr>
              <w:pStyle w:val="14"/>
            </w:pPr>
            <w:r>
              <w:t>行政单位医疗</w:t>
            </w:r>
          </w:p>
        </w:tc>
        <w:tc>
          <w:tcPr>
            <w:tcW w:w="1361" w:type="dxa"/>
            <w:vAlign w:val="center"/>
          </w:tcPr>
          <w:p>
            <w:pPr>
              <w:pStyle w:val="13"/>
            </w:pPr>
            <w:r>
              <w:t>36.49</w:t>
            </w:r>
          </w:p>
        </w:tc>
        <w:tc>
          <w:tcPr>
            <w:tcW w:w="1361" w:type="dxa"/>
            <w:vAlign w:val="center"/>
          </w:tcPr>
          <w:p>
            <w:pPr>
              <w:pStyle w:val="13"/>
            </w:pPr>
            <w:r>
              <w:t>36.49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21</w:t>
            </w:r>
          </w:p>
        </w:tc>
        <w:tc>
          <w:tcPr>
            <w:tcW w:w="1073" w:type="dxa"/>
            <w:vAlign w:val="center"/>
          </w:tcPr>
          <w:p>
            <w:pPr>
              <w:pStyle w:val="14"/>
            </w:pPr>
            <w:r>
              <w:t>221</w:t>
            </w:r>
          </w:p>
        </w:tc>
        <w:tc>
          <w:tcPr>
            <w:tcW w:w="4455" w:type="dxa"/>
            <w:vAlign w:val="center"/>
          </w:tcPr>
          <w:p>
            <w:pPr>
              <w:pStyle w:val="14"/>
            </w:pPr>
            <w:r>
              <w:t>住房保障支出</w:t>
            </w:r>
          </w:p>
        </w:tc>
        <w:tc>
          <w:tcPr>
            <w:tcW w:w="1361" w:type="dxa"/>
            <w:vAlign w:val="center"/>
          </w:tcPr>
          <w:p>
            <w:pPr>
              <w:pStyle w:val="13"/>
            </w:pPr>
            <w:r>
              <w:t>38.46</w:t>
            </w:r>
          </w:p>
        </w:tc>
        <w:tc>
          <w:tcPr>
            <w:tcW w:w="1361" w:type="dxa"/>
            <w:vAlign w:val="center"/>
          </w:tcPr>
          <w:p>
            <w:pPr>
              <w:pStyle w:val="13"/>
            </w:pPr>
            <w:r>
              <w:t>38.46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22</w:t>
            </w:r>
          </w:p>
        </w:tc>
        <w:tc>
          <w:tcPr>
            <w:tcW w:w="1073" w:type="dxa"/>
            <w:vAlign w:val="center"/>
          </w:tcPr>
          <w:p>
            <w:pPr>
              <w:pStyle w:val="14"/>
            </w:pPr>
            <w:r>
              <w:t>22102</w:t>
            </w:r>
          </w:p>
        </w:tc>
        <w:tc>
          <w:tcPr>
            <w:tcW w:w="4455" w:type="dxa"/>
            <w:vAlign w:val="center"/>
          </w:tcPr>
          <w:p>
            <w:pPr>
              <w:pStyle w:val="14"/>
            </w:pPr>
            <w:r>
              <w:t>住房改革支出</w:t>
            </w:r>
          </w:p>
        </w:tc>
        <w:tc>
          <w:tcPr>
            <w:tcW w:w="1361" w:type="dxa"/>
            <w:vAlign w:val="center"/>
          </w:tcPr>
          <w:p>
            <w:pPr>
              <w:pStyle w:val="13"/>
            </w:pPr>
            <w:r>
              <w:t>38.46</w:t>
            </w:r>
          </w:p>
        </w:tc>
        <w:tc>
          <w:tcPr>
            <w:tcW w:w="1361" w:type="dxa"/>
            <w:vAlign w:val="center"/>
          </w:tcPr>
          <w:p>
            <w:pPr>
              <w:pStyle w:val="13"/>
            </w:pPr>
            <w:r>
              <w:t>38.46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23</w:t>
            </w:r>
          </w:p>
        </w:tc>
        <w:tc>
          <w:tcPr>
            <w:tcW w:w="1073" w:type="dxa"/>
            <w:vAlign w:val="center"/>
          </w:tcPr>
          <w:p>
            <w:pPr>
              <w:pStyle w:val="14"/>
            </w:pPr>
            <w:r>
              <w:t>2210201</w:t>
            </w:r>
          </w:p>
        </w:tc>
        <w:tc>
          <w:tcPr>
            <w:tcW w:w="4455" w:type="dxa"/>
            <w:vAlign w:val="center"/>
          </w:tcPr>
          <w:p>
            <w:pPr>
              <w:pStyle w:val="14"/>
            </w:pPr>
            <w:r>
              <w:t>住房公积金</w:t>
            </w:r>
          </w:p>
        </w:tc>
        <w:tc>
          <w:tcPr>
            <w:tcW w:w="1361" w:type="dxa"/>
            <w:vAlign w:val="center"/>
          </w:tcPr>
          <w:p>
            <w:pPr>
              <w:pStyle w:val="13"/>
            </w:pPr>
            <w:r>
              <w:t>38.46</w:t>
            </w:r>
          </w:p>
        </w:tc>
        <w:tc>
          <w:tcPr>
            <w:tcW w:w="1361" w:type="dxa"/>
            <w:vAlign w:val="center"/>
          </w:tcPr>
          <w:p>
            <w:pPr>
              <w:pStyle w:val="13"/>
            </w:pPr>
            <w:r>
              <w:t>38.46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313中共秦皇岛北戴河新区工委政法委员会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879.47</w:t>
            </w:r>
          </w:p>
        </w:tc>
        <w:tc>
          <w:tcPr>
            <w:tcW w:w="3402" w:type="dxa"/>
            <w:vAlign w:val="center"/>
          </w:tcPr>
          <w:p>
            <w:pPr>
              <w:pStyle w:val="14"/>
            </w:pPr>
            <w:r>
              <w:t>一、一般公共服务支出</w:t>
            </w:r>
          </w:p>
        </w:tc>
        <w:tc>
          <w:tcPr>
            <w:tcW w:w="1474" w:type="dxa"/>
            <w:vAlign w:val="center"/>
          </w:tcPr>
          <w:p>
            <w:pPr>
              <w:pStyle w:val="13"/>
            </w:pPr>
            <w:r>
              <w:t>100.00</w:t>
            </w:r>
          </w:p>
        </w:tc>
        <w:tc>
          <w:tcPr>
            <w:tcW w:w="1474" w:type="dxa"/>
            <w:vAlign w:val="center"/>
          </w:tcPr>
          <w:p>
            <w:pPr>
              <w:pStyle w:val="13"/>
            </w:pPr>
            <w:r>
              <w:t>100.00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648.21</w:t>
            </w:r>
          </w:p>
        </w:tc>
        <w:tc>
          <w:tcPr>
            <w:tcW w:w="1474" w:type="dxa"/>
            <w:vAlign w:val="center"/>
          </w:tcPr>
          <w:p>
            <w:pPr>
              <w:pStyle w:val="13"/>
            </w:pPr>
            <w:r>
              <w:t>648.21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56.31</w:t>
            </w:r>
          </w:p>
        </w:tc>
        <w:tc>
          <w:tcPr>
            <w:tcW w:w="1474" w:type="dxa"/>
            <w:vAlign w:val="center"/>
          </w:tcPr>
          <w:p>
            <w:pPr>
              <w:pStyle w:val="13"/>
            </w:pPr>
            <w:r>
              <w:t>56.31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36.49</w:t>
            </w:r>
          </w:p>
        </w:tc>
        <w:tc>
          <w:tcPr>
            <w:tcW w:w="1474" w:type="dxa"/>
            <w:vAlign w:val="center"/>
          </w:tcPr>
          <w:p>
            <w:pPr>
              <w:pStyle w:val="13"/>
            </w:pPr>
            <w:r>
              <w:t>36.49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38.46</w:t>
            </w:r>
          </w:p>
        </w:tc>
        <w:tc>
          <w:tcPr>
            <w:tcW w:w="1474" w:type="dxa"/>
            <w:vAlign w:val="center"/>
          </w:tcPr>
          <w:p>
            <w:pPr>
              <w:pStyle w:val="13"/>
            </w:pPr>
            <w:r>
              <w:t>38.46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879.47</w:t>
            </w:r>
          </w:p>
        </w:tc>
        <w:tc>
          <w:tcPr>
            <w:tcW w:w="3402" w:type="dxa"/>
            <w:vAlign w:val="center"/>
          </w:tcPr>
          <w:p>
            <w:pPr>
              <w:pStyle w:val="16"/>
            </w:pPr>
            <w:r>
              <w:t>本年支出合计</w:t>
            </w:r>
          </w:p>
        </w:tc>
        <w:tc>
          <w:tcPr>
            <w:tcW w:w="1474" w:type="dxa"/>
            <w:vAlign w:val="center"/>
          </w:tcPr>
          <w:p>
            <w:pPr>
              <w:pStyle w:val="17"/>
            </w:pPr>
            <w:r>
              <w:t>879.47</w:t>
            </w:r>
          </w:p>
        </w:tc>
        <w:tc>
          <w:tcPr>
            <w:tcW w:w="1474" w:type="dxa"/>
            <w:vAlign w:val="center"/>
          </w:tcPr>
          <w:p>
            <w:pPr>
              <w:pStyle w:val="17"/>
            </w:pPr>
            <w:r>
              <w:t>879.47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879.47</w:t>
            </w:r>
          </w:p>
        </w:tc>
        <w:tc>
          <w:tcPr>
            <w:tcW w:w="3402" w:type="dxa"/>
            <w:vAlign w:val="center"/>
          </w:tcPr>
          <w:p>
            <w:pPr>
              <w:pStyle w:val="16"/>
            </w:pPr>
            <w:r>
              <w:t>支出总计</w:t>
            </w:r>
          </w:p>
        </w:tc>
        <w:tc>
          <w:tcPr>
            <w:tcW w:w="1474" w:type="dxa"/>
            <w:vAlign w:val="center"/>
          </w:tcPr>
          <w:p>
            <w:pPr>
              <w:pStyle w:val="17"/>
            </w:pPr>
            <w:r>
              <w:t>879.47</w:t>
            </w:r>
          </w:p>
        </w:tc>
        <w:tc>
          <w:tcPr>
            <w:tcW w:w="1474" w:type="dxa"/>
            <w:vAlign w:val="center"/>
          </w:tcPr>
          <w:p>
            <w:pPr>
              <w:pStyle w:val="17"/>
            </w:pPr>
            <w:r>
              <w:t>879.47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313中共秦皇岛北戴河新区工委政法委员会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3"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879.47</w:t>
            </w:r>
          </w:p>
        </w:tc>
        <w:tc>
          <w:tcPr>
            <w:tcW w:w="2551" w:type="dxa"/>
            <w:vAlign w:val="center"/>
          </w:tcPr>
          <w:p>
            <w:pPr>
              <w:pStyle w:val="17"/>
            </w:pPr>
            <w:r>
              <w:t>423.47</w:t>
            </w:r>
          </w:p>
        </w:tc>
        <w:tc>
          <w:tcPr>
            <w:tcW w:w="2551" w:type="dxa"/>
            <w:vAlign w:val="center"/>
          </w:tcPr>
          <w:p>
            <w:pPr>
              <w:pStyle w:val="17"/>
            </w:pPr>
            <w:r>
              <w:t>456.00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648.21</w:t>
            </w:r>
          </w:p>
        </w:tc>
        <w:tc>
          <w:tcPr>
            <w:tcW w:w="2551" w:type="dxa"/>
            <w:vAlign w:val="center"/>
          </w:tcPr>
          <w:p>
            <w:pPr>
              <w:pStyle w:val="13"/>
            </w:pPr>
            <w:r>
              <w:t>292.21</w:t>
            </w:r>
          </w:p>
        </w:tc>
        <w:tc>
          <w:tcPr>
            <w:tcW w:w="2551" w:type="dxa"/>
            <w:vAlign w:val="center"/>
          </w:tcPr>
          <w:p>
            <w:pPr>
              <w:pStyle w:val="13"/>
            </w:pPr>
            <w:r>
              <w:t>356.00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179.00</w:t>
            </w:r>
          </w:p>
        </w:tc>
        <w:tc>
          <w:tcPr>
            <w:tcW w:w="2551" w:type="dxa"/>
            <w:vAlign w:val="center"/>
          </w:tcPr>
          <w:p>
            <w:pPr>
              <w:pStyle w:val="13"/>
            </w:pPr>
          </w:p>
        </w:tc>
        <w:tc>
          <w:tcPr>
            <w:tcW w:w="2551" w:type="dxa"/>
            <w:vAlign w:val="center"/>
          </w:tcPr>
          <w:p>
            <w:pPr>
              <w:pStyle w:val="13"/>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2040219</w:t>
            </w:r>
          </w:p>
        </w:tc>
        <w:tc>
          <w:tcPr>
            <w:tcW w:w="4535" w:type="dxa"/>
            <w:vAlign w:val="center"/>
          </w:tcPr>
          <w:p>
            <w:pPr>
              <w:pStyle w:val="14"/>
            </w:pPr>
            <w:r>
              <w:t>信息化建设</w:t>
            </w:r>
          </w:p>
        </w:tc>
        <w:tc>
          <w:tcPr>
            <w:tcW w:w="2551" w:type="dxa"/>
            <w:vAlign w:val="center"/>
          </w:tcPr>
          <w:p>
            <w:pPr>
              <w:pStyle w:val="13"/>
            </w:pPr>
            <w:r>
              <w:t>175.00</w:t>
            </w:r>
          </w:p>
        </w:tc>
        <w:tc>
          <w:tcPr>
            <w:tcW w:w="2551" w:type="dxa"/>
            <w:vAlign w:val="center"/>
          </w:tcPr>
          <w:p>
            <w:pPr>
              <w:pStyle w:val="13"/>
            </w:pPr>
          </w:p>
        </w:tc>
        <w:tc>
          <w:tcPr>
            <w:tcW w:w="2551" w:type="dxa"/>
            <w:vAlign w:val="center"/>
          </w:tcPr>
          <w:p>
            <w:pPr>
              <w:pStyle w:val="13"/>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2040299</w:t>
            </w:r>
          </w:p>
        </w:tc>
        <w:tc>
          <w:tcPr>
            <w:tcW w:w="4535" w:type="dxa"/>
            <w:vAlign w:val="center"/>
          </w:tcPr>
          <w:p>
            <w:pPr>
              <w:pStyle w:val="14"/>
            </w:pPr>
            <w:r>
              <w:t>其他公安支出</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20406</w:t>
            </w:r>
          </w:p>
        </w:tc>
        <w:tc>
          <w:tcPr>
            <w:tcW w:w="4535" w:type="dxa"/>
            <w:vAlign w:val="center"/>
          </w:tcPr>
          <w:p>
            <w:pPr>
              <w:pStyle w:val="14"/>
            </w:pPr>
            <w:r>
              <w:t>司法</w:t>
            </w:r>
          </w:p>
        </w:tc>
        <w:tc>
          <w:tcPr>
            <w:tcW w:w="2551" w:type="dxa"/>
            <w:vAlign w:val="center"/>
          </w:tcPr>
          <w:p>
            <w:pPr>
              <w:pStyle w:val="13"/>
            </w:pPr>
            <w:r>
              <w:t>367.21</w:t>
            </w:r>
          </w:p>
        </w:tc>
        <w:tc>
          <w:tcPr>
            <w:tcW w:w="2551" w:type="dxa"/>
            <w:vAlign w:val="center"/>
          </w:tcPr>
          <w:p>
            <w:pPr>
              <w:pStyle w:val="13"/>
            </w:pPr>
            <w:r>
              <w:t>292.21</w:t>
            </w:r>
          </w:p>
        </w:tc>
        <w:tc>
          <w:tcPr>
            <w:tcW w:w="2551"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2040601</w:t>
            </w:r>
          </w:p>
        </w:tc>
        <w:tc>
          <w:tcPr>
            <w:tcW w:w="4535" w:type="dxa"/>
            <w:vAlign w:val="center"/>
          </w:tcPr>
          <w:p>
            <w:pPr>
              <w:pStyle w:val="14"/>
            </w:pPr>
            <w:r>
              <w:t>行政运行</w:t>
            </w:r>
          </w:p>
        </w:tc>
        <w:tc>
          <w:tcPr>
            <w:tcW w:w="2551" w:type="dxa"/>
            <w:vAlign w:val="center"/>
          </w:tcPr>
          <w:p>
            <w:pPr>
              <w:pStyle w:val="13"/>
            </w:pPr>
            <w:r>
              <w:t>362.21</w:t>
            </w:r>
          </w:p>
        </w:tc>
        <w:tc>
          <w:tcPr>
            <w:tcW w:w="2551" w:type="dxa"/>
            <w:vAlign w:val="center"/>
          </w:tcPr>
          <w:p>
            <w:pPr>
              <w:pStyle w:val="13"/>
            </w:pPr>
            <w:r>
              <w:t>292.21</w:t>
            </w:r>
          </w:p>
        </w:tc>
        <w:tc>
          <w:tcPr>
            <w:tcW w:w="255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2040604</w:t>
            </w:r>
          </w:p>
        </w:tc>
        <w:tc>
          <w:tcPr>
            <w:tcW w:w="4535" w:type="dxa"/>
            <w:vAlign w:val="center"/>
          </w:tcPr>
          <w:p>
            <w:pPr>
              <w:pStyle w:val="14"/>
            </w:pPr>
            <w:r>
              <w:t>基层司法业务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20499</w:t>
            </w:r>
          </w:p>
        </w:tc>
        <w:tc>
          <w:tcPr>
            <w:tcW w:w="4535" w:type="dxa"/>
            <w:vAlign w:val="center"/>
          </w:tcPr>
          <w:p>
            <w:pPr>
              <w:pStyle w:val="14"/>
            </w:pPr>
            <w:r>
              <w:t>其他公共安全支出</w:t>
            </w:r>
          </w:p>
        </w:tc>
        <w:tc>
          <w:tcPr>
            <w:tcW w:w="2551" w:type="dxa"/>
            <w:vAlign w:val="center"/>
          </w:tcPr>
          <w:p>
            <w:pPr>
              <w:pStyle w:val="13"/>
            </w:pPr>
            <w:r>
              <w:t>102.00</w:t>
            </w:r>
          </w:p>
        </w:tc>
        <w:tc>
          <w:tcPr>
            <w:tcW w:w="2551" w:type="dxa"/>
            <w:vAlign w:val="center"/>
          </w:tcPr>
          <w:p>
            <w:pPr>
              <w:pStyle w:val="13"/>
            </w:pPr>
          </w:p>
        </w:tc>
        <w:tc>
          <w:tcPr>
            <w:tcW w:w="2551" w:type="dxa"/>
            <w:vAlign w:val="center"/>
          </w:tcPr>
          <w:p>
            <w:pPr>
              <w:pStyle w:val="13"/>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2049999</w:t>
            </w:r>
          </w:p>
        </w:tc>
        <w:tc>
          <w:tcPr>
            <w:tcW w:w="4535" w:type="dxa"/>
            <w:vAlign w:val="center"/>
          </w:tcPr>
          <w:p>
            <w:pPr>
              <w:pStyle w:val="14"/>
            </w:pPr>
            <w:r>
              <w:t>其他公共安全支出</w:t>
            </w:r>
          </w:p>
        </w:tc>
        <w:tc>
          <w:tcPr>
            <w:tcW w:w="2551" w:type="dxa"/>
            <w:vAlign w:val="center"/>
          </w:tcPr>
          <w:p>
            <w:pPr>
              <w:pStyle w:val="13"/>
            </w:pPr>
            <w:r>
              <w:t>102.00</w:t>
            </w:r>
          </w:p>
        </w:tc>
        <w:tc>
          <w:tcPr>
            <w:tcW w:w="2551" w:type="dxa"/>
            <w:vAlign w:val="center"/>
          </w:tcPr>
          <w:p>
            <w:pPr>
              <w:pStyle w:val="13"/>
            </w:pPr>
          </w:p>
        </w:tc>
        <w:tc>
          <w:tcPr>
            <w:tcW w:w="2551" w:type="dxa"/>
            <w:vAlign w:val="center"/>
          </w:tcPr>
          <w:p>
            <w:pPr>
              <w:pStyle w:val="13"/>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56.31</w:t>
            </w:r>
          </w:p>
        </w:tc>
        <w:tc>
          <w:tcPr>
            <w:tcW w:w="2551" w:type="dxa"/>
            <w:vAlign w:val="center"/>
          </w:tcPr>
          <w:p>
            <w:pPr>
              <w:pStyle w:val="13"/>
            </w:pPr>
            <w:r>
              <w:t>56.31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56.31</w:t>
            </w:r>
          </w:p>
        </w:tc>
        <w:tc>
          <w:tcPr>
            <w:tcW w:w="2551" w:type="dxa"/>
            <w:vAlign w:val="center"/>
          </w:tcPr>
          <w:p>
            <w:pPr>
              <w:pStyle w:val="13"/>
            </w:pPr>
            <w:r>
              <w:t>56.31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45.72</w:t>
            </w:r>
          </w:p>
        </w:tc>
        <w:tc>
          <w:tcPr>
            <w:tcW w:w="2551" w:type="dxa"/>
            <w:vAlign w:val="center"/>
          </w:tcPr>
          <w:p>
            <w:pPr>
              <w:pStyle w:val="13"/>
            </w:pPr>
            <w:r>
              <w:t>45.72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10.59</w:t>
            </w:r>
          </w:p>
        </w:tc>
        <w:tc>
          <w:tcPr>
            <w:tcW w:w="2551" w:type="dxa"/>
            <w:vAlign w:val="center"/>
          </w:tcPr>
          <w:p>
            <w:pPr>
              <w:pStyle w:val="13"/>
            </w:pPr>
            <w:r>
              <w:t>10.59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36.49</w:t>
            </w:r>
          </w:p>
        </w:tc>
        <w:tc>
          <w:tcPr>
            <w:tcW w:w="2551" w:type="dxa"/>
            <w:vAlign w:val="center"/>
          </w:tcPr>
          <w:p>
            <w:pPr>
              <w:pStyle w:val="13"/>
            </w:pPr>
            <w:r>
              <w:t>36.49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36.49</w:t>
            </w:r>
          </w:p>
        </w:tc>
        <w:tc>
          <w:tcPr>
            <w:tcW w:w="2551" w:type="dxa"/>
            <w:vAlign w:val="center"/>
          </w:tcPr>
          <w:p>
            <w:pPr>
              <w:pStyle w:val="13"/>
            </w:pPr>
            <w:r>
              <w:t>36.49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36.49</w:t>
            </w:r>
          </w:p>
        </w:tc>
        <w:tc>
          <w:tcPr>
            <w:tcW w:w="2551" w:type="dxa"/>
            <w:vAlign w:val="center"/>
          </w:tcPr>
          <w:p>
            <w:pPr>
              <w:pStyle w:val="13"/>
            </w:pPr>
            <w:r>
              <w:t>36.49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38.46</w:t>
            </w:r>
          </w:p>
        </w:tc>
        <w:tc>
          <w:tcPr>
            <w:tcW w:w="2551" w:type="dxa"/>
            <w:vAlign w:val="center"/>
          </w:tcPr>
          <w:p>
            <w:pPr>
              <w:pStyle w:val="13"/>
            </w:pPr>
            <w:r>
              <w:t>38.46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38.46</w:t>
            </w:r>
          </w:p>
        </w:tc>
        <w:tc>
          <w:tcPr>
            <w:tcW w:w="2551" w:type="dxa"/>
            <w:vAlign w:val="center"/>
          </w:tcPr>
          <w:p>
            <w:pPr>
              <w:pStyle w:val="13"/>
            </w:pPr>
            <w:r>
              <w:t>38.46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38.46</w:t>
            </w:r>
          </w:p>
        </w:tc>
        <w:tc>
          <w:tcPr>
            <w:tcW w:w="2551" w:type="dxa"/>
            <w:vAlign w:val="center"/>
          </w:tcPr>
          <w:p>
            <w:pPr>
              <w:pStyle w:val="13"/>
            </w:pPr>
            <w:r>
              <w:t>38.46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313中共秦皇岛北戴河新区工委政法委员会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423.47</w:t>
            </w:r>
          </w:p>
        </w:tc>
        <w:tc>
          <w:tcPr>
            <w:tcW w:w="2551" w:type="dxa"/>
            <w:vAlign w:val="center"/>
          </w:tcPr>
          <w:p>
            <w:pPr>
              <w:pStyle w:val="17"/>
            </w:pPr>
            <w:r>
              <w:t>392.11</w:t>
            </w:r>
          </w:p>
        </w:tc>
        <w:tc>
          <w:tcPr>
            <w:tcW w:w="2551" w:type="dxa"/>
            <w:vAlign w:val="center"/>
          </w:tcPr>
          <w:p>
            <w:pPr>
              <w:pStyle w:val="17"/>
            </w:pPr>
            <w:r>
              <w:t>31.36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392.11</w:t>
            </w:r>
          </w:p>
        </w:tc>
        <w:tc>
          <w:tcPr>
            <w:tcW w:w="2551" w:type="dxa"/>
            <w:vAlign w:val="center"/>
          </w:tcPr>
          <w:p>
            <w:pPr>
              <w:pStyle w:val="13"/>
            </w:pPr>
            <w:r>
              <w:t>392.11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88.28</w:t>
            </w:r>
          </w:p>
        </w:tc>
        <w:tc>
          <w:tcPr>
            <w:tcW w:w="2551" w:type="dxa"/>
            <w:vAlign w:val="center"/>
          </w:tcPr>
          <w:p>
            <w:pPr>
              <w:pStyle w:val="13"/>
            </w:pPr>
            <w:r>
              <w:t>88.28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75.56</w:t>
            </w:r>
          </w:p>
        </w:tc>
        <w:tc>
          <w:tcPr>
            <w:tcW w:w="2551" w:type="dxa"/>
            <w:vAlign w:val="center"/>
          </w:tcPr>
          <w:p>
            <w:pPr>
              <w:pStyle w:val="13"/>
            </w:pPr>
            <w:r>
              <w:t>75.56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63.99</w:t>
            </w:r>
          </w:p>
        </w:tc>
        <w:tc>
          <w:tcPr>
            <w:tcW w:w="2551" w:type="dxa"/>
            <w:vAlign w:val="center"/>
          </w:tcPr>
          <w:p>
            <w:pPr>
              <w:pStyle w:val="13"/>
            </w:pPr>
            <w:r>
              <w:t>63.99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30.65</w:t>
            </w:r>
          </w:p>
        </w:tc>
        <w:tc>
          <w:tcPr>
            <w:tcW w:w="2551" w:type="dxa"/>
            <w:vAlign w:val="center"/>
          </w:tcPr>
          <w:p>
            <w:pPr>
              <w:pStyle w:val="13"/>
            </w:pPr>
            <w:r>
              <w:t>30.65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45.72</w:t>
            </w:r>
          </w:p>
        </w:tc>
        <w:tc>
          <w:tcPr>
            <w:tcW w:w="2551" w:type="dxa"/>
            <w:vAlign w:val="center"/>
          </w:tcPr>
          <w:p>
            <w:pPr>
              <w:pStyle w:val="13"/>
            </w:pPr>
            <w:r>
              <w:t>45.72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10.59</w:t>
            </w:r>
          </w:p>
        </w:tc>
        <w:tc>
          <w:tcPr>
            <w:tcW w:w="2551" w:type="dxa"/>
            <w:vAlign w:val="center"/>
          </w:tcPr>
          <w:p>
            <w:pPr>
              <w:pStyle w:val="13"/>
            </w:pPr>
            <w:r>
              <w:t>10.59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36.49</w:t>
            </w:r>
          </w:p>
        </w:tc>
        <w:tc>
          <w:tcPr>
            <w:tcW w:w="2551" w:type="dxa"/>
            <w:vAlign w:val="center"/>
          </w:tcPr>
          <w:p>
            <w:pPr>
              <w:pStyle w:val="13"/>
            </w:pPr>
            <w:r>
              <w:t>36.49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2.37</w:t>
            </w:r>
          </w:p>
        </w:tc>
        <w:tc>
          <w:tcPr>
            <w:tcW w:w="2551" w:type="dxa"/>
            <w:vAlign w:val="center"/>
          </w:tcPr>
          <w:p>
            <w:pPr>
              <w:pStyle w:val="13"/>
            </w:pPr>
            <w:r>
              <w:t>2.37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38.46</w:t>
            </w:r>
          </w:p>
        </w:tc>
        <w:tc>
          <w:tcPr>
            <w:tcW w:w="2551" w:type="dxa"/>
            <w:vAlign w:val="center"/>
          </w:tcPr>
          <w:p>
            <w:pPr>
              <w:pStyle w:val="13"/>
            </w:pPr>
            <w:r>
              <w:t>38.46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30.52</w:t>
            </w:r>
          </w:p>
        </w:tc>
        <w:tc>
          <w:tcPr>
            <w:tcW w:w="2551" w:type="dxa"/>
            <w:vAlign w:val="center"/>
          </w:tcPr>
          <w:p>
            <w:pPr>
              <w:pStyle w:val="13"/>
            </w:pPr>
          </w:p>
        </w:tc>
        <w:tc>
          <w:tcPr>
            <w:tcW w:w="2551" w:type="dxa"/>
            <w:vAlign w:val="center"/>
          </w:tcPr>
          <w:p>
            <w:pPr>
              <w:pStyle w:val="13"/>
            </w:pPr>
            <w:r>
              <w:t>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6.30</w:t>
            </w:r>
          </w:p>
        </w:tc>
        <w:tc>
          <w:tcPr>
            <w:tcW w:w="2551" w:type="dxa"/>
            <w:vAlign w:val="center"/>
          </w:tcPr>
          <w:p>
            <w:pPr>
              <w:pStyle w:val="13"/>
            </w:pPr>
          </w:p>
        </w:tc>
        <w:tc>
          <w:tcPr>
            <w:tcW w:w="2551" w:type="dxa"/>
            <w:vAlign w:val="center"/>
          </w:tcPr>
          <w:p>
            <w:pPr>
              <w:pStyle w:val="13"/>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3.36</w:t>
            </w:r>
          </w:p>
        </w:tc>
        <w:tc>
          <w:tcPr>
            <w:tcW w:w="2551" w:type="dxa"/>
            <w:vAlign w:val="center"/>
          </w:tcPr>
          <w:p>
            <w:pPr>
              <w:pStyle w:val="13"/>
            </w:pPr>
          </w:p>
        </w:tc>
        <w:tc>
          <w:tcPr>
            <w:tcW w:w="2551" w:type="dxa"/>
            <w:vAlign w:val="center"/>
          </w:tcPr>
          <w:p>
            <w:pPr>
              <w:pStyle w:val="13"/>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2.39</w:t>
            </w:r>
          </w:p>
        </w:tc>
        <w:tc>
          <w:tcPr>
            <w:tcW w:w="2551" w:type="dxa"/>
            <w:vAlign w:val="center"/>
          </w:tcPr>
          <w:p>
            <w:pPr>
              <w:pStyle w:val="13"/>
            </w:pPr>
          </w:p>
        </w:tc>
        <w:tc>
          <w:tcPr>
            <w:tcW w:w="2551" w:type="dxa"/>
            <w:vAlign w:val="center"/>
          </w:tcPr>
          <w:p>
            <w:pPr>
              <w:pStyle w:val="13"/>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0.29</w:t>
            </w:r>
          </w:p>
        </w:tc>
        <w:tc>
          <w:tcPr>
            <w:tcW w:w="2551" w:type="dxa"/>
            <w:vAlign w:val="center"/>
          </w:tcPr>
          <w:p>
            <w:pPr>
              <w:pStyle w:val="13"/>
            </w:pPr>
          </w:p>
        </w:tc>
        <w:tc>
          <w:tcPr>
            <w:tcW w:w="2551" w:type="dxa"/>
            <w:vAlign w:val="center"/>
          </w:tcPr>
          <w:p>
            <w:pPr>
              <w:pStyle w:val="13"/>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3.19</w:t>
            </w:r>
          </w:p>
        </w:tc>
        <w:tc>
          <w:tcPr>
            <w:tcW w:w="2551" w:type="dxa"/>
            <w:vAlign w:val="center"/>
          </w:tcPr>
          <w:p>
            <w:pPr>
              <w:pStyle w:val="13"/>
            </w:pPr>
          </w:p>
        </w:tc>
        <w:tc>
          <w:tcPr>
            <w:tcW w:w="2551" w:type="dxa"/>
            <w:vAlign w:val="center"/>
          </w:tcPr>
          <w:p>
            <w:pPr>
              <w:pStyle w:val="13"/>
            </w:pPr>
            <w: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w:t>
            </w:r>
          </w:p>
        </w:tc>
        <w:tc>
          <w:tcPr>
            <w:tcW w:w="2551" w:type="dxa"/>
            <w:vAlign w:val="center"/>
          </w:tcPr>
          <w:p>
            <w:pPr>
              <w:pStyle w:val="13"/>
            </w:pPr>
          </w:p>
        </w:tc>
        <w:tc>
          <w:tcPr>
            <w:tcW w:w="2551" w:type="dxa"/>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7.02</w:t>
            </w:r>
          </w:p>
        </w:tc>
        <w:tc>
          <w:tcPr>
            <w:tcW w:w="2551" w:type="dxa"/>
            <w:vAlign w:val="center"/>
          </w:tcPr>
          <w:p>
            <w:pPr>
              <w:pStyle w:val="13"/>
            </w:pPr>
          </w:p>
        </w:tc>
        <w:tc>
          <w:tcPr>
            <w:tcW w:w="2551" w:type="dxa"/>
            <w:vAlign w:val="center"/>
          </w:tcPr>
          <w:p>
            <w:pPr>
              <w:pStyle w:val="13"/>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313中共秦皇岛北戴河新区工委政法委员会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3"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313中共秦皇岛北戴河新区工委政法委员会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3"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313中共秦皇岛北戴河新区工委政法委员会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3"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2.59</w:t>
            </w:r>
          </w:p>
        </w:tc>
        <w:tc>
          <w:tcPr>
            <w:tcW w:w="2381" w:type="dxa"/>
            <w:vAlign w:val="center"/>
          </w:tcPr>
          <w:p>
            <w:pPr>
              <w:pStyle w:val="17"/>
            </w:pPr>
            <w:r>
              <w:t>2.59</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r>
              <w:t>2.30</w:t>
            </w:r>
          </w:p>
        </w:tc>
        <w:tc>
          <w:tcPr>
            <w:tcW w:w="2381" w:type="dxa"/>
            <w:vAlign w:val="center"/>
          </w:tcPr>
          <w:p>
            <w:pPr>
              <w:pStyle w:val="13"/>
            </w:pPr>
            <w:r>
              <w:t>2.30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2.30</w:t>
            </w:r>
          </w:p>
        </w:tc>
        <w:tc>
          <w:tcPr>
            <w:tcW w:w="2381" w:type="dxa"/>
            <w:vAlign w:val="center"/>
          </w:tcPr>
          <w:p>
            <w:pPr>
              <w:pStyle w:val="13"/>
            </w:pPr>
            <w:r>
              <w:t>2.30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0.29</w:t>
            </w:r>
          </w:p>
        </w:tc>
        <w:tc>
          <w:tcPr>
            <w:tcW w:w="2381" w:type="dxa"/>
            <w:vAlign w:val="center"/>
          </w:tcPr>
          <w:p>
            <w:pPr>
              <w:pStyle w:val="13"/>
            </w:pPr>
            <w:r>
              <w:t>0.29</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中共秦皇岛北戴河新区工委政法委员会2023年部门预算信息公开情况说明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中共秦皇岛北戴河新区工委政法委员会2023年部门预算信息公开情况说明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按照《预算法》、《地方预决算公开操作规程》和《关于进一步推进预算公开工作的实施意见》规定，现将中共秦皇岛北戴河新区工委政法委员会2023年部门预算公开如下：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根据《秦皇岛北戴河新区政法委职能配置、内设机构和人员编制规定》，秦皇岛北戴河新区政法委的主要职责是：</w:t>
      </w:r>
    </w:p>
    <w:p>
      <w:pPr>
        <w:pStyle w:val="19"/>
      </w:pPr>
      <w:r>
        <w:t>一、负责对新区政法工作研究提出全局性部署，推进平安新区、法治新区建设，加强过硬队伍建设，深化智能化建设。负责了解掌握和分析研判政法工作动态，分析社会稳定形势，协调推动预防、化解影响稳定的社会矛盾和风险，协调应对和处置重大突发事件。负责掌握分析政法舆情动态，指导协调政法部门媒体网络宣传工作，指导政法部门做好涉及政法工作的重大宣传工作。负责加强对政法工作的督查，统筹协调社会治安综合治理、维护社会稳定、反邪教有关法律法规政策的实施工作。定期研究分析新区扫黑除恶斗争形势，研究提出报请解决的重大问题，提出新区扫黑除恶斗争的政策措施和工作机制。负责监督和支持政法单位依法行使职权，指导政法单位涉法涉诉信访工作。开展涉及国家安全重大问题的调查研究。开展国家安全、扫黑除恶、反邪教等宣传教育，组织推进领导干部国家安全培训和学校国家安全教育，提高全社会国家安全法治意识。</w:t>
      </w:r>
    </w:p>
    <w:p>
      <w:pPr>
        <w:pStyle w:val="19"/>
      </w:pPr>
      <w:r>
        <w:t>二、接受来信，接待来访，为信访人提供服务、接受上级机关转办、交办的信访事项，向下级单位或者有关机关转办、交办信访事项，并负责督促、检查、认真开展矛盾纠纷排查化解工作，组织对重点领域、重点群体、重点问题、重点人员、涉军群体的全覆盖无疏漏的信访苗头和集体上访隐患大排查活动、做好重点人员稳控工作，及时妥善处理群众的合法合理诉求的同时，耐心细致做好政策法规宣传解释和群众情绪疏导工作、做好敏感时期信访稳定工作，维护社会和谐稳定。</w:t>
      </w:r>
    </w:p>
    <w:p>
      <w:pPr>
        <w:pStyle w:val="19"/>
      </w:pPr>
      <w:r>
        <w:t>三、负责特殊人群教育监管工作，组织开展社区矫正工作、安置帮教工作、社区戒毒（康复）中心工作。负责社会矛盾多元化解工作，组织开展人民调解工作。负责法律服务市场构建工作，推动律师、公证、法律援助等公共法律服务工作有效开展，不断完善基层公共法律服务体系。负责行政决策服务保证工作，监督、指导管委各部门行政规范性文件工作，对制发的行政规范性文件进行合法性审核、备案、清理，及时提出修改、废止的意见建议；对新区重大行政决策进行合法性审核。负责行政争议协调解决工作，承办以管委为被申请人的行政复议案件，承办以管委为实行的行政应诉案件，承担行政复议、行政应诉的监督指导工作。负责行政执法协调监督工作，负责组织开展行政执法监督检查，提出改进和加强行政执法的意见建议；负责全区行政执法主体资格的审查、认定，组织实施行政执法主体资格培训考试，负责行政执法证件的核发管理。承担新区法治宣传教育领导小组办公室职能，负责办公室日常工作及综合协调全区各单位开展年度法治宣传教育工作；负责组织开展法治宣传教育五年规划各项工作。承担北戴河新区工委全面依法治区委员会办公室职能；组织开展全区法治建设半年及年终督导考核工作。负责组织协调全区各单位开展法治政府建设工作，开展全区法治政府建设半年及年终督导考核工作。负责政府法律顾问的聘用、管理工作，充分发挥法律顾问在重在行政决策、法律风险防范、法律事务处置、制度机制建设等环节的积极作用。负责指导管理基层司法所开展各项职能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中共秦皇岛北戴河新区工委政法委员会本级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rPr>
          <w:color w:val="auto"/>
          <w:highlight w:val="none"/>
        </w:rPr>
      </w:pPr>
      <w:bookmarkStart w:id="10" w:name="_Toc_3_3_0000000011"/>
      <w:r>
        <w:rPr>
          <w:rFonts w:ascii="黑体" w:hAnsi="黑体" w:eastAsia="黑体" w:cs="黑体"/>
          <w:color w:val="auto"/>
          <w:sz w:val="32"/>
          <w:highlight w:val="none"/>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auto"/>
          <w:sz w:val="28"/>
          <w:highlight w:val="none"/>
        </w:rPr>
      </w:pPr>
      <w:r>
        <w:rPr>
          <w:rFonts w:ascii="Times New Roman" w:hAnsi="Times New Roman" w:eastAsia="方正仿宋_GBK" w:cs="Times New Roman"/>
          <w:color w:val="auto"/>
          <w:sz w:val="28"/>
          <w:highlight w:val="none"/>
        </w:rPr>
        <w:t>按照预算管理有关规定，目前我部门预算的编制实行综合预算管理，即全部收入和支出都反映在预算中。中共秦皇岛北戴河新区工委政法委员会机关及所属事业单位的收支包含在部门预算中。</w:t>
      </w:r>
    </w:p>
    <w:p>
      <w:pPr>
        <w:ind w:firstLine="643" w:firstLineChars="200"/>
        <w:rPr>
          <w:rFonts w:ascii="仿宋" w:hAnsi="仿宋" w:eastAsia="仿宋"/>
          <w:b/>
          <w:color w:val="auto"/>
          <w:sz w:val="32"/>
          <w:szCs w:val="32"/>
          <w:highlight w:val="none"/>
        </w:rPr>
      </w:pPr>
    </w:p>
    <w:p>
      <w:pPr>
        <w:ind w:firstLine="643" w:firstLineChars="200"/>
        <w:rPr>
          <w:rFonts w:ascii="仿宋" w:hAnsi="仿宋" w:eastAsia="仿宋"/>
          <w:b/>
          <w:color w:val="auto"/>
          <w:sz w:val="32"/>
          <w:szCs w:val="32"/>
          <w:highlight w:val="none"/>
        </w:rPr>
      </w:pPr>
      <w:r>
        <w:rPr>
          <w:rFonts w:ascii="仿宋" w:hAnsi="仿宋" w:eastAsia="仿宋"/>
          <w:b/>
          <w:color w:val="auto"/>
          <w:sz w:val="32"/>
          <w:szCs w:val="32"/>
          <w:highlight w:val="none"/>
        </w:rPr>
        <w:t>1.收入说明</w:t>
      </w:r>
    </w:p>
    <w:p>
      <w:pPr>
        <w:spacing w:line="500" w:lineRule="exact"/>
        <w:ind w:firstLine="560" w:firstLineChars="200"/>
        <w:jc w:val="left"/>
        <w:rPr>
          <w:rFonts w:hint="eastAsia" w:ascii="Times New Roman" w:eastAsia="方正仿宋_GBK"/>
          <w:color w:val="auto"/>
          <w:sz w:val="28"/>
          <w:highlight w:val="none"/>
        </w:rPr>
      </w:pPr>
      <w:r>
        <w:rPr>
          <w:rFonts w:ascii="Times New Roman" w:eastAsia="方正仿宋_GBK"/>
          <w:color w:val="auto"/>
          <w:sz w:val="28"/>
          <w:highlight w:val="none"/>
        </w:rPr>
        <w:t>反映本部门当年全部收入，</w:t>
      </w:r>
      <w:r>
        <w:rPr>
          <w:rFonts w:hint="eastAsia" w:ascii="Times New Roman" w:eastAsia="方正仿宋_GBK"/>
          <w:color w:val="auto"/>
          <w:sz w:val="28"/>
          <w:highlight w:val="none"/>
        </w:rPr>
        <w:t>202</w:t>
      </w:r>
      <w:r>
        <w:rPr>
          <w:rFonts w:hint="default" w:eastAsia="方正仿宋_GBK"/>
          <w:color w:val="auto"/>
          <w:sz w:val="28"/>
          <w:highlight w:val="none"/>
          <w:lang w:val="en-US" w:eastAsia="zh-CN"/>
        </w:rPr>
        <w:t>3</w:t>
      </w:r>
      <w:r>
        <w:rPr>
          <w:rFonts w:ascii="Times New Roman" w:eastAsia="方正仿宋_GBK"/>
          <w:color w:val="auto"/>
          <w:sz w:val="28"/>
          <w:highlight w:val="none"/>
        </w:rPr>
        <w:t>年预算收入</w:t>
      </w:r>
      <w:r>
        <w:rPr>
          <w:rFonts w:hint="default" w:eastAsia="方正仿宋_GBK"/>
          <w:color w:val="auto"/>
          <w:sz w:val="28"/>
          <w:highlight w:val="none"/>
          <w:lang w:val="en-US" w:eastAsia="zh-CN"/>
        </w:rPr>
        <w:t>879.47</w:t>
      </w:r>
      <w:r>
        <w:rPr>
          <w:rFonts w:ascii="Times New Roman" w:eastAsia="方正仿宋_GBK"/>
          <w:color w:val="auto"/>
          <w:sz w:val="28"/>
          <w:highlight w:val="none"/>
        </w:rPr>
        <w:t>万元。一般公共预算拨款</w:t>
      </w:r>
      <w:r>
        <w:rPr>
          <w:rFonts w:hint="default" w:eastAsia="方正仿宋_GBK"/>
          <w:color w:val="auto"/>
          <w:sz w:val="28"/>
          <w:highlight w:val="none"/>
          <w:lang w:val="en-US" w:eastAsia="zh-CN"/>
        </w:rPr>
        <w:t>879.47</w:t>
      </w:r>
      <w:r>
        <w:rPr>
          <w:rFonts w:ascii="Times New Roman" w:eastAsia="方正仿宋_GBK"/>
          <w:color w:val="auto"/>
          <w:sz w:val="28"/>
          <w:highlight w:val="none"/>
        </w:rPr>
        <w:t>万元。</w:t>
      </w:r>
    </w:p>
    <w:p>
      <w:pPr>
        <w:ind w:left="640"/>
        <w:rPr>
          <w:rFonts w:ascii="仿宋" w:hAnsi="仿宋" w:eastAsia="仿宋"/>
          <w:b/>
          <w:color w:val="auto"/>
          <w:sz w:val="32"/>
          <w:szCs w:val="32"/>
          <w:highlight w:val="none"/>
        </w:rPr>
      </w:pPr>
      <w:r>
        <w:rPr>
          <w:rFonts w:ascii="仿宋" w:hAnsi="仿宋" w:eastAsia="仿宋"/>
          <w:b/>
          <w:color w:val="auto"/>
          <w:sz w:val="32"/>
          <w:szCs w:val="32"/>
          <w:highlight w:val="none"/>
        </w:rPr>
        <w:t>2.支出说明</w:t>
      </w:r>
    </w:p>
    <w:p>
      <w:pPr>
        <w:rPr>
          <w:rFonts w:ascii="Times New Roman" w:eastAsia="方正仿宋_GBK"/>
          <w:color w:val="auto"/>
          <w:sz w:val="28"/>
          <w:highlight w:val="none"/>
        </w:rPr>
      </w:pP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 xml:space="preserve">   </w:t>
      </w:r>
      <w:bookmarkStart w:id="18" w:name="_GoBack"/>
      <w:bookmarkEnd w:id="18"/>
      <w:r>
        <w:rPr>
          <w:rFonts w:ascii="Times New Roman" w:eastAsia="方正仿宋_GBK"/>
          <w:color w:val="auto"/>
          <w:sz w:val="28"/>
          <w:highlight w:val="none"/>
        </w:rPr>
        <w:t>收支总表支出栏、基本支出表、项目支出表按经济分类和支出功能分类科目编制，反映部门预算中支出预算的总体情况。</w:t>
      </w:r>
      <w:r>
        <w:rPr>
          <w:rFonts w:hint="eastAsia" w:ascii="Times New Roman" w:eastAsia="方正仿宋_GBK"/>
          <w:color w:val="auto"/>
          <w:sz w:val="28"/>
          <w:highlight w:val="none"/>
        </w:rPr>
        <w:t>202</w:t>
      </w:r>
      <w:r>
        <w:rPr>
          <w:rFonts w:hint="default" w:eastAsia="方正仿宋_GBK"/>
          <w:color w:val="auto"/>
          <w:sz w:val="28"/>
          <w:highlight w:val="none"/>
          <w:lang w:val="en-US" w:eastAsia="zh-CN"/>
        </w:rPr>
        <w:t>3</w:t>
      </w:r>
      <w:r>
        <w:rPr>
          <w:rFonts w:ascii="Times New Roman" w:eastAsia="方正仿宋_GBK"/>
          <w:color w:val="auto"/>
          <w:sz w:val="28"/>
          <w:highlight w:val="none"/>
        </w:rPr>
        <w:t>年部门支出预算为</w:t>
      </w:r>
      <w:r>
        <w:rPr>
          <w:rFonts w:hint="eastAsia" w:eastAsia="方正仿宋_GBK"/>
          <w:color w:val="auto"/>
          <w:sz w:val="28"/>
          <w:highlight w:val="none"/>
          <w:lang w:val="en-US" w:eastAsia="zh-CN"/>
        </w:rPr>
        <w:t>879.47</w:t>
      </w:r>
      <w:r>
        <w:rPr>
          <w:rFonts w:ascii="Times New Roman" w:eastAsia="方正仿宋_GBK"/>
          <w:color w:val="auto"/>
          <w:sz w:val="28"/>
          <w:highlight w:val="none"/>
        </w:rPr>
        <w:t>万元，其中基本支出</w:t>
      </w:r>
      <w:r>
        <w:rPr>
          <w:rFonts w:hint="eastAsia" w:eastAsia="方正仿宋_GBK"/>
          <w:color w:val="auto"/>
          <w:sz w:val="28"/>
          <w:highlight w:val="none"/>
          <w:lang w:val="en-US" w:eastAsia="zh-CN"/>
        </w:rPr>
        <w:t>423.47</w:t>
      </w:r>
      <w:r>
        <w:rPr>
          <w:rFonts w:ascii="Times New Roman" w:eastAsia="方正仿宋_GBK"/>
          <w:color w:val="auto"/>
          <w:sz w:val="28"/>
          <w:highlight w:val="none"/>
        </w:rPr>
        <w:t>万元，包括人员经费</w:t>
      </w:r>
      <w:r>
        <w:rPr>
          <w:rFonts w:hint="eastAsia" w:eastAsia="方正仿宋_GBK"/>
          <w:color w:val="auto"/>
          <w:sz w:val="28"/>
          <w:highlight w:val="none"/>
          <w:lang w:val="en-US" w:eastAsia="zh-CN"/>
        </w:rPr>
        <w:t>392.11</w:t>
      </w:r>
      <w:r>
        <w:rPr>
          <w:rFonts w:ascii="Times New Roman" w:eastAsia="方正仿宋_GBK"/>
          <w:color w:val="auto"/>
          <w:sz w:val="28"/>
          <w:highlight w:val="none"/>
        </w:rPr>
        <w:t>万元和日常公用经费</w:t>
      </w:r>
      <w:r>
        <w:rPr>
          <w:rFonts w:hint="eastAsia" w:eastAsia="方正仿宋_GBK"/>
          <w:color w:val="auto"/>
          <w:sz w:val="28"/>
          <w:highlight w:val="none"/>
          <w:lang w:val="en-US" w:eastAsia="zh-CN"/>
        </w:rPr>
        <w:t>31.36</w:t>
      </w:r>
      <w:r>
        <w:rPr>
          <w:rFonts w:ascii="Times New Roman" w:eastAsia="方正仿宋_GBK"/>
          <w:color w:val="auto"/>
          <w:sz w:val="28"/>
          <w:highlight w:val="none"/>
        </w:rPr>
        <w:t>万元；项目支出</w:t>
      </w:r>
      <w:r>
        <w:rPr>
          <w:rFonts w:hint="eastAsia" w:eastAsia="方正仿宋_GBK"/>
          <w:color w:val="auto"/>
          <w:sz w:val="28"/>
          <w:highlight w:val="none"/>
          <w:lang w:val="en-US" w:eastAsia="zh-CN"/>
        </w:rPr>
        <w:t>456.00</w:t>
      </w:r>
      <w:r>
        <w:rPr>
          <w:rFonts w:ascii="Times New Roman" w:eastAsia="方正仿宋_GBK"/>
          <w:color w:val="auto"/>
          <w:sz w:val="28"/>
          <w:highlight w:val="none"/>
        </w:rPr>
        <w:t>万元，全部为本级支出</w:t>
      </w:r>
      <w:r>
        <w:rPr>
          <w:rFonts w:hint="eastAsia" w:eastAsia="方正仿宋_GBK"/>
          <w:color w:val="auto"/>
          <w:sz w:val="28"/>
          <w:highlight w:val="none"/>
          <w:lang w:eastAsia="zh-CN"/>
        </w:rPr>
        <w:t>，</w:t>
      </w:r>
      <w:r>
        <w:rPr>
          <w:rFonts w:hint="eastAsia" w:eastAsia="方正仿宋_GBK"/>
          <w:color w:val="auto"/>
          <w:sz w:val="28"/>
          <w:highlight w:val="none"/>
          <w:lang w:val="en-US" w:eastAsia="zh-CN"/>
        </w:rPr>
        <w:t>主要为</w:t>
      </w:r>
      <w:r>
        <w:rPr>
          <w:rFonts w:ascii="Times New Roman" w:eastAsia="方正仿宋_GBK"/>
          <w:color w:val="auto"/>
          <w:sz w:val="28"/>
          <w:highlight w:val="none"/>
        </w:rPr>
        <w:t>干警意外伤害保险</w:t>
      </w:r>
      <w:r>
        <w:rPr>
          <w:rFonts w:hint="eastAsia" w:ascii="Times New Roman" w:eastAsia="方正仿宋_GBK"/>
          <w:color w:val="auto"/>
          <w:sz w:val="28"/>
          <w:highlight w:val="none"/>
          <w:lang w:eastAsia="zh-CN"/>
        </w:rPr>
        <w:t>、</w:t>
      </w:r>
      <w:r>
        <w:rPr>
          <w:rFonts w:ascii="Times New Roman" w:eastAsia="方正仿宋_GBK"/>
          <w:color w:val="auto"/>
          <w:sz w:val="28"/>
          <w:highlight w:val="none"/>
        </w:rPr>
        <w:t>司法业务经费</w:t>
      </w:r>
      <w:r>
        <w:rPr>
          <w:rFonts w:hint="eastAsia" w:ascii="Times New Roman" w:eastAsia="方正仿宋_GBK"/>
          <w:color w:val="auto"/>
          <w:sz w:val="28"/>
          <w:highlight w:val="none"/>
          <w:lang w:eastAsia="zh-CN"/>
        </w:rPr>
        <w:t>、</w:t>
      </w:r>
      <w:r>
        <w:rPr>
          <w:rFonts w:ascii="Times New Roman" w:eastAsia="方正仿宋_GBK"/>
          <w:color w:val="auto"/>
          <w:sz w:val="28"/>
          <w:highlight w:val="none"/>
        </w:rPr>
        <w:t>网格化建设工作经费</w:t>
      </w:r>
      <w:r>
        <w:rPr>
          <w:rFonts w:hint="eastAsia" w:ascii="Times New Roman" w:eastAsia="方正仿宋_GBK"/>
          <w:color w:val="auto"/>
          <w:sz w:val="28"/>
          <w:highlight w:val="none"/>
          <w:lang w:eastAsia="zh-CN"/>
        </w:rPr>
        <w:t>、</w:t>
      </w:r>
      <w:r>
        <w:rPr>
          <w:rFonts w:ascii="Times New Roman" w:eastAsia="方正仿宋_GBK"/>
          <w:color w:val="auto"/>
          <w:sz w:val="28"/>
          <w:highlight w:val="none"/>
        </w:rPr>
        <w:t>信访维稳工作</w:t>
      </w:r>
      <w:r>
        <w:rPr>
          <w:rFonts w:hint="eastAsia" w:ascii="Times New Roman" w:eastAsia="方正仿宋_GBK"/>
          <w:color w:val="auto"/>
          <w:sz w:val="28"/>
          <w:highlight w:val="none"/>
          <w:lang w:eastAsia="zh-CN"/>
        </w:rPr>
        <w:t>、</w:t>
      </w:r>
      <w:r>
        <w:rPr>
          <w:rFonts w:ascii="Times New Roman" w:eastAsia="方正仿宋_GBK"/>
          <w:color w:val="auto"/>
          <w:sz w:val="28"/>
          <w:highlight w:val="none"/>
        </w:rPr>
        <w:t>综治、防范及护路联防工作经费</w:t>
      </w:r>
      <w:r>
        <w:rPr>
          <w:rFonts w:ascii="Times New Roman" w:eastAsia="方正仿宋_GBK"/>
          <w:color w:val="auto"/>
          <w:sz w:val="28"/>
          <w:highlight w:val="none"/>
        </w:rPr>
        <w:t>。</w:t>
      </w:r>
    </w:p>
    <w:p>
      <w:pPr>
        <w:ind w:left="640"/>
        <w:rPr>
          <w:rFonts w:ascii="仿宋" w:hAnsi="仿宋" w:eastAsia="仿宋"/>
          <w:b/>
          <w:color w:val="auto"/>
          <w:sz w:val="32"/>
          <w:szCs w:val="32"/>
          <w:highlight w:val="none"/>
        </w:rPr>
      </w:pPr>
      <w:r>
        <w:rPr>
          <w:rFonts w:ascii="仿宋" w:hAnsi="仿宋" w:eastAsia="仿宋"/>
          <w:b/>
          <w:color w:val="auto"/>
          <w:sz w:val="32"/>
          <w:szCs w:val="32"/>
          <w:highlight w:val="none"/>
        </w:rPr>
        <w:t>3.比上年增减情况</w:t>
      </w:r>
    </w:p>
    <w:p>
      <w:pPr>
        <w:pStyle w:val="20"/>
        <w:rPr>
          <w:color w:val="auto"/>
          <w:highlight w:val="none"/>
        </w:rPr>
      </w:pPr>
      <w:r>
        <w:rPr>
          <w:rFonts w:ascii="仿宋" w:hAnsi="仿宋" w:eastAsia="仿宋"/>
          <w:color w:val="auto"/>
          <w:sz w:val="32"/>
          <w:szCs w:val="32"/>
          <w:highlight w:val="none"/>
        </w:rPr>
        <w:t xml:space="preserve">   </w:t>
      </w:r>
      <w:r>
        <w:rPr>
          <w:rFonts w:hint="eastAsia" w:ascii="Times New Roman" w:eastAsia="方正仿宋_GBK"/>
          <w:color w:val="auto"/>
          <w:sz w:val="28"/>
          <w:highlight w:val="none"/>
        </w:rPr>
        <w:t xml:space="preserve"> 202</w:t>
      </w:r>
      <w:r>
        <w:rPr>
          <w:rFonts w:hint="default"/>
          <w:color w:val="auto"/>
          <w:sz w:val="28"/>
          <w:highlight w:val="none"/>
          <w:lang w:val="en-US" w:eastAsia="zh-CN"/>
        </w:rPr>
        <w:t>3</w:t>
      </w:r>
      <w:r>
        <w:rPr>
          <w:rFonts w:ascii="Times New Roman" w:eastAsia="方正仿宋_GBK"/>
          <w:color w:val="auto"/>
          <w:sz w:val="28"/>
          <w:highlight w:val="none"/>
        </w:rPr>
        <w:t>年部门预算较20</w:t>
      </w:r>
      <w:r>
        <w:rPr>
          <w:rFonts w:hint="eastAsia" w:ascii="Times New Roman" w:eastAsia="方正仿宋_GBK"/>
          <w:color w:val="auto"/>
          <w:sz w:val="28"/>
          <w:highlight w:val="none"/>
          <w:lang w:val="en-US" w:eastAsia="zh-CN"/>
        </w:rPr>
        <w:t>2</w:t>
      </w:r>
      <w:r>
        <w:rPr>
          <w:rFonts w:hint="default"/>
          <w:color w:val="auto"/>
          <w:sz w:val="28"/>
          <w:highlight w:val="none"/>
          <w:lang w:val="en-US" w:eastAsia="zh-CN"/>
        </w:rPr>
        <w:t>2</w:t>
      </w:r>
      <w:r>
        <w:rPr>
          <w:rFonts w:ascii="Times New Roman" w:eastAsia="方正仿宋_GBK"/>
          <w:color w:val="auto"/>
          <w:sz w:val="28"/>
          <w:highlight w:val="none"/>
        </w:rPr>
        <w:t>年</w:t>
      </w:r>
      <w:r>
        <w:rPr>
          <w:rFonts w:hint="eastAsia"/>
          <w:color w:val="auto"/>
          <w:sz w:val="28"/>
          <w:highlight w:val="none"/>
          <w:lang w:eastAsia="zh-CN"/>
        </w:rPr>
        <w:t>增加</w:t>
      </w:r>
      <w:r>
        <w:rPr>
          <w:rFonts w:hint="eastAsia"/>
          <w:color w:val="auto"/>
          <w:sz w:val="28"/>
          <w:highlight w:val="none"/>
          <w:lang w:val="en-US" w:eastAsia="zh-CN"/>
        </w:rPr>
        <w:t>879.47</w:t>
      </w:r>
      <w:r>
        <w:rPr>
          <w:rFonts w:ascii="Times New Roman" w:eastAsia="方正仿宋_GBK"/>
          <w:color w:val="auto"/>
          <w:sz w:val="28"/>
          <w:highlight w:val="none"/>
        </w:rPr>
        <w:t>万元，主要是</w:t>
      </w:r>
      <w:r>
        <w:rPr>
          <w:rFonts w:hint="eastAsia" w:ascii="Times New Roman" w:eastAsia="方正仿宋_GBK"/>
          <w:color w:val="auto"/>
          <w:sz w:val="28"/>
          <w:highlight w:val="none"/>
        </w:rPr>
        <w:t>202</w:t>
      </w:r>
      <w:r>
        <w:rPr>
          <w:rFonts w:hint="default"/>
          <w:color w:val="auto"/>
          <w:sz w:val="28"/>
          <w:highlight w:val="none"/>
          <w:lang w:val="en-US" w:eastAsia="zh-CN"/>
        </w:rPr>
        <w:t>3</w:t>
      </w:r>
      <w:r>
        <w:rPr>
          <w:rFonts w:ascii="Times New Roman" w:eastAsia="方正仿宋_GBK"/>
          <w:color w:val="auto"/>
          <w:sz w:val="28"/>
          <w:highlight w:val="none"/>
        </w:rPr>
        <w:t>年</w:t>
      </w:r>
      <w:r>
        <w:rPr>
          <w:rFonts w:hint="eastAsia"/>
          <w:color w:val="auto"/>
          <w:sz w:val="28"/>
          <w:highlight w:val="none"/>
          <w:lang w:eastAsia="zh-CN"/>
        </w:rPr>
        <w:t>新成立部门，</w:t>
      </w:r>
      <w:r>
        <w:rPr>
          <w:rFonts w:hint="eastAsia"/>
          <w:color w:val="auto"/>
          <w:sz w:val="28"/>
          <w:highlight w:val="none"/>
          <w:lang w:val="en-US" w:eastAsia="zh-CN"/>
        </w:rPr>
        <w:t>2022年无预算</w:t>
      </w:r>
      <w:r>
        <w:rPr>
          <w:rFonts w:hint="eastAsia" w:ascii="Times New Roman" w:eastAsia="方正仿宋_GBK"/>
          <w:color w:val="auto"/>
          <w:sz w:val="28"/>
          <w:highlight w:val="none"/>
          <w:lang w:val="en-US" w:eastAsia="zh-CN"/>
        </w:rPr>
        <w:t>。</w:t>
      </w:r>
    </w:p>
    <w:p>
      <w:pPr>
        <w:spacing w:before="10" w:after="10" w:line="360" w:lineRule="auto"/>
        <w:ind w:firstLine="640"/>
        <w:jc w:val="left"/>
        <w:outlineLvl w:val="2"/>
        <w:rPr>
          <w:rFonts w:ascii="黑体" w:hAnsi="黑体" w:eastAsia="黑体" w:cs="黑体"/>
          <w:color w:val="auto"/>
          <w:sz w:val="32"/>
          <w:highlight w:val="none"/>
        </w:rPr>
      </w:pPr>
      <w:bookmarkStart w:id="11" w:name="_Toc_3_3_0000000012"/>
      <w:r>
        <w:rPr>
          <w:rFonts w:ascii="黑体" w:hAnsi="黑体" w:eastAsia="黑体" w:cs="黑体"/>
          <w:color w:val="auto"/>
          <w:sz w:val="32"/>
          <w:highlight w:val="none"/>
        </w:rPr>
        <w:t>三、机关运行经费安排情况</w:t>
      </w:r>
      <w:bookmarkEnd w:id="11"/>
    </w:p>
    <w:p>
      <w:pPr>
        <w:spacing w:line="500" w:lineRule="exact"/>
        <w:ind w:firstLine="560" w:firstLineChars="200"/>
        <w:jc w:val="left"/>
        <w:rPr>
          <w:rFonts w:ascii="黑体" w:hAnsi="黑体" w:eastAsia="黑体" w:cs="黑体"/>
          <w:color w:val="auto"/>
          <w:sz w:val="32"/>
          <w:highlight w:val="yellow"/>
        </w:rPr>
      </w:pPr>
      <w:r>
        <w:rPr>
          <w:rFonts w:ascii="Times New Roman" w:eastAsia="方正仿宋_GBK"/>
          <w:color w:val="auto"/>
          <w:sz w:val="28"/>
          <w:highlight w:val="none"/>
        </w:rPr>
        <w:t>机关运行经费共计安排</w:t>
      </w:r>
      <w:r>
        <w:rPr>
          <w:rFonts w:hint="eastAsia" w:eastAsia="方正仿宋_GBK"/>
          <w:color w:val="auto"/>
          <w:sz w:val="28"/>
          <w:highlight w:val="none"/>
          <w:lang w:val="en-US" w:eastAsia="zh-CN"/>
        </w:rPr>
        <w:t>31.36</w:t>
      </w:r>
      <w:r>
        <w:rPr>
          <w:rFonts w:ascii="Times New Roman" w:eastAsia="方正仿宋_GBK"/>
          <w:color w:val="auto"/>
          <w:sz w:val="28"/>
          <w:highlight w:val="none"/>
        </w:rPr>
        <w:t>万元，主要用于保证机关正常运转的办公及印刷费、邮电费、差旅费、会议费、福利费、专用材料及一般设备购置费、办公用房水电费、日常维修费、办公楼物业管理费等支出</w:t>
      </w:r>
      <w:r>
        <w:rPr>
          <w:rFonts w:hint="eastAsia" w:ascii="Times New Roman" w:eastAsia="方正仿宋_GBK"/>
          <w:color w:val="auto"/>
          <w:sz w:val="28"/>
          <w:highlight w:val="none"/>
          <w:lang w:eastAsia="zh-CN"/>
        </w:rPr>
        <w:t>。</w:t>
      </w:r>
    </w:p>
    <w:p>
      <w:pPr>
        <w:pStyle w:val="21"/>
        <w:rPr>
          <w:color w:val="auto"/>
          <w:highlight w:val="yellow"/>
        </w:rPr>
      </w:pPr>
    </w:p>
    <w:p>
      <w:pPr>
        <w:spacing w:before="10" w:after="10" w:line="360" w:lineRule="auto"/>
        <w:ind w:firstLine="640"/>
        <w:jc w:val="left"/>
        <w:outlineLvl w:val="2"/>
        <w:rPr>
          <w:color w:val="000000" w:themeColor="text1"/>
          <w:highlight w:val="none"/>
        </w:rPr>
      </w:pPr>
      <w:bookmarkStart w:id="12" w:name="_Toc_3_3_0000000013"/>
      <w:r>
        <w:rPr>
          <w:rFonts w:ascii="黑体" w:hAnsi="黑体" w:eastAsia="黑体" w:cs="黑体"/>
          <w:color w:val="000000" w:themeColor="text1"/>
          <w:sz w:val="32"/>
          <w:highlight w:val="none"/>
        </w:rPr>
        <w:t>四、财政拨款“三公”经费预算情况及增减变化原因</w:t>
      </w:r>
      <w:bookmarkEnd w:id="12"/>
    </w:p>
    <w:p>
      <w:pPr>
        <w:spacing w:before="10" w:after="10" w:line="360" w:lineRule="auto"/>
        <w:ind w:firstLine="640"/>
        <w:jc w:val="left"/>
        <w:outlineLvl w:val="2"/>
        <w:rPr>
          <w:rFonts w:hint="default" w:eastAsia="方正仿宋_GBK"/>
          <w:color w:val="auto"/>
          <w:sz w:val="28"/>
          <w:highlight w:val="none"/>
          <w:lang w:val="en-US" w:eastAsia="zh-CN"/>
        </w:rPr>
      </w:pPr>
      <w:r>
        <w:rPr>
          <w:rFonts w:hint="eastAsia" w:ascii="Times New Roman" w:eastAsia="方正仿宋_GBK"/>
          <w:color w:val="auto"/>
          <w:sz w:val="28"/>
          <w:highlight w:val="none"/>
        </w:rPr>
        <w:t>20</w:t>
      </w:r>
      <w:r>
        <w:rPr>
          <w:rFonts w:hint="default" w:eastAsia="方正仿宋_GBK"/>
          <w:color w:val="auto"/>
          <w:sz w:val="28"/>
          <w:highlight w:val="none"/>
          <w:lang w:val="en-US"/>
        </w:rPr>
        <w:t>2</w:t>
      </w:r>
      <w:r>
        <w:rPr>
          <w:rFonts w:hint="default"/>
          <w:color w:val="auto"/>
          <w:sz w:val="28"/>
          <w:highlight w:val="none"/>
          <w:lang w:val="en-US"/>
        </w:rPr>
        <w:t>3</w:t>
      </w:r>
      <w:r>
        <w:rPr>
          <w:rFonts w:ascii="Times New Roman" w:eastAsia="方正仿宋_GBK"/>
          <w:color w:val="auto"/>
          <w:sz w:val="28"/>
          <w:highlight w:val="none"/>
        </w:rPr>
        <w:t>年，财政拨款“三公”经费预算安排</w:t>
      </w:r>
      <w:r>
        <w:rPr>
          <w:rFonts w:hint="eastAsia"/>
          <w:color w:val="auto"/>
          <w:sz w:val="28"/>
          <w:highlight w:val="none"/>
          <w:lang w:val="en-US" w:eastAsia="zh-CN"/>
        </w:rPr>
        <w:t>2.59</w:t>
      </w:r>
      <w:r>
        <w:rPr>
          <w:rFonts w:ascii="Times New Roman" w:eastAsia="方正仿宋_GBK"/>
          <w:color w:val="auto"/>
          <w:sz w:val="28"/>
          <w:highlight w:val="none"/>
        </w:rPr>
        <w:t>万元，其中：因公出国（境）费0万元；公务用车购置及运维费</w:t>
      </w:r>
      <w:r>
        <w:rPr>
          <w:rFonts w:hint="default"/>
          <w:color w:val="auto"/>
          <w:sz w:val="28"/>
          <w:highlight w:val="none"/>
          <w:lang w:val="en-US" w:eastAsia="zh-CN"/>
        </w:rPr>
        <w:t>2.3</w:t>
      </w:r>
      <w:r>
        <w:rPr>
          <w:rFonts w:ascii="Times New Roman" w:eastAsia="方正仿宋_GBK"/>
          <w:color w:val="auto"/>
          <w:sz w:val="28"/>
          <w:highlight w:val="none"/>
        </w:rPr>
        <w:t>元；公务接待费</w:t>
      </w:r>
      <w:r>
        <w:rPr>
          <w:rFonts w:hint="default"/>
          <w:color w:val="auto"/>
          <w:sz w:val="28"/>
          <w:highlight w:val="none"/>
          <w:lang w:val="en-US" w:eastAsia="zh-CN"/>
        </w:rPr>
        <w:t>0.</w:t>
      </w:r>
      <w:r>
        <w:rPr>
          <w:rFonts w:hint="eastAsia"/>
          <w:color w:val="auto"/>
          <w:sz w:val="28"/>
          <w:highlight w:val="none"/>
          <w:lang w:val="en-US" w:eastAsia="zh-CN"/>
        </w:rPr>
        <w:t>29</w:t>
      </w:r>
      <w:r>
        <w:rPr>
          <w:rFonts w:ascii="Times New Roman" w:eastAsia="方正仿宋_GBK"/>
          <w:color w:val="auto"/>
          <w:sz w:val="28"/>
          <w:highlight w:val="none"/>
        </w:rPr>
        <w:t>万元。“三公”经费较上年</w:t>
      </w:r>
      <w:r>
        <w:rPr>
          <w:rFonts w:hint="eastAsia" w:ascii="Times New Roman" w:eastAsia="方正仿宋_GBK"/>
          <w:color w:val="auto"/>
          <w:sz w:val="28"/>
          <w:highlight w:val="none"/>
          <w:lang w:eastAsia="zh-CN"/>
        </w:rPr>
        <w:t>增加</w:t>
      </w:r>
      <w:bookmarkStart w:id="13" w:name="_Toc_3_3_0000000014"/>
      <w:r>
        <w:rPr>
          <w:rFonts w:hint="eastAsia" w:eastAsia="方正仿宋_GBK"/>
          <w:color w:val="auto"/>
          <w:sz w:val="28"/>
          <w:highlight w:val="none"/>
          <w:lang w:eastAsia="zh-CN"/>
        </w:rPr>
        <w:t>，主要原因是</w:t>
      </w:r>
      <w:r>
        <w:rPr>
          <w:rFonts w:hint="eastAsia" w:eastAsia="方正仿宋_GBK"/>
          <w:color w:val="auto"/>
          <w:sz w:val="28"/>
          <w:highlight w:val="none"/>
          <w:lang w:val="en-US" w:eastAsia="zh-CN"/>
        </w:rPr>
        <w:t>2023年新成立单位，2022年无预算。</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为贯彻落实党的二十大精神，以习近平新时代中国特设社会主义思想为指导，围绕机关信访、司法、政法等相关工作，解放思想、开拓创新、奋力拼搏。我委将坚持以围绕中心、服务大局为目标，强化问题导向，积极谋划、开拓创新、主动作为，不断提升我委各项工作水平。坚持以人民为中心的发展思想，坚持在发展中保障和改善民生，紧扣社会主要矛盾变化，按照高质量发展要求，抓重点、补短板、强弱项、防风险，统筹推进社会治安、政法政务等各项工作，不断提升公共服务能力和水平，坚持全面从严治党，压紧压实“两个责任”，深入推进党风廉政建设，奋力开创新时代人力资源和社会保障事业发展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（一）涉黑涉恶事务管理</w:t>
      </w:r>
    </w:p>
    <w:p>
      <w:pPr>
        <w:pStyle w:val="24"/>
      </w:pPr>
      <w:r>
        <w:t xml:space="preserve">绩效目标：采取强有力的措施，黑恶势力违法犯罪特别是农村涉黑涉恶问题得到根本遏制，涉黑涉恶治安乱点得到全面整治；黑恶势力“保护伞”得以铲除，加强基层组织建设的环境明显优化；基层社会治理能力明显提升，涉黑涉恶违法犯罪防范打击长效机制更加健全，扫黑除恶工作法治化、规范化、专业化水平进一步提高。 </w:t>
      </w:r>
    </w:p>
    <w:p>
      <w:pPr>
        <w:pStyle w:val="24"/>
      </w:pPr>
      <w:r>
        <w:t>绩效指标：深挖涉黑涉恶案件线索数、开展专项打击整治摸排行动次数、开展扫黑除恶宣传次数、扫黑除恶有效性</w:t>
      </w:r>
    </w:p>
    <w:p>
      <w:pPr>
        <w:pStyle w:val="24"/>
      </w:pPr>
      <w:r>
        <w:t>（二）社会治安综合治理工作</w:t>
      </w:r>
    </w:p>
    <w:p>
      <w:pPr>
        <w:pStyle w:val="24"/>
      </w:pPr>
      <w:r>
        <w:t>绩效目标：实现政治安定、社会稳定和人民生活和谐有序。实现社会服务管理内容的大融合、全覆盖，达到组织网络更加健全、信息渠道更加畅通、管理服务更加到位、问题解决更加及时、党群关系更加密切的工作目标。</w:t>
      </w:r>
    </w:p>
    <w:p>
      <w:pPr>
        <w:pStyle w:val="24"/>
      </w:pPr>
      <w:r>
        <w:t>绩效指标：投保政法干警人身意外保险和精神障碍患者监护人责任险；全区政法干警人身意外险参保人数占全区政法干警总人数的比例；矛盾纠纷调处率；着眼于平台建设，逐步完善组织架构、工作机制，在矛盾排调、治安联防、服务群众等方面初见成效；公交站点的安全率。</w:t>
      </w:r>
    </w:p>
    <w:p>
      <w:pPr>
        <w:pStyle w:val="24"/>
      </w:pPr>
      <w:r>
        <w:t>（三）维护国家安全和社会政治稳定工作</w:t>
      </w:r>
    </w:p>
    <w:p>
      <w:pPr>
        <w:pStyle w:val="24"/>
      </w:pPr>
      <w:r>
        <w:t>绩效目标：组织、协调、督导相关单位落实同级国家安全小组的工作部署。通过建立健全相关机制和群众性国家安全宣传教育工作，使新区国家安全工作不断增强。通过调研，摸清基本问题，发现苗头隐患，掌握重点人员，建立健全相关数据库，不断深化对当地敌社情的认识和把握，有效服务地方维稳工作大局，同时为国家安全机关发现敌情线索、培植工作资源提供支持。为工管委决策和国家安全机关开展专门工作提供依据。</w:t>
      </w:r>
    </w:p>
    <w:p>
      <w:pPr>
        <w:pStyle w:val="24"/>
      </w:pPr>
      <w:r>
        <w:t>绩效指标：组织、协调、督导的次数；机制健全程度和安全教育次数；调研次数。</w:t>
      </w:r>
    </w:p>
    <w:p>
      <w:pPr>
        <w:pStyle w:val="24"/>
      </w:pPr>
      <w:r>
        <w:t>（四）全区司法行政管理</w:t>
      </w:r>
    </w:p>
    <w:p>
      <w:pPr>
        <w:pStyle w:val="24"/>
      </w:pPr>
      <w:r>
        <w:t>绩效目标：建立戒毒治疗、救助服务兼备的工作体系，深化人民调解、诉前调解工作，化解矛盾纠纷，最大限度降低社会不稳定因素发生率；满足辖区群众法律服务需求，提前预防和化解矛盾纠纷，扩大法律援助覆盖面，推动法律援助工作长足发展。</w:t>
      </w:r>
    </w:p>
    <w:p>
      <w:pPr>
        <w:pStyle w:val="24"/>
      </w:pPr>
      <w:r>
        <w:t>绩效指标：社区矫正人数（人）；举办社区矫正工作培训班次数；安置帮教人数（人次）；重点帮教对象接送率；社区康复人数；社区戒毒人数（人）；普法考核覆盖人数；组织主题宣传活动场次(次）；人民调解案件数（件）；公共法律服务平台建设数量（个）</w:t>
      </w:r>
    </w:p>
    <w:p>
      <w:pPr>
        <w:pStyle w:val="24"/>
      </w:pPr>
      <w:r>
        <w:t>（五）司法系统执法能力提升</w:t>
      </w:r>
    </w:p>
    <w:p>
      <w:pPr>
        <w:pStyle w:val="24"/>
      </w:pPr>
      <w:r>
        <w:t>绩效目标：加强信息化建设及机关后勤保障工作，促进司法行政系统各项事业健康发展。加强纪检审计监督、信息化建设等，促进司法行政系统各项事业健康发展。加强机关后勤保障，确保正常办公环境需要。</w:t>
      </w:r>
    </w:p>
    <w:p>
      <w:pPr>
        <w:pStyle w:val="24"/>
      </w:pPr>
      <w:r>
        <w:t>绩效指标：综合业务管理工作完成率；综合事务工作完成率；机关后勤保障工作能力。</w:t>
      </w:r>
    </w:p>
    <w:p>
      <w:pPr>
        <w:pStyle w:val="24"/>
      </w:pPr>
      <w:r>
        <w:t>（六）不稳定隐患、群体性事件和突发事件的安保工作</w:t>
      </w:r>
    </w:p>
    <w:p>
      <w:pPr>
        <w:pStyle w:val="24"/>
      </w:pPr>
      <w:r>
        <w:t>绩效目标：通过指导、协调和督导各级各部门，预防减少不稳定因素的发生，有效化解不稳定隐患、群体性事件和突发事件，同时全力做好新区各种重大活动安保工作，确保社会稳定。</w:t>
      </w:r>
    </w:p>
    <w:p>
      <w:pPr>
        <w:pStyle w:val="24"/>
      </w:pPr>
      <w:r>
        <w:t>绩效指标：有效化解妥善处置重大不稳定隐患、群体性事件和突发事件；协调督导事项化解率；情报信息研判率；重大安保任务完成率；司法救助数量。</w:t>
      </w:r>
    </w:p>
    <w:p>
      <w:pPr>
        <w:pStyle w:val="24"/>
      </w:pPr>
      <w:r>
        <w:t>（七） 信访管理。</w:t>
      </w:r>
    </w:p>
    <w:p>
      <w:pPr>
        <w:pStyle w:val="24"/>
      </w:pPr>
      <w:r>
        <w:t>绩效目标：畅通信访渠道，提高信访事项办理质量和效率。妥善处置非正常访，维护社会大局和谐稳定。推动重要信访事项解决，规范信访事项办理、终结，用好特殊疑难信访问题专项资金。</w:t>
      </w:r>
    </w:p>
    <w:p>
      <w:pPr>
        <w:pStyle w:val="24"/>
      </w:pPr>
      <w:r>
        <w:t>绩效指标：信访事项按期结案率；信访事项受理及时率；息诉息访率；减少非正常上访数量；信访事项按期结案率；信访事项受理及时率；督办信访案件数；解决特殊信访疑难问题件数；督导、检查新区各单位信访事项。</w:t>
      </w:r>
    </w:p>
    <w:p>
      <w:pPr>
        <w:pStyle w:val="24"/>
      </w:pPr>
      <w:r>
        <w:t>（八）机关日常运行管理</w:t>
      </w:r>
    </w:p>
    <w:p>
      <w:pPr>
        <w:pStyle w:val="24"/>
      </w:pPr>
      <w:r>
        <w:t>绩效目标：保障机关日常工作正常运行，确保各项专项资金得到合理利用，推进各项工作扎实开展。</w:t>
      </w:r>
    </w:p>
    <w:p>
      <w:pPr>
        <w:pStyle w:val="24"/>
      </w:pPr>
      <w:r>
        <w:t>绩效指标：政法系统培训计划完成情况；因公牺牲、伤残特困干警资助人数；司法公开率。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为实现年度绩效目标新区政法委针对根据预测可能存在的问题、环境变化的趋势，采取了以下措施预做准备，控制偏差，保证绩效目标的实现：</w:t>
      </w:r>
    </w:p>
    <w:p>
      <w:pPr>
        <w:pStyle w:val="25"/>
      </w:pPr>
      <w:r>
        <w:t>（一）完善制度建设</w:t>
      </w:r>
    </w:p>
    <w:p>
      <w:pPr>
        <w:pStyle w:val="25"/>
      </w:pPr>
      <w:r>
        <w:t>为进一步规范财经纪律，加强资金管理，研究完善财务制度，建立了长效管控机制。</w:t>
      </w:r>
    </w:p>
    <w:p>
      <w:pPr>
        <w:pStyle w:val="25"/>
      </w:pPr>
      <w:r>
        <w:t>（二）加强支出管理</w:t>
      </w:r>
    </w:p>
    <w:p>
      <w:pPr>
        <w:pStyle w:val="25"/>
      </w:pPr>
      <w:r>
        <w:t>严格执行国家的财政、财务制度、开支范围和标准，建立健全必要的支出管理制度和手续，分清各种支出界限，按照批准的严格审批手续。</w:t>
      </w:r>
    </w:p>
    <w:p>
      <w:pPr>
        <w:pStyle w:val="25"/>
      </w:pPr>
      <w:r>
        <w:t>（三）加强绩效运行监控</w:t>
      </w:r>
    </w:p>
    <w:p>
      <w:pPr>
        <w:pStyle w:val="25"/>
      </w:pPr>
      <w:r>
        <w:t>加强对预算执行的监督检查，在预算执行过程中要严格按批复的项目和数额执行，全面提高预算执行的质量和效果，推进预算绩效管理，严格按照专项资金管理规定合理分配使用项目资金，项目立项依据充分、管理制度健全、资金垫付程序规范、监管责任落实到位，较好发挥财政资金使用效益。</w:t>
      </w:r>
    </w:p>
    <w:p>
      <w:pPr>
        <w:pStyle w:val="25"/>
      </w:pPr>
      <w:r>
        <w:t>（四）做好绩效自评</w:t>
      </w:r>
    </w:p>
    <w:p>
      <w:pPr>
        <w:pStyle w:val="25"/>
      </w:pPr>
      <w:r>
        <w:t>按照财政有关要求开展上年度部门预算绩效自评和重点评价工作，对评价中发现的问题及时整改，调整优化支出结构，提高财政资金使用效益。</w:t>
      </w:r>
    </w:p>
    <w:p>
      <w:pPr>
        <w:pStyle w:val="25"/>
      </w:pPr>
      <w:r>
        <w:t>（五）规范财务资产管理</w:t>
      </w:r>
    </w:p>
    <w:p>
      <w:pPr>
        <w:pStyle w:val="25"/>
      </w:pPr>
      <w:r>
        <w:t>加强财务管理，根据现行财务制度和相关规定，完善财务管理、资产管理制度，严格资产购置审批程序，加强固定资产登记、使用和报废处置管理，做到资产配置合理，物尽其用。</w:t>
      </w:r>
    </w:p>
    <w:p>
      <w:pPr>
        <w:pStyle w:val="25"/>
      </w:pPr>
      <w:r>
        <w:t>（六）加强内部监督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w:t>
      </w:r>
    </w:p>
    <w:p>
      <w:pPr>
        <w:pStyle w:val="25"/>
      </w:pPr>
      <w:r>
        <w:t xml:space="preserve">加强人员培训，提高本部门职工业务素质；加强调研，提出优化财政资金配置、提高资金使用效益的意见建议；加大宣传力度，强化预算绩效管理意识，促进预算绩效管理水平进一步提升。 </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1、干警意外伤害保险绩效目标表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6.为新区干警缴纳人身意外伤害保险，保证干警即使在工作中发生意外伤害，降低干警的人身意外伤害风险。 </w:t>
            </w:r>
            <w:r>
              <w:tab/>
            </w:r>
            <w:r>
              <w:tab/>
            </w:r>
            <w:r>
              <w:tab/>
            </w:r>
            <w:r>
              <w:tab/>
            </w:r>
            <w:r>
              <w:tab/>
            </w:r>
          </w:p>
          <w:p>
            <w:pPr>
              <w:pStyle w:val="14"/>
            </w:pPr>
            <w:r>
              <w:t>7.保障干警安全，起到充分保障作用，体现人文关怀，达到提高工作积极性的目的。</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以外伤害保险人数</w:t>
            </w:r>
          </w:p>
        </w:tc>
        <w:tc>
          <w:tcPr>
            <w:tcW w:w="2835" w:type="dxa"/>
            <w:vAlign w:val="center"/>
          </w:tcPr>
          <w:p>
            <w:pPr>
              <w:pStyle w:val="14"/>
            </w:pPr>
            <w:r>
              <w:t>为新区全部政法干警投保意外伤害保险</w:t>
            </w:r>
          </w:p>
        </w:tc>
        <w:tc>
          <w:tcPr>
            <w:tcW w:w="2551" w:type="dxa"/>
            <w:vAlign w:val="center"/>
          </w:tcPr>
          <w:p>
            <w:pPr>
              <w:pStyle w:val="14"/>
            </w:pPr>
            <w:r>
              <w:t>≥350人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干警意外伤害参保率</w:t>
            </w:r>
          </w:p>
        </w:tc>
        <w:tc>
          <w:tcPr>
            <w:tcW w:w="2835" w:type="dxa"/>
            <w:vAlign w:val="center"/>
          </w:tcPr>
          <w:p>
            <w:pPr>
              <w:pStyle w:val="14"/>
            </w:pPr>
            <w:r>
              <w:t>全区政法干警人身意外险参保人数占全区政法干警总人数的比例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参保工作及时完成率</w:t>
            </w:r>
          </w:p>
        </w:tc>
        <w:tc>
          <w:tcPr>
            <w:tcW w:w="2835" w:type="dxa"/>
            <w:vAlign w:val="center"/>
          </w:tcPr>
          <w:p>
            <w:pPr>
              <w:pStyle w:val="14"/>
            </w:pPr>
            <w:r>
              <w:t>干警意外伤害保险参保及时</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保险成本</w:t>
            </w:r>
          </w:p>
        </w:tc>
        <w:tc>
          <w:tcPr>
            <w:tcW w:w="2835" w:type="dxa"/>
            <w:vAlign w:val="center"/>
          </w:tcPr>
          <w:p>
            <w:pPr>
              <w:pStyle w:val="14"/>
            </w:pPr>
            <w:r>
              <w:t>成本不超预算</w:t>
            </w:r>
          </w:p>
        </w:tc>
        <w:tc>
          <w:tcPr>
            <w:tcW w:w="2551" w:type="dxa"/>
            <w:vAlign w:val="center"/>
          </w:tcPr>
          <w:p>
            <w:pPr>
              <w:pStyle w:val="14"/>
            </w:pPr>
            <w:r>
              <w:t>≤4万元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投保意外伤害保险，保障干警安全</w:t>
            </w:r>
          </w:p>
        </w:tc>
        <w:tc>
          <w:tcPr>
            <w:tcW w:w="2835" w:type="dxa"/>
            <w:vAlign w:val="center"/>
          </w:tcPr>
          <w:p>
            <w:pPr>
              <w:pStyle w:val="14"/>
            </w:pPr>
            <w:r>
              <w:t>保障干警安全，起到充分保障作用，体现人文关怀，达到提高工作积极性的目的</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w:t>
            </w:r>
          </w:p>
        </w:tc>
        <w:tc>
          <w:tcPr>
            <w:tcW w:w="2268" w:type="dxa"/>
            <w:vAlign w:val="center"/>
          </w:tcPr>
          <w:p>
            <w:pPr>
              <w:pStyle w:val="14"/>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≥80%</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投保干警满意度</w:t>
            </w:r>
          </w:p>
        </w:tc>
        <w:tc>
          <w:tcPr>
            <w:tcW w:w="2835" w:type="dxa"/>
            <w:vAlign w:val="center"/>
          </w:tcPr>
          <w:p>
            <w:pPr>
              <w:pStyle w:val="14"/>
            </w:pPr>
            <w:r>
              <w:t>投保干警满意度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2、司法业务经费绩效目标表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418"/>
        <w:gridCol w:w="738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418" w:type="dxa"/>
            <w:tcBorders>
              <w:bottom w:val="single" w:color="FFFFFF" w:sz="6" w:space="0"/>
            </w:tcBorders>
            <w:vAlign w:val="center"/>
          </w:tcPr>
          <w:p>
            <w:pPr>
              <w:pStyle w:val="12"/>
            </w:pPr>
            <w:r>
              <w:t>绩效目标</w:t>
            </w:r>
          </w:p>
        </w:tc>
        <w:tc>
          <w:tcPr>
            <w:tcW w:w="7380" w:type="dxa"/>
            <w:tcBorders>
              <w:bottom w:val="single" w:color="FFFFFF" w:sz="6" w:space="0"/>
            </w:tcBorders>
            <w:vAlign w:val="center"/>
          </w:tcPr>
          <w:p>
            <w:pPr>
              <w:pStyle w:val="14"/>
            </w:pPr>
            <w:r>
              <w:t>6.按照国家、省、市有关规定，完善新区公共法律服务体系，拓宽社会矛盾化解途径，提升法治化营商环境。大力加强社区矫正、社区戒毒（康复）人员教育监管，维护辖区社会稳定。</w:t>
            </w:r>
          </w:p>
          <w:p>
            <w:pPr>
              <w:pStyle w:val="14"/>
            </w:pPr>
            <w:r>
              <w:t>7.全面提高法治宣传教育和法律服务工作，推动依法治区和法治政府各项工作落实。</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9"/>
        <w:gridCol w:w="1963"/>
        <w:gridCol w:w="3506"/>
        <w:gridCol w:w="2719"/>
        <w:gridCol w:w="2213"/>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29" w:type="dxa"/>
            <w:vAlign w:val="center"/>
          </w:tcPr>
          <w:p>
            <w:pPr>
              <w:pStyle w:val="12"/>
            </w:pPr>
            <w:r>
              <w:t>一级指标</w:t>
            </w:r>
          </w:p>
        </w:tc>
        <w:tc>
          <w:tcPr>
            <w:tcW w:w="1963" w:type="dxa"/>
            <w:vAlign w:val="center"/>
          </w:tcPr>
          <w:p>
            <w:pPr>
              <w:pStyle w:val="12"/>
            </w:pPr>
            <w:r>
              <w:t>二级指标</w:t>
            </w:r>
          </w:p>
        </w:tc>
        <w:tc>
          <w:tcPr>
            <w:tcW w:w="3506" w:type="dxa"/>
            <w:vAlign w:val="center"/>
          </w:tcPr>
          <w:p>
            <w:pPr>
              <w:pStyle w:val="12"/>
            </w:pPr>
            <w:r>
              <w:t>三级指标</w:t>
            </w:r>
          </w:p>
        </w:tc>
        <w:tc>
          <w:tcPr>
            <w:tcW w:w="2719" w:type="dxa"/>
            <w:vAlign w:val="center"/>
          </w:tcPr>
          <w:p>
            <w:pPr>
              <w:pStyle w:val="12"/>
            </w:pPr>
            <w:r>
              <w:t>绩效指标描述</w:t>
            </w:r>
          </w:p>
        </w:tc>
        <w:tc>
          <w:tcPr>
            <w:tcW w:w="2213"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9" w:type="dxa"/>
            <w:vMerge w:val="restart"/>
            <w:vAlign w:val="center"/>
          </w:tcPr>
          <w:p>
            <w:pPr>
              <w:pStyle w:val="15"/>
            </w:pPr>
            <w:r>
              <w:t>产出指标</w:t>
            </w:r>
          </w:p>
        </w:tc>
        <w:tc>
          <w:tcPr>
            <w:tcW w:w="1963" w:type="dxa"/>
            <w:vAlign w:val="center"/>
          </w:tcPr>
          <w:p>
            <w:pPr>
              <w:pStyle w:val="14"/>
            </w:pPr>
            <w:r>
              <w:t>数量指标</w:t>
            </w:r>
          </w:p>
        </w:tc>
        <w:tc>
          <w:tcPr>
            <w:tcW w:w="3506" w:type="dxa"/>
            <w:vAlign w:val="center"/>
          </w:tcPr>
          <w:p>
            <w:pPr>
              <w:pStyle w:val="14"/>
            </w:pPr>
            <w:r>
              <w:t>法律援助案件受理数（件)</w:t>
            </w:r>
          </w:p>
        </w:tc>
        <w:tc>
          <w:tcPr>
            <w:tcW w:w="2719" w:type="dxa"/>
            <w:vAlign w:val="center"/>
          </w:tcPr>
          <w:p>
            <w:pPr>
              <w:pStyle w:val="14"/>
            </w:pPr>
            <w:r>
              <w:t>受理法律援助案件数量</w:t>
            </w:r>
          </w:p>
        </w:tc>
        <w:tc>
          <w:tcPr>
            <w:tcW w:w="2213" w:type="dxa"/>
            <w:vAlign w:val="center"/>
          </w:tcPr>
          <w:p>
            <w:pPr>
              <w:pStyle w:val="14"/>
            </w:pPr>
            <w:r>
              <w:t>≥1件</w:t>
            </w:r>
          </w:p>
        </w:tc>
        <w:tc>
          <w:tcPr>
            <w:tcW w:w="2466"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9" w:type="dxa"/>
            <w:vMerge w:val="continue"/>
            <w:vAlign w:val="center"/>
          </w:tcPr>
          <w:p/>
        </w:tc>
        <w:tc>
          <w:tcPr>
            <w:tcW w:w="1963" w:type="dxa"/>
            <w:vAlign w:val="center"/>
          </w:tcPr>
          <w:p>
            <w:pPr>
              <w:pStyle w:val="14"/>
            </w:pPr>
            <w:r>
              <w:t>质量指标</w:t>
            </w:r>
          </w:p>
        </w:tc>
        <w:tc>
          <w:tcPr>
            <w:tcW w:w="3506" w:type="dxa"/>
            <w:vAlign w:val="center"/>
          </w:tcPr>
          <w:p>
            <w:pPr>
              <w:pStyle w:val="14"/>
            </w:pPr>
            <w:r>
              <w:t>组织法宣主题宣传活动</w:t>
            </w:r>
          </w:p>
        </w:tc>
        <w:tc>
          <w:tcPr>
            <w:tcW w:w="2719" w:type="dxa"/>
            <w:vAlign w:val="center"/>
          </w:tcPr>
          <w:p>
            <w:pPr>
              <w:pStyle w:val="14"/>
            </w:pPr>
            <w:r>
              <w:t>组织主题宣传活动，普及法律知识活动</w:t>
            </w:r>
          </w:p>
        </w:tc>
        <w:tc>
          <w:tcPr>
            <w:tcW w:w="2213" w:type="dxa"/>
            <w:vAlign w:val="center"/>
          </w:tcPr>
          <w:p>
            <w:pPr>
              <w:pStyle w:val="14"/>
            </w:pPr>
            <w:r>
              <w:t>≥5次</w:t>
            </w:r>
          </w:p>
        </w:tc>
        <w:tc>
          <w:tcPr>
            <w:tcW w:w="2466"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9" w:type="dxa"/>
            <w:vMerge w:val="continue"/>
            <w:vAlign w:val="center"/>
          </w:tcPr>
          <w:p/>
        </w:tc>
        <w:tc>
          <w:tcPr>
            <w:tcW w:w="1963" w:type="dxa"/>
            <w:vAlign w:val="center"/>
          </w:tcPr>
          <w:p>
            <w:pPr>
              <w:pStyle w:val="14"/>
            </w:pPr>
            <w:r>
              <w:t>时效指标</w:t>
            </w:r>
          </w:p>
        </w:tc>
        <w:tc>
          <w:tcPr>
            <w:tcW w:w="3506" w:type="dxa"/>
            <w:vAlign w:val="center"/>
          </w:tcPr>
          <w:p>
            <w:pPr>
              <w:pStyle w:val="14"/>
            </w:pPr>
            <w:r>
              <w:t>提供法律咨询服务次数</w:t>
            </w:r>
          </w:p>
        </w:tc>
        <w:tc>
          <w:tcPr>
            <w:tcW w:w="2719" w:type="dxa"/>
            <w:vAlign w:val="center"/>
          </w:tcPr>
          <w:p>
            <w:pPr>
              <w:pStyle w:val="14"/>
            </w:pPr>
            <w:r>
              <w:t>为社会提供法律顾问服务次数</w:t>
            </w:r>
          </w:p>
        </w:tc>
        <w:tc>
          <w:tcPr>
            <w:tcW w:w="2213" w:type="dxa"/>
            <w:vAlign w:val="center"/>
          </w:tcPr>
          <w:p>
            <w:pPr>
              <w:pStyle w:val="14"/>
            </w:pPr>
            <w:r>
              <w:t>≥1次</w:t>
            </w:r>
          </w:p>
        </w:tc>
        <w:tc>
          <w:tcPr>
            <w:tcW w:w="2466"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9" w:type="dxa"/>
            <w:vMerge w:val="continue"/>
            <w:vAlign w:val="center"/>
          </w:tcPr>
          <w:p/>
        </w:tc>
        <w:tc>
          <w:tcPr>
            <w:tcW w:w="1963" w:type="dxa"/>
            <w:vAlign w:val="center"/>
          </w:tcPr>
          <w:p>
            <w:pPr>
              <w:pStyle w:val="14"/>
            </w:pPr>
            <w:r>
              <w:t>成本指标</w:t>
            </w:r>
          </w:p>
        </w:tc>
        <w:tc>
          <w:tcPr>
            <w:tcW w:w="3506" w:type="dxa"/>
            <w:vAlign w:val="center"/>
          </w:tcPr>
          <w:p>
            <w:pPr>
              <w:pStyle w:val="14"/>
            </w:pPr>
            <w:r>
              <w:t>社区矫正对象再犯罪率</w:t>
            </w:r>
          </w:p>
        </w:tc>
        <w:tc>
          <w:tcPr>
            <w:tcW w:w="2719" w:type="dxa"/>
            <w:vAlign w:val="center"/>
          </w:tcPr>
          <w:p>
            <w:pPr>
              <w:pStyle w:val="14"/>
            </w:pPr>
            <w:r>
              <w:t>矫正对象在管控下的再犯罪情况</w:t>
            </w:r>
          </w:p>
        </w:tc>
        <w:tc>
          <w:tcPr>
            <w:tcW w:w="2213" w:type="dxa"/>
            <w:vAlign w:val="center"/>
          </w:tcPr>
          <w:p>
            <w:pPr>
              <w:pStyle w:val="14"/>
            </w:pPr>
            <w:r>
              <w:t>≤10%</w:t>
            </w:r>
          </w:p>
        </w:tc>
        <w:tc>
          <w:tcPr>
            <w:tcW w:w="2466"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9" w:type="dxa"/>
            <w:vMerge w:val="restart"/>
            <w:vAlign w:val="center"/>
          </w:tcPr>
          <w:p>
            <w:pPr>
              <w:pStyle w:val="15"/>
            </w:pPr>
            <w:r>
              <w:t>效益指标</w:t>
            </w:r>
          </w:p>
        </w:tc>
        <w:tc>
          <w:tcPr>
            <w:tcW w:w="1963" w:type="dxa"/>
            <w:vAlign w:val="center"/>
          </w:tcPr>
          <w:p>
            <w:pPr>
              <w:pStyle w:val="14"/>
            </w:pPr>
            <w:r>
              <w:t>社会效益指标</w:t>
            </w:r>
          </w:p>
        </w:tc>
        <w:tc>
          <w:tcPr>
            <w:tcW w:w="3506" w:type="dxa"/>
            <w:vAlign w:val="center"/>
          </w:tcPr>
          <w:p>
            <w:pPr>
              <w:pStyle w:val="14"/>
            </w:pPr>
            <w:r>
              <w:t>社区矫正对象监管率(%)</w:t>
            </w:r>
          </w:p>
        </w:tc>
        <w:tc>
          <w:tcPr>
            <w:tcW w:w="2719" w:type="dxa"/>
            <w:vAlign w:val="center"/>
          </w:tcPr>
          <w:p>
            <w:pPr>
              <w:pStyle w:val="14"/>
            </w:pPr>
            <w:r>
              <w:t>已监管社区矫正对象人员数量占应监管社区矫正对象数量比率</w:t>
            </w:r>
          </w:p>
        </w:tc>
        <w:tc>
          <w:tcPr>
            <w:tcW w:w="2213" w:type="dxa"/>
            <w:vAlign w:val="center"/>
          </w:tcPr>
          <w:p>
            <w:pPr>
              <w:pStyle w:val="14"/>
            </w:pPr>
            <w:r>
              <w:t>≥100%</w:t>
            </w:r>
          </w:p>
        </w:tc>
        <w:tc>
          <w:tcPr>
            <w:tcW w:w="2466"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9" w:type="dxa"/>
            <w:vMerge w:val="continue"/>
            <w:vAlign w:val="center"/>
          </w:tcPr>
          <w:p/>
        </w:tc>
        <w:tc>
          <w:tcPr>
            <w:tcW w:w="1963" w:type="dxa"/>
            <w:vAlign w:val="center"/>
          </w:tcPr>
          <w:p>
            <w:pPr>
              <w:pStyle w:val="14"/>
            </w:pPr>
            <w:r>
              <w:t>社会效益指标</w:t>
            </w:r>
          </w:p>
        </w:tc>
        <w:tc>
          <w:tcPr>
            <w:tcW w:w="3506" w:type="dxa"/>
            <w:vAlign w:val="center"/>
          </w:tcPr>
          <w:p>
            <w:pPr>
              <w:pStyle w:val="14"/>
            </w:pPr>
            <w:r>
              <w:t>法治氛围营造</w:t>
            </w:r>
          </w:p>
        </w:tc>
        <w:tc>
          <w:tcPr>
            <w:tcW w:w="2719" w:type="dxa"/>
            <w:vAlign w:val="center"/>
          </w:tcPr>
          <w:p>
            <w:pPr>
              <w:pStyle w:val="14"/>
            </w:pPr>
            <w:r>
              <w:t>通过法宣活动、法治阵地建设，弘扬法治精神、传播法治文化</w:t>
            </w:r>
          </w:p>
        </w:tc>
        <w:tc>
          <w:tcPr>
            <w:tcW w:w="2213" w:type="dxa"/>
            <w:vAlign w:val="center"/>
          </w:tcPr>
          <w:p>
            <w:pPr>
              <w:pStyle w:val="14"/>
            </w:pPr>
            <w:r>
              <w:t>有效营造</w:t>
            </w:r>
          </w:p>
        </w:tc>
        <w:tc>
          <w:tcPr>
            <w:tcW w:w="2466"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9" w:type="dxa"/>
            <w:vMerge w:val="continue"/>
            <w:vAlign w:val="center"/>
          </w:tcPr>
          <w:p/>
        </w:tc>
        <w:tc>
          <w:tcPr>
            <w:tcW w:w="1963" w:type="dxa"/>
            <w:vAlign w:val="center"/>
          </w:tcPr>
          <w:p>
            <w:pPr>
              <w:pStyle w:val="14"/>
            </w:pPr>
            <w:r>
              <w:t>生态效益指标</w:t>
            </w:r>
          </w:p>
        </w:tc>
        <w:tc>
          <w:tcPr>
            <w:tcW w:w="3506" w:type="dxa"/>
            <w:vAlign w:val="center"/>
          </w:tcPr>
          <w:p>
            <w:pPr>
              <w:pStyle w:val="14"/>
            </w:pPr>
            <w:r>
              <w:t>社区戒毒（康复）人员管控率</w:t>
            </w:r>
          </w:p>
        </w:tc>
        <w:tc>
          <w:tcPr>
            <w:tcW w:w="2719" w:type="dxa"/>
            <w:vAlign w:val="center"/>
          </w:tcPr>
          <w:p>
            <w:pPr>
              <w:pStyle w:val="14"/>
            </w:pPr>
            <w:r>
              <w:t>通过对社区戒毒（康复）人员管控，维护社会稳定。</w:t>
            </w:r>
          </w:p>
        </w:tc>
        <w:tc>
          <w:tcPr>
            <w:tcW w:w="2213" w:type="dxa"/>
            <w:vAlign w:val="center"/>
          </w:tcPr>
          <w:p>
            <w:pPr>
              <w:pStyle w:val="14"/>
            </w:pPr>
            <w:r>
              <w:t>≥95%</w:t>
            </w:r>
          </w:p>
        </w:tc>
        <w:tc>
          <w:tcPr>
            <w:tcW w:w="2466"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9" w:type="dxa"/>
            <w:vAlign w:val="center"/>
          </w:tcPr>
          <w:p>
            <w:pPr>
              <w:pStyle w:val="15"/>
            </w:pPr>
            <w:r>
              <w:t>满意度指标</w:t>
            </w:r>
          </w:p>
        </w:tc>
        <w:tc>
          <w:tcPr>
            <w:tcW w:w="1963" w:type="dxa"/>
            <w:vAlign w:val="center"/>
          </w:tcPr>
          <w:p>
            <w:pPr>
              <w:pStyle w:val="14"/>
            </w:pPr>
            <w:r>
              <w:t>服务对象满意度指标</w:t>
            </w:r>
          </w:p>
        </w:tc>
        <w:tc>
          <w:tcPr>
            <w:tcW w:w="3506" w:type="dxa"/>
            <w:vAlign w:val="center"/>
          </w:tcPr>
          <w:p>
            <w:pPr>
              <w:pStyle w:val="14"/>
            </w:pPr>
            <w:r>
              <w:t>受援群众投诉率(%)</w:t>
            </w:r>
          </w:p>
          <w:p>
            <w:pPr>
              <w:pStyle w:val="14"/>
            </w:pPr>
          </w:p>
        </w:tc>
        <w:tc>
          <w:tcPr>
            <w:tcW w:w="2719" w:type="dxa"/>
            <w:vAlign w:val="center"/>
          </w:tcPr>
          <w:p>
            <w:pPr>
              <w:pStyle w:val="14"/>
            </w:pPr>
            <w:r>
              <w:t>受援群众对法律援助工作的投诉率（反向指标）</w:t>
            </w:r>
          </w:p>
        </w:tc>
        <w:tc>
          <w:tcPr>
            <w:tcW w:w="2213" w:type="dxa"/>
            <w:vAlign w:val="center"/>
          </w:tcPr>
          <w:p>
            <w:pPr>
              <w:pStyle w:val="14"/>
            </w:pPr>
            <w:r>
              <w:t>≤0.1%</w:t>
            </w:r>
          </w:p>
        </w:tc>
        <w:tc>
          <w:tcPr>
            <w:tcW w:w="2466" w:type="dxa"/>
            <w:vAlign w:val="center"/>
          </w:tcPr>
          <w:p>
            <w:pPr>
              <w:pStyle w:val="14"/>
            </w:pPr>
            <w:r>
              <w:t>历史数据、计划目标值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3、网格化建设工作经费绩效目标表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6.在南戴河主城区和人员密集小区配备专职网格员，在利用管理好网格员和平安志愿者队伍上下文章，加强治安重点地区排查整治。</w:t>
            </w:r>
            <w:r>
              <w:tab/>
            </w:r>
            <w:r>
              <w:tab/>
            </w:r>
          </w:p>
          <w:p>
            <w:pPr>
              <w:pStyle w:val="14"/>
            </w:pPr>
            <w:r>
              <w:t>7.开展网格化建设，建立社会治安防控体系。</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以外伤害保险人数</w:t>
            </w:r>
          </w:p>
        </w:tc>
        <w:tc>
          <w:tcPr>
            <w:tcW w:w="2835" w:type="dxa"/>
            <w:vAlign w:val="center"/>
          </w:tcPr>
          <w:p>
            <w:pPr>
              <w:pStyle w:val="14"/>
            </w:pPr>
            <w:r>
              <w:t>为新区全部政法干警投保意外伤害保险</w:t>
            </w:r>
          </w:p>
        </w:tc>
        <w:tc>
          <w:tcPr>
            <w:tcW w:w="2551" w:type="dxa"/>
            <w:vAlign w:val="center"/>
          </w:tcPr>
          <w:p>
            <w:pPr>
              <w:pStyle w:val="14"/>
            </w:pPr>
            <w:r>
              <w:t>≥350人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干警意外伤害参保率</w:t>
            </w:r>
          </w:p>
        </w:tc>
        <w:tc>
          <w:tcPr>
            <w:tcW w:w="2835" w:type="dxa"/>
            <w:vAlign w:val="center"/>
          </w:tcPr>
          <w:p>
            <w:pPr>
              <w:pStyle w:val="14"/>
            </w:pPr>
            <w:r>
              <w:t>全区政法干警人身意外险参保人数占全区政法干警总人数的比例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参保工作及时完成率</w:t>
            </w:r>
          </w:p>
        </w:tc>
        <w:tc>
          <w:tcPr>
            <w:tcW w:w="2835" w:type="dxa"/>
            <w:vAlign w:val="center"/>
          </w:tcPr>
          <w:p>
            <w:pPr>
              <w:pStyle w:val="14"/>
            </w:pPr>
            <w:r>
              <w:t>干警意外伤害保险参保及时</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保险成本</w:t>
            </w:r>
          </w:p>
        </w:tc>
        <w:tc>
          <w:tcPr>
            <w:tcW w:w="2835" w:type="dxa"/>
            <w:vAlign w:val="center"/>
          </w:tcPr>
          <w:p>
            <w:pPr>
              <w:pStyle w:val="14"/>
            </w:pPr>
            <w:r>
              <w:t>成本不超预算</w:t>
            </w:r>
          </w:p>
        </w:tc>
        <w:tc>
          <w:tcPr>
            <w:tcW w:w="2551" w:type="dxa"/>
            <w:vAlign w:val="center"/>
          </w:tcPr>
          <w:p>
            <w:pPr>
              <w:pStyle w:val="14"/>
            </w:pPr>
            <w:r>
              <w:t>≤4万元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提高工作效率</w:t>
            </w:r>
          </w:p>
        </w:tc>
        <w:tc>
          <w:tcPr>
            <w:tcW w:w="2268" w:type="dxa"/>
            <w:vAlign w:val="center"/>
          </w:tcPr>
          <w:p>
            <w:pPr>
              <w:pStyle w:val="14"/>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投保意外伤害保险，保障干警安全</w:t>
            </w:r>
          </w:p>
        </w:tc>
        <w:tc>
          <w:tcPr>
            <w:tcW w:w="2835" w:type="dxa"/>
            <w:vAlign w:val="center"/>
          </w:tcPr>
          <w:p>
            <w:pPr>
              <w:pStyle w:val="14"/>
            </w:pPr>
            <w:r>
              <w:t>保障干警安全，起到充分保障作用，体现人文关怀，达到提高工作积极性的目的</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w:t>
            </w:r>
          </w:p>
        </w:tc>
        <w:tc>
          <w:tcPr>
            <w:tcW w:w="2268" w:type="dxa"/>
            <w:vAlign w:val="center"/>
          </w:tcPr>
          <w:p>
            <w:pPr>
              <w:pStyle w:val="14"/>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≥80%</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投保干警满意度</w:t>
            </w:r>
          </w:p>
        </w:tc>
        <w:tc>
          <w:tcPr>
            <w:tcW w:w="2835" w:type="dxa"/>
            <w:vAlign w:val="center"/>
          </w:tcPr>
          <w:p>
            <w:pPr>
              <w:pStyle w:val="14"/>
            </w:pPr>
            <w:r>
              <w:t>投保干警满意度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4、信访维稳工作经费绩效目标表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6.畅通信访渠道，减少信访案件，做好敏感时期信访稳定工作，维护社会和谐稳定。</w:t>
            </w:r>
            <w:r>
              <w:tab/>
            </w:r>
            <w:r>
              <w:tab/>
            </w:r>
            <w:r>
              <w:tab/>
            </w:r>
            <w:r>
              <w:tab/>
            </w:r>
            <w:r>
              <w:tab/>
            </w:r>
          </w:p>
          <w:p>
            <w:pPr>
              <w:pStyle w:val="14"/>
            </w:pPr>
            <w:r>
              <w:t>7.进一步提高信访干部业务能力；吸收可行建议，改进信访工作；提高信访信息化应用水平，实现办公自动化、网络化智能化。保障机要邮件正常传递和信访接待楼正常运转；确保相关会议正常召开；做好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240"/>
        <w:gridCol w:w="2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240" w:type="dxa"/>
            <w:vAlign w:val="center"/>
          </w:tcPr>
          <w:p>
            <w:pPr>
              <w:pStyle w:val="12"/>
            </w:pPr>
            <w:r>
              <w:t>指标值</w:t>
            </w:r>
          </w:p>
        </w:tc>
        <w:tc>
          <w:tcPr>
            <w:tcW w:w="2692"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受理办理网上信访事项数量</w:t>
            </w:r>
          </w:p>
        </w:tc>
        <w:tc>
          <w:tcPr>
            <w:tcW w:w="2466" w:type="dxa"/>
            <w:vAlign w:val="center"/>
          </w:tcPr>
          <w:p>
            <w:pPr>
              <w:pStyle w:val="14"/>
            </w:pPr>
            <w:r>
              <w:t>受理办理网上信访事项数量</w:t>
            </w:r>
          </w:p>
        </w:tc>
        <w:tc>
          <w:tcPr>
            <w:tcW w:w="2240" w:type="dxa"/>
            <w:vAlign w:val="center"/>
          </w:tcPr>
          <w:p>
            <w:pPr>
              <w:pStyle w:val="14"/>
            </w:pPr>
            <w:r>
              <w:t>≥1件</w:t>
            </w:r>
          </w:p>
        </w:tc>
        <w:tc>
          <w:tcPr>
            <w:tcW w:w="2692" w:type="dxa"/>
            <w:vAlign w:val="center"/>
          </w:tcPr>
          <w:p>
            <w:pPr>
              <w:pStyle w:val="14"/>
            </w:pPr>
            <w:r>
              <w:t>河北省信访系统内及时受理的信访事项数量占信访事项数量的比例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信访事项按期结案率</w:t>
            </w:r>
          </w:p>
        </w:tc>
        <w:tc>
          <w:tcPr>
            <w:tcW w:w="2466" w:type="dxa"/>
            <w:vAlign w:val="center"/>
          </w:tcPr>
          <w:p>
            <w:pPr>
              <w:pStyle w:val="14"/>
            </w:pPr>
            <w:r>
              <w:t>信访事项按期结案率</w:t>
            </w:r>
          </w:p>
        </w:tc>
        <w:tc>
          <w:tcPr>
            <w:tcW w:w="2240" w:type="dxa"/>
            <w:vAlign w:val="center"/>
          </w:tcPr>
          <w:p>
            <w:pPr>
              <w:pStyle w:val="14"/>
            </w:pPr>
            <w:r>
              <w:t>≥80%</w:t>
            </w:r>
          </w:p>
        </w:tc>
        <w:tc>
          <w:tcPr>
            <w:tcW w:w="2692" w:type="dxa"/>
            <w:vAlign w:val="center"/>
          </w:tcPr>
          <w:p>
            <w:pPr>
              <w:pStyle w:val="14"/>
            </w:pPr>
            <w:r>
              <w:t>年度内已按期办结的案件数量占案件总数的比例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信访事项受理及时率</w:t>
            </w:r>
          </w:p>
        </w:tc>
        <w:tc>
          <w:tcPr>
            <w:tcW w:w="2466" w:type="dxa"/>
            <w:vAlign w:val="center"/>
          </w:tcPr>
          <w:p>
            <w:pPr>
              <w:pStyle w:val="14"/>
            </w:pPr>
            <w:r>
              <w:t>信访事项受理及时率</w:t>
            </w:r>
          </w:p>
        </w:tc>
        <w:tc>
          <w:tcPr>
            <w:tcW w:w="2240" w:type="dxa"/>
            <w:vAlign w:val="center"/>
          </w:tcPr>
          <w:p>
            <w:pPr>
              <w:pStyle w:val="14"/>
            </w:pPr>
            <w:r>
              <w:t>≥80%</w:t>
            </w:r>
          </w:p>
        </w:tc>
        <w:tc>
          <w:tcPr>
            <w:tcW w:w="2692" w:type="dxa"/>
            <w:vAlign w:val="center"/>
          </w:tcPr>
          <w:p>
            <w:pPr>
              <w:pStyle w:val="14"/>
            </w:pPr>
            <w:r>
              <w:t>年度内已按期办结的非正常信访案件数量占全部非正常信访案件总数的比例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成本控制</w:t>
            </w:r>
          </w:p>
        </w:tc>
        <w:tc>
          <w:tcPr>
            <w:tcW w:w="2240" w:type="dxa"/>
            <w:vAlign w:val="center"/>
          </w:tcPr>
          <w:p>
            <w:pPr>
              <w:pStyle w:val="14"/>
            </w:pPr>
            <w:r>
              <w:t>≤100%</w:t>
            </w:r>
          </w:p>
        </w:tc>
        <w:tc>
          <w:tcPr>
            <w:tcW w:w="2692" w:type="dxa"/>
            <w:vAlign w:val="center"/>
          </w:tcPr>
          <w:p>
            <w:pPr>
              <w:pStyle w:val="14"/>
            </w:pPr>
            <w:r>
              <w:t>不超年初预算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240" w:type="dxa"/>
            <w:vAlign w:val="center"/>
          </w:tcPr>
          <w:p>
            <w:pPr>
              <w:pStyle w:val="14"/>
            </w:pPr>
            <w:r>
              <w:t>提高信访工作效率</w:t>
            </w:r>
          </w:p>
        </w:tc>
        <w:tc>
          <w:tcPr>
            <w:tcW w:w="2692" w:type="dxa"/>
            <w:vAlign w:val="center"/>
          </w:tcPr>
          <w:p>
            <w:pPr>
              <w:pStyle w:val="14"/>
            </w:pPr>
            <w:r>
              <w:t>年度信访考核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群众投诉下降率（%）</w:t>
            </w:r>
          </w:p>
        </w:tc>
        <w:tc>
          <w:tcPr>
            <w:tcW w:w="2466" w:type="dxa"/>
            <w:vAlign w:val="center"/>
          </w:tcPr>
          <w:p>
            <w:pPr>
              <w:pStyle w:val="14"/>
            </w:pPr>
            <w:r>
              <w:t>群众投诉下降率（%）</w:t>
            </w:r>
          </w:p>
        </w:tc>
        <w:tc>
          <w:tcPr>
            <w:tcW w:w="2240" w:type="dxa"/>
            <w:vAlign w:val="center"/>
          </w:tcPr>
          <w:p>
            <w:pPr>
              <w:pStyle w:val="14"/>
            </w:pPr>
            <w:r>
              <w:t>≤20%</w:t>
            </w:r>
          </w:p>
        </w:tc>
        <w:tc>
          <w:tcPr>
            <w:tcW w:w="2692" w:type="dxa"/>
            <w:vAlign w:val="center"/>
          </w:tcPr>
          <w:p>
            <w:pPr>
              <w:pStyle w:val="14"/>
            </w:pPr>
            <w:r>
              <w:t>投诉案件具体情况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生态影响</w:t>
            </w:r>
          </w:p>
        </w:tc>
        <w:tc>
          <w:tcPr>
            <w:tcW w:w="2466" w:type="dxa"/>
            <w:vAlign w:val="center"/>
          </w:tcPr>
          <w:p>
            <w:pPr>
              <w:pStyle w:val="14"/>
            </w:pPr>
            <w:r>
              <w:t>生态影响</w:t>
            </w:r>
          </w:p>
        </w:tc>
        <w:tc>
          <w:tcPr>
            <w:tcW w:w="2240" w:type="dxa"/>
            <w:vAlign w:val="center"/>
          </w:tcPr>
          <w:p>
            <w:pPr>
              <w:pStyle w:val="14"/>
            </w:pPr>
            <w:r>
              <w:t>≤10%</w:t>
            </w:r>
          </w:p>
        </w:tc>
        <w:tc>
          <w:tcPr>
            <w:tcW w:w="2692" w:type="dxa"/>
            <w:vAlign w:val="center"/>
          </w:tcPr>
          <w:p>
            <w:pPr>
              <w:pStyle w:val="14"/>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240" w:type="dxa"/>
            <w:vAlign w:val="center"/>
          </w:tcPr>
          <w:p>
            <w:pPr>
              <w:pStyle w:val="14"/>
            </w:pPr>
            <w:r>
              <w:t>≥80%</w:t>
            </w:r>
          </w:p>
        </w:tc>
        <w:tc>
          <w:tcPr>
            <w:tcW w:w="2692"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信访群众满意度</w:t>
            </w:r>
          </w:p>
        </w:tc>
        <w:tc>
          <w:tcPr>
            <w:tcW w:w="2466" w:type="dxa"/>
            <w:vAlign w:val="center"/>
          </w:tcPr>
          <w:p>
            <w:pPr>
              <w:pStyle w:val="14"/>
            </w:pPr>
            <w:r>
              <w:t>信访群众满意度</w:t>
            </w:r>
          </w:p>
        </w:tc>
        <w:tc>
          <w:tcPr>
            <w:tcW w:w="2240" w:type="dxa"/>
            <w:vAlign w:val="center"/>
          </w:tcPr>
          <w:p>
            <w:pPr>
              <w:pStyle w:val="14"/>
            </w:pPr>
            <w:r>
              <w:t>≥70%</w:t>
            </w:r>
          </w:p>
        </w:tc>
        <w:tc>
          <w:tcPr>
            <w:tcW w:w="2692" w:type="dxa"/>
            <w:vAlign w:val="center"/>
          </w:tcPr>
          <w:p>
            <w:pPr>
              <w:pStyle w:val="14"/>
            </w:pPr>
            <w:r>
              <w:t>通过对上访人员做思想工作、政策解答，信访人对答复满意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5、综治、防范及护路联防工作经费绩效目标表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组织开展反邪教、爱路护路、国家安全、法治宣传，组织参加政法网络大讲堂活动和政法委员政法条例学习，纪律作风整顿，提高政法队伍政治整体素质、周密安排部署，取得“两会”、暑期及重要敏感时期安保维稳攻坚战的全面胜利、开展社会面管控，建立社会治安立体防控体系</w:t>
            </w:r>
          </w:p>
          <w:p>
            <w:pPr>
              <w:pStyle w:val="14"/>
            </w:pPr>
            <w:r>
              <w:t>7.加强铁路护路联防工作，确保辖区铁路的绝对安全、做好公交车和公交站点及重点部位安保工作、圆满完成通北戴河路口治安检查工作、做好铁路护路联防，确保“两会”等重要节点铁路护路任务，开展矛盾纠纷排查化解，防范“民转刑”案件、开展校园周边环境整治，创造良好教育教学环境等</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开展铁路沿线排查次数</w:t>
            </w:r>
          </w:p>
        </w:tc>
        <w:tc>
          <w:tcPr>
            <w:tcW w:w="2835" w:type="dxa"/>
            <w:vAlign w:val="center"/>
          </w:tcPr>
          <w:p>
            <w:pPr>
              <w:pStyle w:val="14"/>
            </w:pPr>
            <w:r>
              <w:t>全年开展铁路沿线排查的次数</w:t>
            </w:r>
          </w:p>
        </w:tc>
        <w:tc>
          <w:tcPr>
            <w:tcW w:w="2551" w:type="dxa"/>
            <w:vAlign w:val="center"/>
          </w:tcPr>
          <w:p>
            <w:pPr>
              <w:pStyle w:val="14"/>
            </w:pPr>
            <w:r>
              <w:t>≥5次</w:t>
            </w:r>
          </w:p>
        </w:tc>
        <w:tc>
          <w:tcPr>
            <w:tcW w:w="2268" w:type="dxa"/>
            <w:vAlign w:val="center"/>
          </w:tcPr>
          <w:p>
            <w:pPr>
              <w:pStyle w:val="14"/>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完成省安排的专项护路任务次数</w:t>
            </w:r>
          </w:p>
        </w:tc>
        <w:tc>
          <w:tcPr>
            <w:tcW w:w="2835" w:type="dxa"/>
            <w:vAlign w:val="center"/>
          </w:tcPr>
          <w:p>
            <w:pPr>
              <w:pStyle w:val="14"/>
            </w:pPr>
            <w:r>
              <w:t>重要时期完成省委省政府专项护路任务的次数</w:t>
            </w:r>
          </w:p>
        </w:tc>
        <w:tc>
          <w:tcPr>
            <w:tcW w:w="2551" w:type="dxa"/>
            <w:vAlign w:val="center"/>
          </w:tcPr>
          <w:p>
            <w:pPr>
              <w:pStyle w:val="14"/>
            </w:pPr>
            <w:r>
              <w:t>≥100%</w:t>
            </w:r>
          </w:p>
        </w:tc>
        <w:tc>
          <w:tcPr>
            <w:tcW w:w="2268" w:type="dxa"/>
            <w:vAlign w:val="center"/>
          </w:tcPr>
          <w:p>
            <w:pPr>
              <w:pStyle w:val="14"/>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邪教人员教育转化工作</w:t>
            </w:r>
          </w:p>
        </w:tc>
        <w:tc>
          <w:tcPr>
            <w:tcW w:w="2835" w:type="dxa"/>
            <w:vAlign w:val="center"/>
          </w:tcPr>
          <w:p>
            <w:pPr>
              <w:pStyle w:val="14"/>
            </w:pPr>
            <w:r>
              <w:t>完成教育转化指标</w:t>
            </w:r>
          </w:p>
        </w:tc>
        <w:tc>
          <w:tcPr>
            <w:tcW w:w="2551" w:type="dxa"/>
            <w:vAlign w:val="center"/>
          </w:tcPr>
          <w:p>
            <w:pPr>
              <w:pStyle w:val="14"/>
            </w:pPr>
            <w:r>
              <w:t>实际人数</w:t>
            </w:r>
          </w:p>
        </w:tc>
        <w:tc>
          <w:tcPr>
            <w:tcW w:w="2268" w:type="dxa"/>
            <w:vAlign w:val="center"/>
          </w:tcPr>
          <w:p>
            <w:pPr>
              <w:pStyle w:val="14"/>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公交运行安全率</w:t>
            </w:r>
          </w:p>
        </w:tc>
        <w:tc>
          <w:tcPr>
            <w:tcW w:w="2835" w:type="dxa"/>
            <w:vAlign w:val="center"/>
          </w:tcPr>
          <w:p>
            <w:pPr>
              <w:pStyle w:val="14"/>
            </w:pPr>
            <w:r>
              <w:t>确保暑期公交站点、公交车内安全</w:t>
            </w:r>
          </w:p>
        </w:tc>
        <w:tc>
          <w:tcPr>
            <w:tcW w:w="2551" w:type="dxa"/>
            <w:vAlign w:val="center"/>
          </w:tcPr>
          <w:p>
            <w:pPr>
              <w:pStyle w:val="14"/>
            </w:pPr>
            <w:r>
              <w:t>≥90%</w:t>
            </w:r>
          </w:p>
        </w:tc>
        <w:tc>
          <w:tcPr>
            <w:tcW w:w="2268" w:type="dxa"/>
            <w:vAlign w:val="center"/>
          </w:tcPr>
          <w:p>
            <w:pPr>
              <w:pStyle w:val="14"/>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铁路周边安全率</w:t>
            </w:r>
          </w:p>
        </w:tc>
        <w:tc>
          <w:tcPr>
            <w:tcW w:w="2835" w:type="dxa"/>
            <w:vAlign w:val="center"/>
          </w:tcPr>
          <w:p>
            <w:pPr>
              <w:pStyle w:val="14"/>
            </w:pPr>
            <w:r>
              <w:t>本辖区铁路沿线安全无隐患</w:t>
            </w:r>
          </w:p>
        </w:tc>
        <w:tc>
          <w:tcPr>
            <w:tcW w:w="2551" w:type="dxa"/>
            <w:vAlign w:val="center"/>
          </w:tcPr>
          <w:p>
            <w:pPr>
              <w:pStyle w:val="14"/>
            </w:pPr>
            <w:r>
              <w:t>≥90%</w:t>
            </w:r>
          </w:p>
        </w:tc>
        <w:tc>
          <w:tcPr>
            <w:tcW w:w="2268" w:type="dxa"/>
            <w:vAlign w:val="center"/>
          </w:tcPr>
          <w:p>
            <w:pPr>
              <w:pStyle w:val="14"/>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重点人摸排管控率</w:t>
            </w:r>
          </w:p>
        </w:tc>
        <w:tc>
          <w:tcPr>
            <w:tcW w:w="2835" w:type="dxa"/>
            <w:vAlign w:val="center"/>
          </w:tcPr>
          <w:p>
            <w:pPr>
              <w:pStyle w:val="14"/>
            </w:pPr>
            <w:r>
              <w:t>加强国家安全教育，重点人摸排管控</w:t>
            </w:r>
          </w:p>
        </w:tc>
        <w:tc>
          <w:tcPr>
            <w:tcW w:w="2551" w:type="dxa"/>
            <w:vAlign w:val="center"/>
          </w:tcPr>
          <w:p>
            <w:pPr>
              <w:pStyle w:val="14"/>
            </w:pPr>
            <w:r>
              <w:t>≥90%</w:t>
            </w:r>
          </w:p>
        </w:tc>
        <w:tc>
          <w:tcPr>
            <w:tcW w:w="2268" w:type="dxa"/>
            <w:vAlign w:val="center"/>
          </w:tcPr>
          <w:p>
            <w:pPr>
              <w:pStyle w:val="14"/>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各项工作任务完成及时</w:t>
            </w:r>
          </w:p>
        </w:tc>
        <w:tc>
          <w:tcPr>
            <w:tcW w:w="2551" w:type="dxa"/>
            <w:vAlign w:val="center"/>
          </w:tcPr>
          <w:p>
            <w:pPr>
              <w:pStyle w:val="14"/>
            </w:pPr>
            <w:r>
              <w:t>≥90%</w:t>
            </w:r>
          </w:p>
        </w:tc>
        <w:tc>
          <w:tcPr>
            <w:tcW w:w="2268" w:type="dxa"/>
            <w:vAlign w:val="center"/>
          </w:tcPr>
          <w:p>
            <w:pPr>
              <w:pStyle w:val="14"/>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各项成本不超预算</w:t>
            </w:r>
          </w:p>
        </w:tc>
        <w:tc>
          <w:tcPr>
            <w:tcW w:w="2551" w:type="dxa"/>
            <w:vAlign w:val="center"/>
          </w:tcPr>
          <w:p>
            <w:pPr>
              <w:pStyle w:val="14"/>
            </w:pPr>
            <w:r>
              <w:t>≤43万元</w:t>
            </w:r>
          </w:p>
        </w:tc>
        <w:tc>
          <w:tcPr>
            <w:tcW w:w="2268" w:type="dxa"/>
            <w:vAlign w:val="center"/>
          </w:tcPr>
          <w:p>
            <w:pPr>
              <w:pStyle w:val="14"/>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提升社会安全、稳定性</w:t>
            </w:r>
          </w:p>
        </w:tc>
        <w:tc>
          <w:tcPr>
            <w:tcW w:w="2835" w:type="dxa"/>
            <w:vAlign w:val="center"/>
          </w:tcPr>
          <w:p>
            <w:pPr>
              <w:pStyle w:val="14"/>
            </w:pPr>
            <w:r>
              <w:t>打击犯罪，维护治安，保障稳定效果明显</w:t>
            </w:r>
          </w:p>
        </w:tc>
        <w:tc>
          <w:tcPr>
            <w:tcW w:w="2551" w:type="dxa"/>
            <w:vAlign w:val="center"/>
          </w:tcPr>
          <w:p>
            <w:pPr>
              <w:pStyle w:val="14"/>
            </w:pPr>
            <w:r>
              <w:t>≥90%</w:t>
            </w:r>
          </w:p>
        </w:tc>
        <w:tc>
          <w:tcPr>
            <w:tcW w:w="2268" w:type="dxa"/>
            <w:vAlign w:val="center"/>
          </w:tcPr>
          <w:p>
            <w:pPr>
              <w:pStyle w:val="14"/>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开展社会面管控</w:t>
            </w:r>
          </w:p>
        </w:tc>
        <w:tc>
          <w:tcPr>
            <w:tcW w:w="2835" w:type="dxa"/>
            <w:vAlign w:val="center"/>
          </w:tcPr>
          <w:p>
            <w:pPr>
              <w:pStyle w:val="14"/>
            </w:pPr>
            <w:r>
              <w:t>建立社会治安立体防控体系，持续维护治安</w:t>
            </w:r>
          </w:p>
        </w:tc>
        <w:tc>
          <w:tcPr>
            <w:tcW w:w="2551" w:type="dxa"/>
            <w:vAlign w:val="center"/>
          </w:tcPr>
          <w:p>
            <w:pPr>
              <w:pStyle w:val="14"/>
            </w:pPr>
            <w:r>
              <w:t>全面有效</w:t>
            </w:r>
          </w:p>
        </w:tc>
        <w:tc>
          <w:tcPr>
            <w:tcW w:w="2268" w:type="dxa"/>
            <w:vAlign w:val="center"/>
          </w:tcPr>
          <w:p>
            <w:pPr>
              <w:pStyle w:val="14"/>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排查化解的涉路矛盾占总数比率</w:t>
            </w:r>
          </w:p>
        </w:tc>
        <w:tc>
          <w:tcPr>
            <w:tcW w:w="2835" w:type="dxa"/>
            <w:vAlign w:val="center"/>
          </w:tcPr>
          <w:p>
            <w:pPr>
              <w:pStyle w:val="14"/>
            </w:pPr>
            <w:r>
              <w:t>排查化解涉路矛盾，强化护路联防管理和治安防控</w:t>
            </w:r>
          </w:p>
        </w:tc>
        <w:tc>
          <w:tcPr>
            <w:tcW w:w="2551" w:type="dxa"/>
            <w:vAlign w:val="center"/>
          </w:tcPr>
          <w:p>
            <w:pPr>
              <w:pStyle w:val="14"/>
            </w:pPr>
            <w:r>
              <w:t>≥90%</w:t>
            </w:r>
          </w:p>
        </w:tc>
        <w:tc>
          <w:tcPr>
            <w:tcW w:w="2268" w:type="dxa"/>
            <w:vAlign w:val="center"/>
          </w:tcPr>
          <w:p>
            <w:pPr>
              <w:pStyle w:val="14"/>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民众满意度</w:t>
            </w:r>
          </w:p>
        </w:tc>
        <w:tc>
          <w:tcPr>
            <w:tcW w:w="2835" w:type="dxa"/>
            <w:vAlign w:val="center"/>
          </w:tcPr>
          <w:p>
            <w:pPr>
              <w:pStyle w:val="14"/>
            </w:pPr>
            <w:r>
              <w:t>民众满意</w:t>
            </w:r>
          </w:p>
        </w:tc>
        <w:tc>
          <w:tcPr>
            <w:tcW w:w="2551" w:type="dxa"/>
            <w:vAlign w:val="center"/>
          </w:tcPr>
          <w:p>
            <w:pPr>
              <w:pStyle w:val="14"/>
            </w:pPr>
            <w:r>
              <w:t>≥90%</w:t>
            </w:r>
          </w:p>
        </w:tc>
        <w:tc>
          <w:tcPr>
            <w:tcW w:w="2268" w:type="dxa"/>
            <w:vAlign w:val="center"/>
          </w:tcPr>
          <w:p>
            <w:pPr>
              <w:pStyle w:val="14"/>
            </w:pPr>
            <w:r>
              <w:t>秦北新政法呈【2016】4号、5号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6、反恐维稳、禁毒、预防青少年犯罪工作经费绩效目标表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1"/>
              </w:numPr>
            </w:pPr>
            <w:r>
              <w:t>以新区中小学校为重点开展教育宣传活动，为学校法治教育提供支持。</w:t>
            </w:r>
          </w:p>
          <w:p>
            <w:pPr>
              <w:pStyle w:val="14"/>
              <w:numPr>
                <w:ilvl w:val="0"/>
                <w:numId w:val="1"/>
              </w:numPr>
            </w:pPr>
            <w:r>
              <w:t>开展禁毒清理宣传、反恐行动、青少年法制教育等</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面向青少年组织法律宣讲活动</w:t>
            </w:r>
          </w:p>
        </w:tc>
        <w:tc>
          <w:tcPr>
            <w:tcW w:w="2835" w:type="dxa"/>
            <w:vAlign w:val="center"/>
          </w:tcPr>
          <w:p>
            <w:pPr>
              <w:pStyle w:val="14"/>
            </w:pPr>
            <w:r>
              <w:t>宣传活动次数</w:t>
            </w:r>
          </w:p>
        </w:tc>
        <w:tc>
          <w:tcPr>
            <w:tcW w:w="2551" w:type="dxa"/>
            <w:vAlign w:val="center"/>
          </w:tcPr>
          <w:p>
            <w:pPr>
              <w:pStyle w:val="14"/>
            </w:pPr>
            <w:r>
              <w:t>＞3次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重点吸毒人员管控</w:t>
            </w:r>
          </w:p>
        </w:tc>
        <w:tc>
          <w:tcPr>
            <w:tcW w:w="2835" w:type="dxa"/>
            <w:vAlign w:val="center"/>
          </w:tcPr>
          <w:p>
            <w:pPr>
              <w:pStyle w:val="14"/>
            </w:pPr>
            <w:r>
              <w:t>重点吸毒人员管控率、禁毒工作覆盖率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反恐工作监管情况</w:t>
            </w:r>
          </w:p>
        </w:tc>
        <w:tc>
          <w:tcPr>
            <w:tcW w:w="2835" w:type="dxa"/>
            <w:vAlign w:val="center"/>
          </w:tcPr>
          <w:p>
            <w:pPr>
              <w:pStyle w:val="14"/>
            </w:pPr>
            <w:r>
              <w:t>严管民爆物品、枪支弹药、散装汽油、管制刀具、烟花爆竹等重点物品</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开展禁毒打击行动</w:t>
            </w:r>
          </w:p>
        </w:tc>
        <w:tc>
          <w:tcPr>
            <w:tcW w:w="2835" w:type="dxa"/>
            <w:vAlign w:val="center"/>
          </w:tcPr>
          <w:p>
            <w:pPr>
              <w:pStyle w:val="14"/>
            </w:pPr>
            <w:r>
              <w:t>开展打击行动次数</w:t>
            </w:r>
          </w:p>
        </w:tc>
        <w:tc>
          <w:tcPr>
            <w:tcW w:w="2551" w:type="dxa"/>
            <w:vAlign w:val="center"/>
          </w:tcPr>
          <w:p>
            <w:pPr>
              <w:pStyle w:val="14"/>
            </w:pPr>
            <w:r>
              <w:t>≥2次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提高人民法律意识和素质</w:t>
            </w:r>
          </w:p>
        </w:tc>
        <w:tc>
          <w:tcPr>
            <w:tcW w:w="2835" w:type="dxa"/>
            <w:vAlign w:val="center"/>
          </w:tcPr>
          <w:p>
            <w:pPr>
              <w:pStyle w:val="14"/>
            </w:pPr>
            <w:r>
              <w:t>活动次数</w:t>
            </w:r>
          </w:p>
        </w:tc>
        <w:tc>
          <w:tcPr>
            <w:tcW w:w="2551" w:type="dxa"/>
            <w:vAlign w:val="center"/>
          </w:tcPr>
          <w:p>
            <w:pPr>
              <w:pStyle w:val="14"/>
            </w:pPr>
            <w:r>
              <w:t>≥3次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开展禁毒日活动宣传</w:t>
            </w:r>
          </w:p>
        </w:tc>
        <w:tc>
          <w:tcPr>
            <w:tcW w:w="2835" w:type="dxa"/>
            <w:vAlign w:val="center"/>
          </w:tcPr>
          <w:p>
            <w:pPr>
              <w:pStyle w:val="14"/>
            </w:pPr>
            <w:r>
              <w:t>活动次数</w:t>
            </w:r>
          </w:p>
        </w:tc>
        <w:tc>
          <w:tcPr>
            <w:tcW w:w="2551" w:type="dxa"/>
            <w:vAlign w:val="center"/>
          </w:tcPr>
          <w:p>
            <w:pPr>
              <w:pStyle w:val="14"/>
            </w:pPr>
            <w:r>
              <w:t>≥1次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维护生态稳定</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w:t>
            </w:r>
          </w:p>
        </w:tc>
        <w:tc>
          <w:tcPr>
            <w:tcW w:w="2835" w:type="dxa"/>
            <w:vAlign w:val="center"/>
          </w:tcPr>
          <w:p>
            <w:pPr>
              <w:pStyle w:val="14"/>
            </w:pPr>
            <w:r>
              <w:t>群众满意度</w:t>
            </w:r>
          </w:p>
        </w:tc>
        <w:tc>
          <w:tcPr>
            <w:tcW w:w="2551" w:type="dxa"/>
            <w:vAlign w:val="center"/>
          </w:tcPr>
          <w:p>
            <w:pPr>
              <w:pStyle w:val="14"/>
            </w:pPr>
            <w:r>
              <w:t>≥90人</w:t>
            </w:r>
          </w:p>
        </w:tc>
        <w:tc>
          <w:tcPr>
            <w:tcW w:w="2268" w:type="dxa"/>
            <w:vAlign w:val="center"/>
          </w:tcPr>
          <w:p>
            <w:pPr>
              <w:pStyle w:val="14"/>
            </w:pPr>
            <w:r>
              <w:t>群众满意度达到百分之90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7、见义勇为、职务犯罪举报等奖励资金绩效目标表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6.充分调动人民群众参与社会治安综合治理和平安建设的积极性</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见义勇为人员奖励占比</w:t>
            </w:r>
          </w:p>
        </w:tc>
        <w:tc>
          <w:tcPr>
            <w:tcW w:w="2835" w:type="dxa"/>
            <w:vAlign w:val="center"/>
          </w:tcPr>
          <w:p>
            <w:pPr>
              <w:pStyle w:val="14"/>
            </w:pPr>
            <w:r>
              <w:t>受表彰见义勇为人员数量占见义勇为人员数量的比例</w:t>
            </w:r>
          </w:p>
        </w:tc>
        <w:tc>
          <w:tcPr>
            <w:tcW w:w="2551" w:type="dxa"/>
            <w:vAlign w:val="center"/>
          </w:tcPr>
          <w:p>
            <w:pPr>
              <w:pStyle w:val="14"/>
            </w:pPr>
            <w:r>
              <w:t>≥90%</w:t>
            </w:r>
          </w:p>
        </w:tc>
        <w:tc>
          <w:tcPr>
            <w:tcW w:w="2268" w:type="dxa"/>
            <w:vAlign w:val="center"/>
          </w:tcPr>
          <w:p>
            <w:pPr>
              <w:pStyle w:val="14"/>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奖励金足额发放率</w:t>
            </w:r>
          </w:p>
        </w:tc>
        <w:tc>
          <w:tcPr>
            <w:tcW w:w="2835" w:type="dxa"/>
            <w:vAlign w:val="center"/>
          </w:tcPr>
          <w:p>
            <w:pPr>
              <w:pStyle w:val="14"/>
            </w:pPr>
            <w:r>
              <w:t>按照实际奖励</w:t>
            </w:r>
          </w:p>
        </w:tc>
        <w:tc>
          <w:tcPr>
            <w:tcW w:w="2551" w:type="dxa"/>
            <w:vAlign w:val="center"/>
          </w:tcPr>
          <w:p>
            <w:pPr>
              <w:pStyle w:val="14"/>
            </w:pPr>
            <w:r>
              <w:t>按照实际奖励</w:t>
            </w:r>
          </w:p>
        </w:tc>
        <w:tc>
          <w:tcPr>
            <w:tcW w:w="2268" w:type="dxa"/>
            <w:vAlign w:val="center"/>
          </w:tcPr>
          <w:p>
            <w:pPr>
              <w:pStyle w:val="14"/>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受理及时性</w:t>
            </w:r>
          </w:p>
        </w:tc>
        <w:tc>
          <w:tcPr>
            <w:tcW w:w="2835" w:type="dxa"/>
            <w:vAlign w:val="center"/>
          </w:tcPr>
          <w:p>
            <w:pPr>
              <w:pStyle w:val="14"/>
            </w:pPr>
            <w:r>
              <w:t>受理后及时完成调查取证的天数</w:t>
            </w:r>
          </w:p>
        </w:tc>
        <w:tc>
          <w:tcPr>
            <w:tcW w:w="2551" w:type="dxa"/>
            <w:vAlign w:val="center"/>
          </w:tcPr>
          <w:p>
            <w:pPr>
              <w:pStyle w:val="14"/>
            </w:pPr>
            <w:r>
              <w:t>≤15天</w:t>
            </w:r>
          </w:p>
        </w:tc>
        <w:tc>
          <w:tcPr>
            <w:tcW w:w="2268" w:type="dxa"/>
            <w:vAlign w:val="center"/>
          </w:tcPr>
          <w:p>
            <w:pPr>
              <w:pStyle w:val="14"/>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受理确认及时性</w:t>
            </w:r>
          </w:p>
        </w:tc>
        <w:tc>
          <w:tcPr>
            <w:tcW w:w="2835" w:type="dxa"/>
            <w:vAlign w:val="center"/>
          </w:tcPr>
          <w:p>
            <w:pPr>
              <w:pStyle w:val="14"/>
            </w:pPr>
            <w:r>
              <w:t>收到申报材料及时处理的天数</w:t>
            </w:r>
          </w:p>
        </w:tc>
        <w:tc>
          <w:tcPr>
            <w:tcW w:w="2551" w:type="dxa"/>
            <w:vAlign w:val="center"/>
          </w:tcPr>
          <w:p>
            <w:pPr>
              <w:pStyle w:val="14"/>
            </w:pPr>
            <w:r>
              <w:t>≤60天</w:t>
            </w:r>
          </w:p>
        </w:tc>
        <w:tc>
          <w:tcPr>
            <w:tcW w:w="2268" w:type="dxa"/>
            <w:vAlign w:val="center"/>
          </w:tcPr>
          <w:p>
            <w:pPr>
              <w:pStyle w:val="14"/>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倡导良好的社会道德风尚</w:t>
            </w:r>
          </w:p>
        </w:tc>
        <w:tc>
          <w:tcPr>
            <w:tcW w:w="2835" w:type="dxa"/>
            <w:vAlign w:val="center"/>
          </w:tcPr>
          <w:p>
            <w:pPr>
              <w:pStyle w:val="14"/>
            </w:pPr>
            <w:r>
              <w:t>调动人民群众参与社会治安治理和平安建设的积极性</w:t>
            </w:r>
          </w:p>
        </w:tc>
        <w:tc>
          <w:tcPr>
            <w:tcW w:w="2551" w:type="dxa"/>
            <w:vAlign w:val="center"/>
          </w:tcPr>
          <w:p>
            <w:pPr>
              <w:pStyle w:val="14"/>
            </w:pPr>
            <w:r>
              <w:t>有效倡导</w:t>
            </w:r>
          </w:p>
        </w:tc>
        <w:tc>
          <w:tcPr>
            <w:tcW w:w="2268" w:type="dxa"/>
            <w:vAlign w:val="center"/>
          </w:tcPr>
          <w:p>
            <w:pPr>
              <w:pStyle w:val="14"/>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w:t>
            </w:r>
          </w:p>
        </w:tc>
        <w:tc>
          <w:tcPr>
            <w:tcW w:w="2268" w:type="dxa"/>
            <w:vAlign w:val="center"/>
          </w:tcPr>
          <w:p>
            <w:pPr>
              <w:pStyle w:val="14"/>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≥80%</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受奖励人员的满意情况</w:t>
            </w:r>
          </w:p>
        </w:tc>
        <w:tc>
          <w:tcPr>
            <w:tcW w:w="2835" w:type="dxa"/>
            <w:vAlign w:val="center"/>
          </w:tcPr>
          <w:p>
            <w:pPr>
              <w:pStyle w:val="14"/>
            </w:pPr>
            <w:r>
              <w:t>受奖励人员的满意情况</w:t>
            </w:r>
          </w:p>
        </w:tc>
        <w:tc>
          <w:tcPr>
            <w:tcW w:w="2551" w:type="dxa"/>
            <w:vAlign w:val="center"/>
          </w:tcPr>
          <w:p>
            <w:pPr>
              <w:pStyle w:val="14"/>
            </w:pPr>
            <w:r>
              <w:t>≥90%</w:t>
            </w:r>
          </w:p>
        </w:tc>
        <w:tc>
          <w:tcPr>
            <w:tcW w:w="2268" w:type="dxa"/>
            <w:vAlign w:val="center"/>
          </w:tcPr>
          <w:p>
            <w:pPr>
              <w:pStyle w:val="14"/>
            </w:pPr>
            <w:r>
              <w:t>秦综治办【2017】3号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8、农村治安保险资金绩效目标表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6.为民办实事，实现政治安定、社会稳定和人民生活和谐有序。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农村治安保险参保比例</w:t>
            </w:r>
          </w:p>
        </w:tc>
        <w:tc>
          <w:tcPr>
            <w:tcW w:w="2835" w:type="dxa"/>
            <w:vAlign w:val="center"/>
          </w:tcPr>
          <w:p>
            <w:pPr>
              <w:pStyle w:val="14"/>
            </w:pPr>
            <w:r>
              <w:t>全区农户参保数量占全区农户数量的比例</w:t>
            </w:r>
          </w:p>
        </w:tc>
        <w:tc>
          <w:tcPr>
            <w:tcW w:w="2551" w:type="dxa"/>
            <w:vAlign w:val="center"/>
          </w:tcPr>
          <w:p>
            <w:pPr>
              <w:pStyle w:val="14"/>
            </w:pPr>
            <w:r>
              <w:t>≥90%</w:t>
            </w:r>
          </w:p>
        </w:tc>
        <w:tc>
          <w:tcPr>
            <w:tcW w:w="2268" w:type="dxa"/>
            <w:vAlign w:val="center"/>
          </w:tcPr>
          <w:p>
            <w:pPr>
              <w:pStyle w:val="14"/>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处置群体性事件数占全部数的比率</w:t>
            </w:r>
          </w:p>
        </w:tc>
        <w:tc>
          <w:tcPr>
            <w:tcW w:w="2835" w:type="dxa"/>
            <w:vAlign w:val="center"/>
          </w:tcPr>
          <w:p>
            <w:pPr>
              <w:pStyle w:val="14"/>
            </w:pPr>
            <w:r>
              <w:t>处置案发数量占全部案发数量的比例</w:t>
            </w:r>
          </w:p>
        </w:tc>
        <w:tc>
          <w:tcPr>
            <w:tcW w:w="2551" w:type="dxa"/>
            <w:vAlign w:val="center"/>
          </w:tcPr>
          <w:p>
            <w:pPr>
              <w:pStyle w:val="14"/>
            </w:pPr>
            <w:r>
              <w:t>≥91%</w:t>
            </w:r>
          </w:p>
        </w:tc>
        <w:tc>
          <w:tcPr>
            <w:tcW w:w="2268" w:type="dxa"/>
            <w:vAlign w:val="center"/>
          </w:tcPr>
          <w:p>
            <w:pPr>
              <w:pStyle w:val="14"/>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治安工作及时完成率</w:t>
            </w:r>
          </w:p>
        </w:tc>
        <w:tc>
          <w:tcPr>
            <w:tcW w:w="2835" w:type="dxa"/>
            <w:vAlign w:val="center"/>
          </w:tcPr>
          <w:p>
            <w:pPr>
              <w:pStyle w:val="14"/>
            </w:pPr>
            <w:r>
              <w:t>治安相关工作完成及时性</w:t>
            </w:r>
          </w:p>
        </w:tc>
        <w:tc>
          <w:tcPr>
            <w:tcW w:w="2551" w:type="dxa"/>
            <w:vAlign w:val="center"/>
          </w:tcPr>
          <w:p>
            <w:pPr>
              <w:pStyle w:val="14"/>
            </w:pPr>
            <w:r>
              <w:t>≥92%</w:t>
            </w:r>
          </w:p>
        </w:tc>
        <w:tc>
          <w:tcPr>
            <w:tcW w:w="2268" w:type="dxa"/>
            <w:vAlign w:val="center"/>
          </w:tcPr>
          <w:p>
            <w:pPr>
              <w:pStyle w:val="14"/>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治安保险金额</w:t>
            </w:r>
          </w:p>
        </w:tc>
        <w:tc>
          <w:tcPr>
            <w:tcW w:w="2835" w:type="dxa"/>
            <w:vAlign w:val="center"/>
          </w:tcPr>
          <w:p>
            <w:pPr>
              <w:pStyle w:val="14"/>
            </w:pPr>
            <w:r>
              <w:t>成本不超预算</w:t>
            </w:r>
          </w:p>
        </w:tc>
        <w:tc>
          <w:tcPr>
            <w:tcW w:w="2551" w:type="dxa"/>
            <w:vAlign w:val="center"/>
          </w:tcPr>
          <w:p>
            <w:pPr>
              <w:pStyle w:val="14"/>
            </w:pPr>
            <w:r>
              <w:t>≤25万</w:t>
            </w:r>
          </w:p>
        </w:tc>
        <w:tc>
          <w:tcPr>
            <w:tcW w:w="2268" w:type="dxa"/>
            <w:vAlign w:val="center"/>
          </w:tcPr>
          <w:p>
            <w:pPr>
              <w:pStyle w:val="14"/>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确保新区农户安全稳定</w:t>
            </w:r>
          </w:p>
        </w:tc>
        <w:tc>
          <w:tcPr>
            <w:tcW w:w="2835" w:type="dxa"/>
            <w:vAlign w:val="center"/>
          </w:tcPr>
          <w:p>
            <w:pPr>
              <w:pStyle w:val="14"/>
            </w:pPr>
            <w:r>
              <w:t>提升社会安全度，建立健全治安体系</w:t>
            </w:r>
          </w:p>
        </w:tc>
        <w:tc>
          <w:tcPr>
            <w:tcW w:w="2551" w:type="dxa"/>
            <w:vAlign w:val="center"/>
          </w:tcPr>
          <w:p>
            <w:pPr>
              <w:pStyle w:val="14"/>
            </w:pPr>
            <w:r>
              <w:t>有效保障</w:t>
            </w:r>
          </w:p>
        </w:tc>
        <w:tc>
          <w:tcPr>
            <w:tcW w:w="2268" w:type="dxa"/>
            <w:vAlign w:val="center"/>
          </w:tcPr>
          <w:p>
            <w:pPr>
              <w:pStyle w:val="14"/>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w:t>
            </w:r>
          </w:p>
        </w:tc>
        <w:tc>
          <w:tcPr>
            <w:tcW w:w="2268" w:type="dxa"/>
            <w:vAlign w:val="center"/>
          </w:tcPr>
          <w:p>
            <w:pPr>
              <w:pStyle w:val="14"/>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≥80%</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民众满意度</w:t>
            </w:r>
          </w:p>
        </w:tc>
        <w:tc>
          <w:tcPr>
            <w:tcW w:w="2835" w:type="dxa"/>
            <w:vAlign w:val="center"/>
          </w:tcPr>
          <w:p>
            <w:pPr>
              <w:pStyle w:val="14"/>
            </w:pPr>
            <w:r>
              <w:t>民众满意度</w:t>
            </w:r>
          </w:p>
        </w:tc>
        <w:tc>
          <w:tcPr>
            <w:tcW w:w="2551" w:type="dxa"/>
            <w:vAlign w:val="center"/>
          </w:tcPr>
          <w:p>
            <w:pPr>
              <w:pStyle w:val="14"/>
            </w:pPr>
            <w:r>
              <w:t>≥95%</w:t>
            </w:r>
          </w:p>
        </w:tc>
        <w:tc>
          <w:tcPr>
            <w:tcW w:w="2268" w:type="dxa"/>
            <w:vAlign w:val="center"/>
          </w:tcPr>
          <w:p>
            <w:pPr>
              <w:pStyle w:val="14"/>
            </w:pPr>
            <w:r>
              <w:t>秦北新【2016】9号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9、扫黑除恶工作经费绩效目标表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6.黑恶势力违法犯罪特别是农村涉黑涉恶问题得到根本遏制，涉黑涉恶治安乱点得到全面整治。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深挖涉黑涉恶案件线索数</w:t>
            </w:r>
          </w:p>
        </w:tc>
        <w:tc>
          <w:tcPr>
            <w:tcW w:w="2835" w:type="dxa"/>
            <w:vAlign w:val="center"/>
          </w:tcPr>
          <w:p>
            <w:pPr>
              <w:pStyle w:val="14"/>
            </w:pPr>
            <w:r>
              <w:t>核查侦办的涉黑涉恶案件线索数占新区涉黑涉恶案件线索数量的比率</w:t>
            </w:r>
          </w:p>
        </w:tc>
        <w:tc>
          <w:tcPr>
            <w:tcW w:w="2551" w:type="dxa"/>
            <w:vAlign w:val="center"/>
          </w:tcPr>
          <w:p>
            <w:pPr>
              <w:pStyle w:val="14"/>
            </w:pPr>
            <w:r>
              <w:t>≥90%</w:t>
            </w:r>
          </w:p>
        </w:tc>
        <w:tc>
          <w:tcPr>
            <w:tcW w:w="2268" w:type="dxa"/>
            <w:vAlign w:val="center"/>
          </w:tcPr>
          <w:p>
            <w:pPr>
              <w:pStyle w:val="14"/>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扫黑除恶有效性</w:t>
            </w:r>
          </w:p>
        </w:tc>
        <w:tc>
          <w:tcPr>
            <w:tcW w:w="2835" w:type="dxa"/>
            <w:vAlign w:val="center"/>
          </w:tcPr>
          <w:p>
            <w:pPr>
              <w:pStyle w:val="14"/>
            </w:pPr>
            <w:r>
              <w:t>开展扫黑除恶宣传效果</w:t>
            </w:r>
          </w:p>
        </w:tc>
        <w:tc>
          <w:tcPr>
            <w:tcW w:w="2551" w:type="dxa"/>
            <w:vAlign w:val="center"/>
          </w:tcPr>
          <w:p>
            <w:pPr>
              <w:pStyle w:val="14"/>
            </w:pPr>
            <w:r>
              <w:t>≥90%</w:t>
            </w:r>
          </w:p>
        </w:tc>
        <w:tc>
          <w:tcPr>
            <w:tcW w:w="2268" w:type="dxa"/>
            <w:vAlign w:val="center"/>
          </w:tcPr>
          <w:p>
            <w:pPr>
              <w:pStyle w:val="14"/>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按时完成任务</w:t>
            </w:r>
          </w:p>
        </w:tc>
        <w:tc>
          <w:tcPr>
            <w:tcW w:w="2551" w:type="dxa"/>
            <w:vAlign w:val="center"/>
          </w:tcPr>
          <w:p>
            <w:pPr>
              <w:pStyle w:val="14"/>
            </w:pPr>
            <w:r>
              <w:t>≥90%</w:t>
            </w:r>
          </w:p>
        </w:tc>
        <w:tc>
          <w:tcPr>
            <w:tcW w:w="2268" w:type="dxa"/>
            <w:vAlign w:val="center"/>
          </w:tcPr>
          <w:p>
            <w:pPr>
              <w:pStyle w:val="14"/>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w:t>
            </w:r>
          </w:p>
        </w:tc>
        <w:tc>
          <w:tcPr>
            <w:tcW w:w="2551" w:type="dxa"/>
            <w:vAlign w:val="center"/>
          </w:tcPr>
          <w:p>
            <w:pPr>
              <w:pStyle w:val="14"/>
            </w:pPr>
            <w:r>
              <w:t>≤20万元</w:t>
            </w:r>
          </w:p>
        </w:tc>
        <w:tc>
          <w:tcPr>
            <w:tcW w:w="2268" w:type="dxa"/>
            <w:vAlign w:val="center"/>
          </w:tcPr>
          <w:p>
            <w:pPr>
              <w:pStyle w:val="14"/>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开展扫黑除恶营造安全稳定</w:t>
            </w:r>
          </w:p>
        </w:tc>
        <w:tc>
          <w:tcPr>
            <w:tcW w:w="2835" w:type="dxa"/>
            <w:vAlign w:val="center"/>
          </w:tcPr>
          <w:p>
            <w:pPr>
              <w:pStyle w:val="14"/>
            </w:pPr>
            <w:r>
              <w:t>营造安全稳定、平安和谐的旅游、营商环境，打造平安新区。</w:t>
            </w:r>
          </w:p>
        </w:tc>
        <w:tc>
          <w:tcPr>
            <w:tcW w:w="2551" w:type="dxa"/>
            <w:vAlign w:val="center"/>
          </w:tcPr>
          <w:p>
            <w:pPr>
              <w:pStyle w:val="14"/>
            </w:pPr>
            <w:r>
              <w:t>有效保障</w:t>
            </w:r>
          </w:p>
        </w:tc>
        <w:tc>
          <w:tcPr>
            <w:tcW w:w="2268" w:type="dxa"/>
            <w:vAlign w:val="center"/>
          </w:tcPr>
          <w:p>
            <w:pPr>
              <w:pStyle w:val="14"/>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涉黑涉恶治安乱点得到全面整治</w:t>
            </w:r>
          </w:p>
        </w:tc>
        <w:tc>
          <w:tcPr>
            <w:tcW w:w="2835" w:type="dxa"/>
            <w:vAlign w:val="center"/>
          </w:tcPr>
          <w:p>
            <w:pPr>
              <w:pStyle w:val="14"/>
            </w:pPr>
            <w:r>
              <w:t>黑恶势力违法犯罪特别是农村涉黑涉恶问题得到根本遏制，重点行业、重点领域管理得到明显加强</w:t>
            </w:r>
          </w:p>
        </w:tc>
        <w:tc>
          <w:tcPr>
            <w:tcW w:w="2551" w:type="dxa"/>
            <w:vAlign w:val="center"/>
          </w:tcPr>
          <w:p>
            <w:pPr>
              <w:pStyle w:val="14"/>
            </w:pPr>
            <w:r>
              <w:t>有效保障</w:t>
            </w:r>
          </w:p>
        </w:tc>
        <w:tc>
          <w:tcPr>
            <w:tcW w:w="2268" w:type="dxa"/>
            <w:vAlign w:val="center"/>
          </w:tcPr>
          <w:p>
            <w:pPr>
              <w:pStyle w:val="14"/>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≥80%</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安全感明显增强，恶势力明显减少，切实增强人民群众的满意感、幸福感</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10、司法救助金绩效目标表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2"/>
              </w:numPr>
            </w:pPr>
            <w:r>
              <w:t>调查核实新区申报的司法救助案件，并为申报人员发放救助金。</w:t>
            </w:r>
            <w:r>
              <w:tab/>
            </w:r>
          </w:p>
          <w:p>
            <w:pPr>
              <w:pStyle w:val="14"/>
              <w:numPr>
                <w:ilvl w:val="0"/>
                <w:numId w:val="0"/>
              </w:numPr>
            </w:pPr>
            <w:r>
              <w:t>7.对遭受犯罪侵害或者民事侵权，无法通过诉讼获得有效赔偿，生活面临急迫困难的当事人采取的辅助性救济措施。</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司法救助案件接受率</w:t>
            </w:r>
          </w:p>
        </w:tc>
        <w:tc>
          <w:tcPr>
            <w:tcW w:w="2835" w:type="dxa"/>
            <w:vAlign w:val="center"/>
          </w:tcPr>
          <w:p>
            <w:pPr>
              <w:pStyle w:val="14"/>
            </w:pPr>
            <w:r>
              <w:t>司法救助案件受理数量占全部案件数量的比例</w:t>
            </w:r>
          </w:p>
        </w:tc>
        <w:tc>
          <w:tcPr>
            <w:tcW w:w="2551" w:type="dxa"/>
            <w:vAlign w:val="center"/>
          </w:tcPr>
          <w:p>
            <w:pPr>
              <w:pStyle w:val="14"/>
            </w:pPr>
            <w:r>
              <w:t>≥90%</w:t>
            </w:r>
          </w:p>
        </w:tc>
        <w:tc>
          <w:tcPr>
            <w:tcW w:w="2268" w:type="dxa"/>
            <w:vAlign w:val="center"/>
          </w:tcPr>
          <w:p>
            <w:pPr>
              <w:pStyle w:val="14"/>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接受司法救助案件审核率</w:t>
            </w:r>
          </w:p>
        </w:tc>
        <w:tc>
          <w:tcPr>
            <w:tcW w:w="2835" w:type="dxa"/>
            <w:vAlign w:val="center"/>
          </w:tcPr>
          <w:p>
            <w:pPr>
              <w:pStyle w:val="14"/>
            </w:pPr>
            <w:r>
              <w:t>司法救助案件核审通过的比率</w:t>
            </w:r>
          </w:p>
        </w:tc>
        <w:tc>
          <w:tcPr>
            <w:tcW w:w="2551" w:type="dxa"/>
            <w:vAlign w:val="center"/>
          </w:tcPr>
          <w:p>
            <w:pPr>
              <w:pStyle w:val="14"/>
            </w:pPr>
            <w:r>
              <w:t>≥90%</w:t>
            </w:r>
          </w:p>
        </w:tc>
        <w:tc>
          <w:tcPr>
            <w:tcW w:w="2268" w:type="dxa"/>
            <w:vAlign w:val="center"/>
          </w:tcPr>
          <w:p>
            <w:pPr>
              <w:pStyle w:val="14"/>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救助工作及时完成</w:t>
            </w:r>
          </w:p>
        </w:tc>
        <w:tc>
          <w:tcPr>
            <w:tcW w:w="2551" w:type="dxa"/>
            <w:vAlign w:val="center"/>
          </w:tcPr>
          <w:p>
            <w:pPr>
              <w:pStyle w:val="14"/>
            </w:pPr>
            <w:r>
              <w:t>≥90%</w:t>
            </w:r>
          </w:p>
        </w:tc>
        <w:tc>
          <w:tcPr>
            <w:tcW w:w="2268" w:type="dxa"/>
            <w:vAlign w:val="center"/>
          </w:tcPr>
          <w:p>
            <w:pPr>
              <w:pStyle w:val="14"/>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司法救助成本</w:t>
            </w:r>
          </w:p>
        </w:tc>
        <w:tc>
          <w:tcPr>
            <w:tcW w:w="2835" w:type="dxa"/>
            <w:vAlign w:val="center"/>
          </w:tcPr>
          <w:p>
            <w:pPr>
              <w:pStyle w:val="14"/>
            </w:pPr>
            <w:r>
              <w:t>救助标准不超预算</w:t>
            </w:r>
          </w:p>
        </w:tc>
        <w:tc>
          <w:tcPr>
            <w:tcW w:w="2551" w:type="dxa"/>
            <w:vAlign w:val="center"/>
          </w:tcPr>
          <w:p>
            <w:pPr>
              <w:pStyle w:val="14"/>
            </w:pPr>
            <w:r>
              <w:t>≤10万元</w:t>
            </w:r>
          </w:p>
        </w:tc>
        <w:tc>
          <w:tcPr>
            <w:tcW w:w="2268" w:type="dxa"/>
            <w:vAlign w:val="center"/>
          </w:tcPr>
          <w:p>
            <w:pPr>
              <w:pStyle w:val="14"/>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保障特殊人群稳定</w:t>
            </w:r>
          </w:p>
        </w:tc>
        <w:tc>
          <w:tcPr>
            <w:tcW w:w="2835" w:type="dxa"/>
            <w:vAlign w:val="center"/>
          </w:tcPr>
          <w:p>
            <w:pPr>
              <w:pStyle w:val="14"/>
            </w:pPr>
            <w:r>
              <w:t>对符合条件的救助对象采取的辅助性救济措施，维持社会稳定性</w:t>
            </w:r>
          </w:p>
        </w:tc>
        <w:tc>
          <w:tcPr>
            <w:tcW w:w="2551" w:type="dxa"/>
            <w:vAlign w:val="center"/>
          </w:tcPr>
          <w:p>
            <w:pPr>
              <w:pStyle w:val="14"/>
            </w:pPr>
            <w:r>
              <w:t>有效保障</w:t>
            </w:r>
          </w:p>
        </w:tc>
        <w:tc>
          <w:tcPr>
            <w:tcW w:w="2268" w:type="dxa"/>
            <w:vAlign w:val="center"/>
          </w:tcPr>
          <w:p>
            <w:pPr>
              <w:pStyle w:val="14"/>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w:t>
            </w:r>
          </w:p>
        </w:tc>
        <w:tc>
          <w:tcPr>
            <w:tcW w:w="2268" w:type="dxa"/>
            <w:vAlign w:val="center"/>
          </w:tcPr>
          <w:p>
            <w:pPr>
              <w:pStyle w:val="14"/>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≥80%</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被救助人员满意</w:t>
            </w:r>
          </w:p>
        </w:tc>
        <w:tc>
          <w:tcPr>
            <w:tcW w:w="2835" w:type="dxa"/>
            <w:vAlign w:val="center"/>
          </w:tcPr>
          <w:p>
            <w:pPr>
              <w:pStyle w:val="14"/>
            </w:pPr>
            <w:r>
              <w:t>被救助人员满意度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11、雪亮工程项目运维资金绩效目标表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6.建设北戴河新区公共安全视频监控联网应用系统</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视频监控点位</w:t>
            </w:r>
          </w:p>
        </w:tc>
        <w:tc>
          <w:tcPr>
            <w:tcW w:w="2835" w:type="dxa"/>
            <w:vAlign w:val="center"/>
          </w:tcPr>
          <w:p>
            <w:pPr>
              <w:pStyle w:val="14"/>
            </w:pPr>
            <w:r>
              <w:t>公安建设视频监控点位</w:t>
            </w:r>
          </w:p>
        </w:tc>
        <w:tc>
          <w:tcPr>
            <w:tcW w:w="2551" w:type="dxa"/>
            <w:vAlign w:val="center"/>
          </w:tcPr>
          <w:p>
            <w:pPr>
              <w:pStyle w:val="14"/>
            </w:pPr>
            <w:r>
              <w:t>≥383个</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各项视频点位正常运行</w:t>
            </w:r>
          </w:p>
        </w:tc>
        <w:tc>
          <w:tcPr>
            <w:tcW w:w="2551" w:type="dxa"/>
            <w:vAlign w:val="center"/>
          </w:tcPr>
          <w:p>
            <w:pPr>
              <w:pStyle w:val="14"/>
            </w:pPr>
            <w:r>
              <w:t>≥90%</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工程完成及时</w:t>
            </w:r>
          </w:p>
        </w:tc>
        <w:tc>
          <w:tcPr>
            <w:tcW w:w="2551" w:type="dxa"/>
            <w:vAlign w:val="center"/>
          </w:tcPr>
          <w:p>
            <w:pPr>
              <w:pStyle w:val="14"/>
            </w:pPr>
            <w:r>
              <w:t>≥90%</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运维成本</w:t>
            </w:r>
          </w:p>
        </w:tc>
        <w:tc>
          <w:tcPr>
            <w:tcW w:w="2835" w:type="dxa"/>
            <w:vAlign w:val="center"/>
          </w:tcPr>
          <w:p>
            <w:pPr>
              <w:pStyle w:val="14"/>
            </w:pPr>
            <w:r>
              <w:t>运维成本不超预算</w:t>
            </w:r>
          </w:p>
        </w:tc>
        <w:tc>
          <w:tcPr>
            <w:tcW w:w="2551" w:type="dxa"/>
            <w:vAlign w:val="center"/>
          </w:tcPr>
          <w:p>
            <w:pPr>
              <w:pStyle w:val="14"/>
            </w:pPr>
            <w:r>
              <w:t>≤144万元</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开展社会面管控</w:t>
            </w:r>
          </w:p>
        </w:tc>
        <w:tc>
          <w:tcPr>
            <w:tcW w:w="2835" w:type="dxa"/>
            <w:vAlign w:val="center"/>
          </w:tcPr>
          <w:p>
            <w:pPr>
              <w:pStyle w:val="14"/>
            </w:pPr>
            <w:r>
              <w:t>建立社会治安立体防控体系，持续维护治安</w:t>
            </w:r>
          </w:p>
        </w:tc>
        <w:tc>
          <w:tcPr>
            <w:tcW w:w="2551" w:type="dxa"/>
            <w:vAlign w:val="center"/>
          </w:tcPr>
          <w:p>
            <w:pPr>
              <w:pStyle w:val="14"/>
            </w:pPr>
            <w:r>
              <w:t>≥90%</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w:t>
            </w:r>
          </w:p>
        </w:tc>
        <w:tc>
          <w:tcPr>
            <w:tcW w:w="2268" w:type="dxa"/>
            <w:vAlign w:val="center"/>
          </w:tcPr>
          <w:p>
            <w:pPr>
              <w:pStyle w:val="14"/>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≥80%</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民众满意度</w:t>
            </w:r>
          </w:p>
        </w:tc>
        <w:tc>
          <w:tcPr>
            <w:tcW w:w="2835" w:type="dxa"/>
            <w:vAlign w:val="center"/>
          </w:tcPr>
          <w:p>
            <w:pPr>
              <w:pStyle w:val="14"/>
            </w:pPr>
            <w:r>
              <w:t>民众满意度</w:t>
            </w:r>
          </w:p>
        </w:tc>
        <w:tc>
          <w:tcPr>
            <w:tcW w:w="2551" w:type="dxa"/>
            <w:vAlign w:val="center"/>
          </w:tcPr>
          <w:p>
            <w:pPr>
              <w:pStyle w:val="14"/>
            </w:pPr>
            <w:r>
              <w:t>≥90%</w:t>
            </w:r>
          </w:p>
        </w:tc>
        <w:tc>
          <w:tcPr>
            <w:tcW w:w="2268" w:type="dxa"/>
            <w:vAlign w:val="center"/>
          </w:tcPr>
          <w:p>
            <w:pPr>
              <w:pStyle w:val="14"/>
            </w:pPr>
            <w:r>
              <w:t>群众安全感明显增强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12、雪亮工程项目资金绩效目标表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6.建设北戴河新区公共安全视频监控联网应用系统</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视频监控点位</w:t>
            </w:r>
          </w:p>
        </w:tc>
        <w:tc>
          <w:tcPr>
            <w:tcW w:w="2835" w:type="dxa"/>
            <w:vAlign w:val="center"/>
          </w:tcPr>
          <w:p>
            <w:pPr>
              <w:pStyle w:val="14"/>
            </w:pPr>
            <w:r>
              <w:t>公安建设视频监控点位</w:t>
            </w:r>
          </w:p>
        </w:tc>
        <w:tc>
          <w:tcPr>
            <w:tcW w:w="2551" w:type="dxa"/>
            <w:vAlign w:val="center"/>
          </w:tcPr>
          <w:p>
            <w:pPr>
              <w:pStyle w:val="14"/>
            </w:pPr>
            <w:r>
              <w:t>≥383个</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各项安装设备验收合格</w:t>
            </w:r>
          </w:p>
        </w:tc>
        <w:tc>
          <w:tcPr>
            <w:tcW w:w="2551" w:type="dxa"/>
            <w:vAlign w:val="center"/>
          </w:tcPr>
          <w:p>
            <w:pPr>
              <w:pStyle w:val="14"/>
            </w:pPr>
            <w:r>
              <w:t>≥90%</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工程完成及时</w:t>
            </w:r>
          </w:p>
        </w:tc>
        <w:tc>
          <w:tcPr>
            <w:tcW w:w="2551" w:type="dxa"/>
            <w:vAlign w:val="center"/>
          </w:tcPr>
          <w:p>
            <w:pPr>
              <w:pStyle w:val="14"/>
            </w:pPr>
            <w:r>
              <w:t>≥90%</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各项成本不超预算</w:t>
            </w:r>
          </w:p>
        </w:tc>
        <w:tc>
          <w:tcPr>
            <w:tcW w:w="2551" w:type="dxa"/>
            <w:vAlign w:val="center"/>
          </w:tcPr>
          <w:p>
            <w:pPr>
              <w:pStyle w:val="14"/>
            </w:pPr>
            <w:r>
              <w:t>≤31万元</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开展社会面管控</w:t>
            </w:r>
          </w:p>
        </w:tc>
        <w:tc>
          <w:tcPr>
            <w:tcW w:w="2835" w:type="dxa"/>
            <w:vAlign w:val="center"/>
          </w:tcPr>
          <w:p>
            <w:pPr>
              <w:pStyle w:val="14"/>
            </w:pPr>
            <w:r>
              <w:t>建立社会治安立体防控体系，持续维护治安</w:t>
            </w:r>
          </w:p>
        </w:tc>
        <w:tc>
          <w:tcPr>
            <w:tcW w:w="2551" w:type="dxa"/>
            <w:vAlign w:val="center"/>
          </w:tcPr>
          <w:p>
            <w:pPr>
              <w:pStyle w:val="14"/>
            </w:pPr>
            <w:r>
              <w:t>≥90%</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w:t>
            </w:r>
          </w:p>
        </w:tc>
        <w:tc>
          <w:tcPr>
            <w:tcW w:w="2268" w:type="dxa"/>
            <w:vAlign w:val="center"/>
          </w:tcPr>
          <w:p>
            <w:pPr>
              <w:pStyle w:val="14"/>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≥80%</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民众满意度</w:t>
            </w:r>
          </w:p>
        </w:tc>
        <w:tc>
          <w:tcPr>
            <w:tcW w:w="2835" w:type="dxa"/>
            <w:vAlign w:val="center"/>
          </w:tcPr>
          <w:p>
            <w:pPr>
              <w:pStyle w:val="14"/>
            </w:pPr>
            <w:r>
              <w:t>民众满意度</w:t>
            </w:r>
          </w:p>
        </w:tc>
        <w:tc>
          <w:tcPr>
            <w:tcW w:w="2551" w:type="dxa"/>
            <w:vAlign w:val="center"/>
          </w:tcPr>
          <w:p>
            <w:pPr>
              <w:pStyle w:val="14"/>
            </w:pPr>
            <w:r>
              <w:t>≥90%</w:t>
            </w:r>
          </w:p>
        </w:tc>
        <w:tc>
          <w:tcPr>
            <w:tcW w:w="2268" w:type="dxa"/>
            <w:vAlign w:val="center"/>
          </w:tcPr>
          <w:p>
            <w:pPr>
              <w:pStyle w:val="14"/>
            </w:pPr>
            <w:r>
              <w:t>群众安全感明显增强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13、严重精神障碍患者监护人责任险绩效目标表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6.各项创新管理工作能够有效开展，为社会稳定提高新的管理模式。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精神障碍患者监护人人数</w:t>
            </w:r>
          </w:p>
        </w:tc>
        <w:tc>
          <w:tcPr>
            <w:tcW w:w="2835" w:type="dxa"/>
            <w:vAlign w:val="center"/>
          </w:tcPr>
          <w:p>
            <w:pPr>
              <w:pStyle w:val="14"/>
            </w:pPr>
            <w:r>
              <w:t>全区精神障碍患者投保监护人责任险</w:t>
            </w:r>
          </w:p>
        </w:tc>
        <w:tc>
          <w:tcPr>
            <w:tcW w:w="2551" w:type="dxa"/>
            <w:vAlign w:val="center"/>
          </w:tcPr>
          <w:p>
            <w:pPr>
              <w:pStyle w:val="14"/>
            </w:pPr>
            <w:r>
              <w:t>≥304人</w:t>
            </w:r>
          </w:p>
        </w:tc>
        <w:tc>
          <w:tcPr>
            <w:tcW w:w="2268" w:type="dxa"/>
            <w:vAlign w:val="center"/>
          </w:tcPr>
          <w:p>
            <w:pPr>
              <w:pStyle w:val="14"/>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监护人投保率</w:t>
            </w:r>
          </w:p>
        </w:tc>
        <w:tc>
          <w:tcPr>
            <w:tcW w:w="2835" w:type="dxa"/>
            <w:vAlign w:val="center"/>
          </w:tcPr>
          <w:p>
            <w:pPr>
              <w:pStyle w:val="14"/>
            </w:pPr>
            <w:r>
              <w:t>监护人投保率</w:t>
            </w:r>
          </w:p>
        </w:tc>
        <w:tc>
          <w:tcPr>
            <w:tcW w:w="2551" w:type="dxa"/>
            <w:vAlign w:val="center"/>
          </w:tcPr>
          <w:p>
            <w:pPr>
              <w:pStyle w:val="14"/>
            </w:pPr>
            <w:r>
              <w:t>≥95%</w:t>
            </w:r>
          </w:p>
        </w:tc>
        <w:tc>
          <w:tcPr>
            <w:tcW w:w="2268" w:type="dxa"/>
            <w:vAlign w:val="center"/>
          </w:tcPr>
          <w:p>
            <w:pPr>
              <w:pStyle w:val="14"/>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完成监护人责任保险的及时性</w:t>
            </w:r>
          </w:p>
        </w:tc>
        <w:tc>
          <w:tcPr>
            <w:tcW w:w="2551" w:type="dxa"/>
            <w:vAlign w:val="center"/>
          </w:tcPr>
          <w:p>
            <w:pPr>
              <w:pStyle w:val="14"/>
            </w:pPr>
            <w:r>
              <w:t>≥95%</w:t>
            </w:r>
          </w:p>
        </w:tc>
        <w:tc>
          <w:tcPr>
            <w:tcW w:w="2268" w:type="dxa"/>
            <w:vAlign w:val="center"/>
          </w:tcPr>
          <w:p>
            <w:pPr>
              <w:pStyle w:val="14"/>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成本不超预算</w:t>
            </w:r>
          </w:p>
        </w:tc>
        <w:tc>
          <w:tcPr>
            <w:tcW w:w="2551" w:type="dxa"/>
            <w:vAlign w:val="center"/>
          </w:tcPr>
          <w:p>
            <w:pPr>
              <w:pStyle w:val="14"/>
            </w:pPr>
            <w:r>
              <w:t>≤3.2万元</w:t>
            </w:r>
          </w:p>
        </w:tc>
        <w:tc>
          <w:tcPr>
            <w:tcW w:w="2268" w:type="dxa"/>
            <w:vAlign w:val="center"/>
          </w:tcPr>
          <w:p>
            <w:pPr>
              <w:pStyle w:val="14"/>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精神障碍患者安全保障率</w:t>
            </w:r>
          </w:p>
        </w:tc>
        <w:tc>
          <w:tcPr>
            <w:tcW w:w="2835" w:type="dxa"/>
            <w:vAlign w:val="center"/>
          </w:tcPr>
          <w:p>
            <w:pPr>
              <w:pStyle w:val="14"/>
            </w:pPr>
            <w:r>
              <w:t>确保精神障碍患者安全，充分起到保障作用</w:t>
            </w:r>
          </w:p>
        </w:tc>
        <w:tc>
          <w:tcPr>
            <w:tcW w:w="2551" w:type="dxa"/>
            <w:vAlign w:val="center"/>
          </w:tcPr>
          <w:p>
            <w:pPr>
              <w:pStyle w:val="14"/>
            </w:pPr>
            <w:r>
              <w:t>≥90%</w:t>
            </w:r>
          </w:p>
        </w:tc>
        <w:tc>
          <w:tcPr>
            <w:tcW w:w="2268" w:type="dxa"/>
            <w:vAlign w:val="center"/>
          </w:tcPr>
          <w:p>
            <w:pPr>
              <w:pStyle w:val="14"/>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w:t>
            </w:r>
          </w:p>
        </w:tc>
        <w:tc>
          <w:tcPr>
            <w:tcW w:w="2268" w:type="dxa"/>
            <w:vAlign w:val="center"/>
          </w:tcPr>
          <w:p>
            <w:pPr>
              <w:pStyle w:val="14"/>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≥80%</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民众满意度</w:t>
            </w:r>
          </w:p>
        </w:tc>
        <w:tc>
          <w:tcPr>
            <w:tcW w:w="2835" w:type="dxa"/>
            <w:vAlign w:val="center"/>
          </w:tcPr>
          <w:p>
            <w:pPr>
              <w:pStyle w:val="14"/>
            </w:pPr>
            <w:r>
              <w:t>被投保人员满意度</w:t>
            </w:r>
          </w:p>
        </w:tc>
        <w:tc>
          <w:tcPr>
            <w:tcW w:w="2551" w:type="dxa"/>
            <w:vAlign w:val="center"/>
          </w:tcPr>
          <w:p>
            <w:pPr>
              <w:pStyle w:val="14"/>
            </w:pPr>
            <w:r>
              <w:t>≥95%</w:t>
            </w:r>
          </w:p>
        </w:tc>
        <w:tc>
          <w:tcPr>
            <w:tcW w:w="2268" w:type="dxa"/>
            <w:vAlign w:val="center"/>
          </w:tcPr>
          <w:p>
            <w:pPr>
              <w:pStyle w:val="14"/>
            </w:pPr>
            <w:r>
              <w:t>秦北新政法呈【2016】2号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2023年，中共秦皇岛北戴河新区工委政法委员会安排政府采购预算146.14万元。具体内容见下表。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313中共秦皇岛北戴河新区工委政法委员会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146.14</w:t>
            </w:r>
          </w:p>
        </w:tc>
        <w:tc>
          <w:tcPr>
            <w:tcW w:w="964" w:type="dxa"/>
            <w:vAlign w:val="center"/>
          </w:tcPr>
          <w:p>
            <w:pPr>
              <w:pStyle w:val="17"/>
            </w:pPr>
            <w:r>
              <w:t>146.14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中共秦皇岛北戴河新区工委政法委员会本级小计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146.14</w:t>
            </w:r>
          </w:p>
        </w:tc>
        <w:tc>
          <w:tcPr>
            <w:tcW w:w="964" w:type="dxa"/>
            <w:vAlign w:val="center"/>
          </w:tcPr>
          <w:p>
            <w:pPr>
              <w:pStyle w:val="17"/>
            </w:pPr>
            <w:r>
              <w:t>146.14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31.36</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0.28</w:t>
            </w:r>
          </w:p>
        </w:tc>
        <w:tc>
          <w:tcPr>
            <w:tcW w:w="964" w:type="dxa"/>
            <w:vAlign w:val="center"/>
          </w:tcPr>
          <w:p>
            <w:pPr>
              <w:pStyle w:val="13"/>
            </w:pPr>
            <w:r>
              <w:t>0.84</w:t>
            </w:r>
          </w:p>
        </w:tc>
        <w:tc>
          <w:tcPr>
            <w:tcW w:w="964" w:type="dxa"/>
            <w:vAlign w:val="center"/>
          </w:tcPr>
          <w:p>
            <w:pPr>
              <w:pStyle w:val="13"/>
            </w:pPr>
            <w:r>
              <w:t>0.84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31.36</w:t>
            </w:r>
          </w:p>
        </w:tc>
        <w:tc>
          <w:tcPr>
            <w:tcW w:w="1134" w:type="dxa"/>
            <w:vAlign w:val="center"/>
          </w:tcPr>
          <w:p>
            <w:pPr>
              <w:pStyle w:val="14"/>
            </w:pPr>
            <w:r>
              <w:t>汽油</w:t>
            </w:r>
          </w:p>
        </w:tc>
        <w:tc>
          <w:tcPr>
            <w:tcW w:w="1134" w:type="dxa"/>
            <w:vAlign w:val="center"/>
          </w:tcPr>
          <w:p>
            <w:pPr>
              <w:pStyle w:val="14"/>
            </w:pPr>
            <w:r>
              <w:t>A07070101</w:t>
            </w:r>
          </w:p>
        </w:tc>
        <w:tc>
          <w:tcPr>
            <w:tcW w:w="709" w:type="dxa"/>
            <w:vAlign w:val="center"/>
          </w:tcPr>
          <w:p>
            <w:pPr>
              <w:pStyle w:val="15"/>
            </w:pPr>
            <w:r>
              <w:t>升</w:t>
            </w:r>
          </w:p>
        </w:tc>
        <w:tc>
          <w:tcPr>
            <w:tcW w:w="850" w:type="dxa"/>
            <w:vAlign w:val="center"/>
          </w:tcPr>
          <w:p>
            <w:pPr>
              <w:pStyle w:val="13"/>
            </w:pPr>
            <w:r>
              <w:t>6</w:t>
            </w:r>
          </w:p>
        </w:tc>
        <w:tc>
          <w:tcPr>
            <w:tcW w:w="850" w:type="dxa"/>
            <w:vAlign w:val="center"/>
          </w:tcPr>
          <w:p>
            <w:pPr>
              <w:pStyle w:val="13"/>
            </w:pPr>
            <w:r>
              <w:t>0.06</w:t>
            </w:r>
          </w:p>
        </w:tc>
        <w:tc>
          <w:tcPr>
            <w:tcW w:w="964" w:type="dxa"/>
            <w:vAlign w:val="center"/>
          </w:tcPr>
          <w:p>
            <w:pPr>
              <w:pStyle w:val="13"/>
            </w:pPr>
            <w:r>
              <w:t>0.36</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31.36</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0.94</w:t>
            </w:r>
          </w:p>
        </w:tc>
        <w:tc>
          <w:tcPr>
            <w:tcW w:w="964" w:type="dxa"/>
            <w:vAlign w:val="center"/>
          </w:tcPr>
          <w:p>
            <w:pPr>
              <w:pStyle w:val="13"/>
            </w:pPr>
            <w:r>
              <w:t>0.94</w:t>
            </w:r>
          </w:p>
        </w:tc>
        <w:tc>
          <w:tcPr>
            <w:tcW w:w="964" w:type="dxa"/>
            <w:vAlign w:val="center"/>
          </w:tcPr>
          <w:p>
            <w:pPr>
              <w:pStyle w:val="13"/>
            </w:pPr>
            <w:r>
              <w:t>0.94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31.36</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综治、防范及护路联防工作经费</w:t>
            </w:r>
          </w:p>
        </w:tc>
        <w:tc>
          <w:tcPr>
            <w:tcW w:w="964" w:type="dxa"/>
            <w:vAlign w:val="center"/>
          </w:tcPr>
          <w:p>
            <w:pPr>
              <w:pStyle w:val="13"/>
            </w:pPr>
            <w:r>
              <w:t>20.00</w:t>
            </w:r>
          </w:p>
        </w:tc>
        <w:tc>
          <w:tcPr>
            <w:tcW w:w="1134" w:type="dxa"/>
            <w:vAlign w:val="center"/>
          </w:tcPr>
          <w:p>
            <w:pPr>
              <w:pStyle w:val="14"/>
            </w:pPr>
            <w:r>
              <w:t>广告宣传服务</w:t>
            </w:r>
          </w:p>
        </w:tc>
        <w:tc>
          <w:tcPr>
            <w:tcW w:w="1134" w:type="dxa"/>
            <w:vAlign w:val="center"/>
          </w:tcPr>
          <w:p>
            <w:pPr>
              <w:pStyle w:val="14"/>
            </w:pPr>
            <w:r>
              <w:t>C23150000</w:t>
            </w:r>
          </w:p>
        </w:tc>
        <w:tc>
          <w:tcPr>
            <w:tcW w:w="709" w:type="dxa"/>
            <w:vAlign w:val="center"/>
          </w:tcPr>
          <w:p>
            <w:pPr>
              <w:pStyle w:val="15"/>
            </w:pPr>
            <w:r>
              <w:t>张</w:t>
            </w:r>
          </w:p>
        </w:tc>
        <w:tc>
          <w:tcPr>
            <w:tcW w:w="850" w:type="dxa"/>
            <w:vAlign w:val="center"/>
          </w:tcPr>
          <w:p>
            <w:pPr>
              <w:pStyle w:val="13"/>
            </w:pPr>
            <w:r>
              <w:t>300</w:t>
            </w:r>
          </w:p>
        </w:tc>
        <w:tc>
          <w:tcPr>
            <w:tcW w:w="850" w:type="dxa"/>
            <w:vAlign w:val="center"/>
          </w:tcPr>
          <w:p>
            <w:pPr>
              <w:pStyle w:val="13"/>
            </w:pPr>
            <w:r>
              <w:t>0.01</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雪亮工程项目运维资金</w:t>
            </w:r>
          </w:p>
        </w:tc>
        <w:tc>
          <w:tcPr>
            <w:tcW w:w="964" w:type="dxa"/>
            <w:vAlign w:val="center"/>
          </w:tcPr>
          <w:p>
            <w:pPr>
              <w:pStyle w:val="13"/>
            </w:pPr>
            <w:r>
              <w:t>144.00</w:t>
            </w:r>
          </w:p>
        </w:tc>
        <w:tc>
          <w:tcPr>
            <w:tcW w:w="1134" w:type="dxa"/>
            <w:vAlign w:val="center"/>
          </w:tcPr>
          <w:p>
            <w:pPr>
              <w:pStyle w:val="14"/>
            </w:pPr>
            <w:r>
              <w:t>其他租赁服务</w:t>
            </w:r>
          </w:p>
        </w:tc>
        <w:tc>
          <w:tcPr>
            <w:tcW w:w="1134" w:type="dxa"/>
            <w:vAlign w:val="center"/>
          </w:tcPr>
          <w:p>
            <w:pPr>
              <w:pStyle w:val="14"/>
            </w:pPr>
            <w:r>
              <w:t>C23119900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81.00</w:t>
            </w:r>
          </w:p>
        </w:tc>
        <w:tc>
          <w:tcPr>
            <w:tcW w:w="964" w:type="dxa"/>
            <w:vAlign w:val="center"/>
          </w:tcPr>
          <w:p>
            <w:pPr>
              <w:pStyle w:val="13"/>
            </w:pPr>
            <w:r>
              <w:t>81.00</w:t>
            </w:r>
          </w:p>
        </w:tc>
        <w:tc>
          <w:tcPr>
            <w:tcW w:w="964" w:type="dxa"/>
            <w:vAlign w:val="center"/>
          </w:tcPr>
          <w:p>
            <w:pPr>
              <w:pStyle w:val="13"/>
            </w:pPr>
            <w:r>
              <w:t>81.00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雪亮工程项目运维资金</w:t>
            </w:r>
          </w:p>
        </w:tc>
        <w:tc>
          <w:tcPr>
            <w:tcW w:w="964" w:type="dxa"/>
            <w:vAlign w:val="center"/>
          </w:tcPr>
          <w:p>
            <w:pPr>
              <w:pStyle w:val="13"/>
            </w:pPr>
            <w:r>
              <w:t>144.00</w:t>
            </w:r>
          </w:p>
        </w:tc>
        <w:tc>
          <w:tcPr>
            <w:tcW w:w="1134" w:type="dxa"/>
            <w:vAlign w:val="center"/>
          </w:tcPr>
          <w:p>
            <w:pPr>
              <w:pStyle w:val="14"/>
            </w:pPr>
            <w:r>
              <w:t>其他维修和保养服务</w:t>
            </w:r>
          </w:p>
        </w:tc>
        <w:tc>
          <w:tcPr>
            <w:tcW w:w="1134" w:type="dxa"/>
            <w:vAlign w:val="center"/>
          </w:tcPr>
          <w:p>
            <w:pPr>
              <w:pStyle w:val="14"/>
            </w:pPr>
            <w:r>
              <w:t>C23129900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59.00</w:t>
            </w:r>
          </w:p>
        </w:tc>
        <w:tc>
          <w:tcPr>
            <w:tcW w:w="964" w:type="dxa"/>
            <w:vAlign w:val="center"/>
          </w:tcPr>
          <w:p>
            <w:pPr>
              <w:pStyle w:val="13"/>
            </w:pPr>
            <w:r>
              <w:t>59.00</w:t>
            </w:r>
          </w:p>
        </w:tc>
        <w:tc>
          <w:tcPr>
            <w:tcW w:w="964" w:type="dxa"/>
            <w:vAlign w:val="center"/>
          </w:tcPr>
          <w:p>
            <w:pPr>
              <w:pStyle w:val="13"/>
            </w:pPr>
            <w:r>
              <w:t>59.00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color w:val="000000" w:themeColor="text1"/>
          <w:highlight w:val="none"/>
        </w:rPr>
      </w:pPr>
      <w:r>
        <w:rPr>
          <w:rFonts w:ascii="Times New Roman" w:hAnsi="Times New Roman" w:eastAsia="方正仿宋_GBK" w:cs="Times New Roman"/>
          <w:b w:val="0"/>
          <w:color w:val="000000" w:themeColor="text1"/>
          <w:sz w:val="28"/>
          <w:highlight w:val="none"/>
        </w:rPr>
        <w:t>中共秦皇岛北戴河新区工委政法委员会（含所属单位）上年末固定资产金额为0.00万元（详见下表）</w:t>
      </w:r>
      <w:r>
        <w:rPr>
          <w:rFonts w:hint="eastAsia" w:eastAsia="方正仿宋_GBK" w:cs="Times New Roman"/>
          <w:b w:val="0"/>
          <w:color w:val="000000" w:themeColor="text1"/>
          <w:sz w:val="28"/>
          <w:highlight w:val="none"/>
          <w:lang w:eastAsia="zh-CN"/>
        </w:rPr>
        <w:t>，</w:t>
      </w:r>
      <w:r>
        <w:rPr>
          <w:rFonts w:hint="eastAsia" w:eastAsia="方正仿宋_GBK" w:cs="Times New Roman"/>
          <w:b w:val="0"/>
          <w:color w:val="000000" w:themeColor="text1"/>
          <w:sz w:val="28"/>
          <w:highlight w:val="none"/>
          <w:lang w:val="en-US" w:eastAsia="zh-CN"/>
        </w:rPr>
        <w:t>2023年本单位为新成立单位</w:t>
      </w:r>
      <w:r>
        <w:rPr>
          <w:rFonts w:ascii="Times New Roman" w:hAnsi="Times New Roman" w:eastAsia="方正仿宋_GBK" w:cs="Times New Roman"/>
          <w:b w:val="0"/>
          <w:color w:val="000000" w:themeColor="text1"/>
          <w:sz w:val="28"/>
          <w:highlight w:val="none"/>
        </w:rPr>
        <w:t>。</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highlight w:val="none"/>
              </w:rPr>
            </w:pPr>
            <w:r>
              <w:rPr>
                <w:highlight w:val="none"/>
              </w:rPr>
              <w:t>313中共秦皇岛北戴河新区工委政法委员会</w:t>
            </w:r>
          </w:p>
        </w:tc>
        <w:tc>
          <w:tcPr>
            <w:tcW w:w="5669"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highlight w:val="none"/>
              </w:rPr>
            </w:pPr>
            <w:r>
              <w:rPr>
                <w:highlight w:val="none"/>
              </w:rPr>
              <w:t>项   目</w:t>
            </w:r>
          </w:p>
        </w:tc>
        <w:tc>
          <w:tcPr>
            <w:tcW w:w="2835" w:type="dxa"/>
            <w:vAlign w:val="center"/>
          </w:tcPr>
          <w:p>
            <w:pPr>
              <w:pStyle w:val="12"/>
              <w:rPr>
                <w:highlight w:val="none"/>
              </w:rPr>
            </w:pPr>
            <w:r>
              <w:rPr>
                <w:highlight w:val="none"/>
              </w:rPr>
              <w:t>数量</w:t>
            </w:r>
          </w:p>
        </w:tc>
        <w:tc>
          <w:tcPr>
            <w:tcW w:w="2835" w:type="dxa"/>
            <w:vAlign w:val="center"/>
          </w:tcPr>
          <w:p>
            <w:pPr>
              <w:pStyle w:val="12"/>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highlight w:val="none"/>
              </w:rPr>
            </w:pPr>
          </w:p>
        </w:tc>
        <w:tc>
          <w:tcPr>
            <w:tcW w:w="2835" w:type="dxa"/>
            <w:vAlign w:val="center"/>
          </w:tcPr>
          <w:p>
            <w:pPr>
              <w:pStyle w:val="15"/>
              <w:rPr>
                <w:highlight w:val="none"/>
              </w:rPr>
            </w:pPr>
          </w:p>
        </w:tc>
        <w:tc>
          <w:tcPr>
            <w:tcW w:w="2835" w:type="dxa"/>
            <w:vAlign w:val="center"/>
          </w:tcPr>
          <w:p>
            <w:pPr>
              <w:pStyle w:val="13"/>
              <w:rPr>
                <w:highlight w:val="none"/>
              </w:rPr>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9A6C0"/>
    <w:multiLevelType w:val="singleLevel"/>
    <w:tmpl w:val="8F69A6C0"/>
    <w:lvl w:ilvl="0" w:tentative="0">
      <w:start w:val="6"/>
      <w:numFmt w:val="decimal"/>
      <w:lvlText w:val="%1."/>
      <w:lvlJc w:val="left"/>
      <w:pPr>
        <w:tabs>
          <w:tab w:val="left" w:pos="312"/>
        </w:tabs>
      </w:pPr>
    </w:lvl>
  </w:abstractNum>
  <w:abstractNum w:abstractNumId="1">
    <w:nsid w:val="F3DB38ED"/>
    <w:multiLevelType w:val="singleLevel"/>
    <w:tmpl w:val="F3DB38ED"/>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262F37"/>
    <w:rsid w:val="17405FEA"/>
    <w:rsid w:val="2B8F603A"/>
    <w:rsid w:val="3A6722D5"/>
    <w:rsid w:val="407A598B"/>
    <w:rsid w:val="4AA27DCF"/>
    <w:rsid w:val="53647BA6"/>
    <w:rsid w:val="6BB42DD2"/>
    <w:rsid w:val="6E4F57FC"/>
    <w:rsid w:val="6EA913B4"/>
    <w:rsid w:val="6F47621F"/>
    <w:rsid w:val="6F4B7BED"/>
    <w:rsid w:val="751440BD"/>
    <w:rsid w:val="7DF53D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0" Type="http://schemas.openxmlformats.org/officeDocument/2006/relationships/fontTable" Target="fontTable.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2023-03-13T15:20:24Z</dcterms:created>
  <dcterms:modified xsi:type="dcterms:W3CDTF">2023-03-13T07:20:24Z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2023-03-13T15:20:16Z</dcterms:created>
  <dcterms:modified xsi:type="dcterms:W3CDTF">2023-03-13T07:20:16Z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2023-03-13T15:20:24Z</dcterms:created>
  <dcterms:modified xsi:type="dcterms:W3CDTF">2023-03-13T07:20:24Z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2023-03-13T15:20:24Z</dcterms:created>
  <dcterms:modified xsi:type="dcterms:W3CDTF">2023-03-13T07:20:24Z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2023-03-13T15:20:24Z</dcterms:created>
  <dcterms:modified xsi:type="dcterms:W3CDTF">2023-03-13T07:20:24Z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2023-03-13T15:20:16Z</dcterms:created>
  <dcterms:modified xsi:type="dcterms:W3CDTF">2023-03-13T07:20:16Z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2023-03-13T15:20:24Z</dcterms:created>
  <dcterms:modified xsi:type="dcterms:W3CDTF">2023-03-13T07:20:24Z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2023-03-13T15:20:24Z</dcterms:created>
  <dcterms:modified xsi:type="dcterms:W3CDTF">2023-03-13T07:20:24Z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2023-03-13T15:20:24Z</dcterms:created>
  <dcterms:modified xsi:type="dcterms:W3CDTF">2023-03-13T07:20:24Z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2023-03-13T15:20:24Z</dcterms:created>
  <dcterms:modified xsi:type="dcterms:W3CDTF">2023-03-13T07:20:24Z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2023-03-13T15:20:14Z</dcterms:created>
  <dcterms:modified xsi:type="dcterms:W3CDTF">2023-03-13T07:20:14Z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2023-03-13T15:20:24Z</dcterms:created>
  <dcterms:modified xsi:type="dcterms:W3CDTF">2023-03-13T07:20:24Z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2023-03-13T15:20:24Z</dcterms:created>
  <dcterms:modified xsi:type="dcterms:W3CDTF">2023-03-13T07:20:24Z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2023-03-13T15:20:24Z</dcterms:created>
  <dcterms:modified xsi:type="dcterms:W3CDTF">2023-03-13T07:20:23Z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2023-03-13T15:20:23Z</dcterms:created>
  <dcterms:modified xsi:type="dcterms:W3CDTF">2023-03-13T07:20:23Z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2023-03-13T15:20:22Z</dcterms:created>
  <dcterms:modified xsi:type="dcterms:W3CDTF">2023-03-13T07:20:22Z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2023-03-13T15:20:16Z</dcterms:created>
  <dcterms:modified xsi:type="dcterms:W3CDTF">2023-03-13T07:20:16Z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2023-03-13T15:20:18Z</dcterms:created>
  <dcterms:modified xsi:type="dcterms:W3CDTF">2023-03-13T07:20:18Z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2023-03-13T15:20:16Z</dcterms:created>
  <dcterms:modified xsi:type="dcterms:W3CDTF">2023-03-13T07:20:16Z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2023-03-13T15:20:17Z</dcterms:created>
  <dcterms:modified xsi:type="dcterms:W3CDTF">2023-03-13T07:20:17Z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2023-03-13T15:20:17Z</dcterms:created>
  <dcterms:modified xsi:type="dcterms:W3CDTF">2023-03-13T07:20:17Z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2023-03-13T15:20:17Z</dcterms:created>
  <dcterms:modified xsi:type="dcterms:W3CDTF">2023-03-13T07:20:17Z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2023-03-13T15:20:17Z</dcterms:created>
  <dcterms:modified xsi:type="dcterms:W3CDTF">2023-03-13T07:20:17Z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2023-03-13T15:20:17Z</dcterms:created>
  <dcterms:modified xsi:type="dcterms:W3CDTF">2023-03-13T07:20:17Z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2023-03-13T15:20:17Z</dcterms:created>
  <dcterms:modified xsi:type="dcterms:W3CDTF">2023-03-13T07:20:17Z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2023-03-13T15:20:17Z</dcterms:created>
  <dcterms:modified xsi:type="dcterms:W3CDTF">2023-03-13T07:20:17Z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2023-03-13T15:20:17Z</dcterms:created>
  <dcterms:modified xsi:type="dcterms:W3CDTF">2023-03-13T07:20:17Z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2023-03-13T15:20:25Z</dcterms:created>
  <dcterms:modified xsi:type="dcterms:W3CDTF">2023-03-13T07:20:25Z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2023-03-13T15:20:16Z</dcterms:created>
  <dcterms:modified xsi:type="dcterms:W3CDTF">2023-03-13T07:20:16Z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2023-03-13T15:20:16Z</dcterms:created>
  <dcterms:modified xsi:type="dcterms:W3CDTF">2023-03-13T07:20:16Z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2023-03-13T15:20:25Z</dcterms:created>
  <dcterms:modified xsi:type="dcterms:W3CDTF">2023-03-13T07:20:25Z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475df64-1d9d-4841-9c8a-48d0ed5b0cb4}">
  <ds:schemaRefs/>
</ds:datastoreItem>
</file>

<file path=customXml/itemProps11.xml><?xml version="1.0" encoding="utf-8"?>
<ds:datastoreItem xmlns:ds="http://schemas.openxmlformats.org/officeDocument/2006/customXml" ds:itemID="{91e44546-f072-474a-97fe-18e89fd67e90}">
  <ds:schemaRefs/>
</ds:datastoreItem>
</file>

<file path=customXml/itemProps12.xml><?xml version="1.0" encoding="utf-8"?>
<ds:datastoreItem xmlns:ds="http://schemas.openxmlformats.org/officeDocument/2006/customXml" ds:itemID="{ab23ec46-2d0b-486b-8edd-aa2262f2a00f}">
  <ds:schemaRefs/>
</ds:datastoreItem>
</file>

<file path=customXml/itemProps13.xml><?xml version="1.0" encoding="utf-8"?>
<ds:datastoreItem xmlns:ds="http://schemas.openxmlformats.org/officeDocument/2006/customXml" ds:itemID="{df4a5be4-7a39-4541-9d6c-ce13351e3187}">
  <ds:schemaRefs/>
</ds:datastoreItem>
</file>

<file path=customXml/itemProps14.xml><?xml version="1.0" encoding="utf-8"?>
<ds:datastoreItem xmlns:ds="http://schemas.openxmlformats.org/officeDocument/2006/customXml" ds:itemID="{0ca2f314-ca33-4566-bde7-f04e0de98d11}">
  <ds:schemaRefs/>
</ds:datastoreItem>
</file>

<file path=customXml/itemProps15.xml><?xml version="1.0" encoding="utf-8"?>
<ds:datastoreItem xmlns:ds="http://schemas.openxmlformats.org/officeDocument/2006/customXml" ds:itemID="{2a7aaa6c-6e2f-4d01-b53e-b8305a6cfea2}">
  <ds:schemaRefs/>
</ds:datastoreItem>
</file>

<file path=customXml/itemProps16.xml><?xml version="1.0" encoding="utf-8"?>
<ds:datastoreItem xmlns:ds="http://schemas.openxmlformats.org/officeDocument/2006/customXml" ds:itemID="{8675ec2d-4a4e-425e-8c43-104991d773d0}">
  <ds:schemaRefs/>
</ds:datastoreItem>
</file>

<file path=customXml/itemProps17.xml><?xml version="1.0" encoding="utf-8"?>
<ds:datastoreItem xmlns:ds="http://schemas.openxmlformats.org/officeDocument/2006/customXml" ds:itemID="{fca18849-48ea-4105-ab07-bd91533fce0f}">
  <ds:schemaRefs/>
</ds:datastoreItem>
</file>

<file path=customXml/itemProps18.xml><?xml version="1.0" encoding="utf-8"?>
<ds:datastoreItem xmlns:ds="http://schemas.openxmlformats.org/officeDocument/2006/customXml" ds:itemID="{270593f7-38fb-48a9-97db-6da820c18e53}">
  <ds:schemaRefs/>
</ds:datastoreItem>
</file>

<file path=customXml/itemProps19.xml><?xml version="1.0" encoding="utf-8"?>
<ds:datastoreItem xmlns:ds="http://schemas.openxmlformats.org/officeDocument/2006/customXml" ds:itemID="{deb85a0b-b199-40e4-b163-84810b03fe46}">
  <ds:schemaRefs/>
</ds:datastoreItem>
</file>

<file path=customXml/itemProps2.xml><?xml version="1.0" encoding="utf-8"?>
<ds:datastoreItem xmlns:ds="http://schemas.openxmlformats.org/officeDocument/2006/customXml" ds:itemID="{8af781d8-e550-4199-a43d-52701bb2a684}">
  <ds:schemaRefs/>
</ds:datastoreItem>
</file>

<file path=customXml/itemProps20.xml><?xml version="1.0" encoding="utf-8"?>
<ds:datastoreItem xmlns:ds="http://schemas.openxmlformats.org/officeDocument/2006/customXml" ds:itemID="{dd1a5636-e533-4f70-9883-09c0246303f8}">
  <ds:schemaRefs/>
</ds:datastoreItem>
</file>

<file path=customXml/itemProps21.xml><?xml version="1.0" encoding="utf-8"?>
<ds:datastoreItem xmlns:ds="http://schemas.openxmlformats.org/officeDocument/2006/customXml" ds:itemID="{e153cfe6-d625-4d52-99cd-2fa187f1ff51}">
  <ds:schemaRefs/>
</ds:datastoreItem>
</file>

<file path=customXml/itemProps22.xml><?xml version="1.0" encoding="utf-8"?>
<ds:datastoreItem xmlns:ds="http://schemas.openxmlformats.org/officeDocument/2006/customXml" ds:itemID="{6f90635b-ebc4-4fa1-a0f9-7ea1f2ab70a3}">
  <ds:schemaRefs/>
</ds:datastoreItem>
</file>

<file path=customXml/itemProps23.xml><?xml version="1.0" encoding="utf-8"?>
<ds:datastoreItem xmlns:ds="http://schemas.openxmlformats.org/officeDocument/2006/customXml" ds:itemID="{4dc05db5-1dfe-47b7-b644-8bbe38d3d3b3}">
  <ds:schemaRefs/>
</ds:datastoreItem>
</file>

<file path=customXml/itemProps24.xml><?xml version="1.0" encoding="utf-8"?>
<ds:datastoreItem xmlns:ds="http://schemas.openxmlformats.org/officeDocument/2006/customXml" ds:itemID="{16503b56-1a7f-4739-8de3-fa0d5648f838}">
  <ds:schemaRefs/>
</ds:datastoreItem>
</file>

<file path=customXml/itemProps25.xml><?xml version="1.0" encoding="utf-8"?>
<ds:datastoreItem xmlns:ds="http://schemas.openxmlformats.org/officeDocument/2006/customXml" ds:itemID="{519c6e85-c305-4058-aad4-3c47559fe5d4}">
  <ds:schemaRefs/>
</ds:datastoreItem>
</file>

<file path=customXml/itemProps26.xml><?xml version="1.0" encoding="utf-8"?>
<ds:datastoreItem xmlns:ds="http://schemas.openxmlformats.org/officeDocument/2006/customXml" ds:itemID="{fd4e6cd1-49e2-48d6-95ba-a1e9d67d360a}">
  <ds:schemaRefs/>
</ds:datastoreItem>
</file>

<file path=customXml/itemProps27.xml><?xml version="1.0" encoding="utf-8"?>
<ds:datastoreItem xmlns:ds="http://schemas.openxmlformats.org/officeDocument/2006/customXml" ds:itemID="{04c934b4-0689-4b5e-bc99-0d8543da6e70}">
  <ds:schemaRefs/>
</ds:datastoreItem>
</file>

<file path=customXml/itemProps28.xml><?xml version="1.0" encoding="utf-8"?>
<ds:datastoreItem xmlns:ds="http://schemas.openxmlformats.org/officeDocument/2006/customXml" ds:itemID="{5906cd3c-f796-4cd6-b623-f4a4bdfaebd1}">
  <ds:schemaRefs/>
</ds:datastoreItem>
</file>

<file path=customXml/itemProps29.xml><?xml version="1.0" encoding="utf-8"?>
<ds:datastoreItem xmlns:ds="http://schemas.openxmlformats.org/officeDocument/2006/customXml" ds:itemID="{adec7dd9-2804-40cb-8690-01a99a77d87e}">
  <ds:schemaRefs/>
</ds:datastoreItem>
</file>

<file path=customXml/itemProps3.xml><?xml version="1.0" encoding="utf-8"?>
<ds:datastoreItem xmlns:ds="http://schemas.openxmlformats.org/officeDocument/2006/customXml" ds:itemID="{a17cf032-dea5-4ebb-a9b9-be2dd6419697}">
  <ds:schemaRefs/>
</ds:datastoreItem>
</file>

<file path=customXml/itemProps30.xml><?xml version="1.0" encoding="utf-8"?>
<ds:datastoreItem xmlns:ds="http://schemas.openxmlformats.org/officeDocument/2006/customXml" ds:itemID="{52d754c2-69c1-41ea-a58c-c9af3c5f33e9}">
  <ds:schemaRefs/>
</ds:datastoreItem>
</file>

<file path=customXml/itemProps31.xml><?xml version="1.0" encoding="utf-8"?>
<ds:datastoreItem xmlns:ds="http://schemas.openxmlformats.org/officeDocument/2006/customXml" ds:itemID="{0924ee78-e6d9-4c23-84d3-e147bd5fb9f2}">
  <ds:schemaRefs/>
</ds:datastoreItem>
</file>

<file path=customXml/itemProps32.xml><?xml version="1.0" encoding="utf-8"?>
<ds:datastoreItem xmlns:ds="http://schemas.openxmlformats.org/officeDocument/2006/customXml" ds:itemID="{014929e2-da54-4b09-b859-68405bd46192}">
  <ds:schemaRefs/>
</ds:datastoreItem>
</file>

<file path=customXml/itemProps33.xml><?xml version="1.0" encoding="utf-8"?>
<ds:datastoreItem xmlns:ds="http://schemas.openxmlformats.org/officeDocument/2006/customXml" ds:itemID="{b56f4ea9-c287-4322-9dde-028849827c45}">
  <ds:schemaRefs/>
</ds:datastoreItem>
</file>

<file path=customXml/itemProps34.xml><?xml version="1.0" encoding="utf-8"?>
<ds:datastoreItem xmlns:ds="http://schemas.openxmlformats.org/officeDocument/2006/customXml" ds:itemID="{01ba7133-47b1-4544-a08c-c7bc11ce35e8}">
  <ds:schemaRefs/>
</ds:datastoreItem>
</file>

<file path=customXml/itemProps35.xml><?xml version="1.0" encoding="utf-8"?>
<ds:datastoreItem xmlns:ds="http://schemas.openxmlformats.org/officeDocument/2006/customXml" ds:itemID="{c3e21d56-f83b-4125-a005-7c7778a9fb8b}">
  <ds:schemaRefs/>
</ds:datastoreItem>
</file>

<file path=customXml/itemProps36.xml><?xml version="1.0" encoding="utf-8"?>
<ds:datastoreItem xmlns:ds="http://schemas.openxmlformats.org/officeDocument/2006/customXml" ds:itemID="{d6a3ee43-e735-4775-b511-f7bf5af922ec}">
  <ds:schemaRefs/>
</ds:datastoreItem>
</file>

<file path=customXml/itemProps37.xml><?xml version="1.0" encoding="utf-8"?>
<ds:datastoreItem xmlns:ds="http://schemas.openxmlformats.org/officeDocument/2006/customXml" ds:itemID="{925140cc-e23c-4a02-8ef0-927642c821d4}">
  <ds:schemaRefs/>
</ds:datastoreItem>
</file>

<file path=customXml/itemProps38.xml><?xml version="1.0" encoding="utf-8"?>
<ds:datastoreItem xmlns:ds="http://schemas.openxmlformats.org/officeDocument/2006/customXml" ds:itemID="{8d58386b-298f-4788-9a88-6e0886e9441f}">
  <ds:schemaRefs/>
</ds:datastoreItem>
</file>

<file path=customXml/itemProps39.xml><?xml version="1.0" encoding="utf-8"?>
<ds:datastoreItem xmlns:ds="http://schemas.openxmlformats.org/officeDocument/2006/customXml" ds:itemID="{a6bab350-271d-467f-a7f1-4ede3faff624}">
  <ds:schemaRefs/>
</ds:datastoreItem>
</file>

<file path=customXml/itemProps4.xml><?xml version="1.0" encoding="utf-8"?>
<ds:datastoreItem xmlns:ds="http://schemas.openxmlformats.org/officeDocument/2006/customXml" ds:itemID="{5d62fbcb-f7f0-4762-976a-5a6b0c952e89}">
  <ds:schemaRefs/>
</ds:datastoreItem>
</file>

<file path=customXml/itemProps40.xml><?xml version="1.0" encoding="utf-8"?>
<ds:datastoreItem xmlns:ds="http://schemas.openxmlformats.org/officeDocument/2006/customXml" ds:itemID="{3dd2d5b8-3f0c-445a-998d-2042251769c2}">
  <ds:schemaRefs/>
</ds:datastoreItem>
</file>

<file path=customXml/itemProps41.xml><?xml version="1.0" encoding="utf-8"?>
<ds:datastoreItem xmlns:ds="http://schemas.openxmlformats.org/officeDocument/2006/customXml" ds:itemID="{c3aa6112-58af-4b52-be83-ad64854ccfcf}">
  <ds:schemaRefs/>
</ds:datastoreItem>
</file>

<file path=customXml/itemProps42.xml><?xml version="1.0" encoding="utf-8"?>
<ds:datastoreItem xmlns:ds="http://schemas.openxmlformats.org/officeDocument/2006/customXml" ds:itemID="{f2f2ed47-de58-4ef6-9710-e86dd1e04cfb}">
  <ds:schemaRefs/>
</ds:datastoreItem>
</file>

<file path=customXml/itemProps43.xml><?xml version="1.0" encoding="utf-8"?>
<ds:datastoreItem xmlns:ds="http://schemas.openxmlformats.org/officeDocument/2006/customXml" ds:itemID="{55bbe452-5b4b-4d7e-a6db-373ebcfdd7cd}">
  <ds:schemaRefs/>
</ds:datastoreItem>
</file>

<file path=customXml/itemProps44.xml><?xml version="1.0" encoding="utf-8"?>
<ds:datastoreItem xmlns:ds="http://schemas.openxmlformats.org/officeDocument/2006/customXml" ds:itemID="{0cf214f2-b14c-48ce-bc94-e1938a7f2250}">
  <ds:schemaRefs/>
</ds:datastoreItem>
</file>

<file path=customXml/itemProps45.xml><?xml version="1.0" encoding="utf-8"?>
<ds:datastoreItem xmlns:ds="http://schemas.openxmlformats.org/officeDocument/2006/customXml" ds:itemID="{71264ee3-cffc-4663-a4a1-509059de575b}">
  <ds:schemaRefs/>
</ds:datastoreItem>
</file>

<file path=customXml/itemProps46.xml><?xml version="1.0" encoding="utf-8"?>
<ds:datastoreItem xmlns:ds="http://schemas.openxmlformats.org/officeDocument/2006/customXml" ds:itemID="{8ebe05fe-5127-4043-87bc-3ad901b64277}">
  <ds:schemaRefs/>
</ds:datastoreItem>
</file>

<file path=customXml/itemProps47.xml><?xml version="1.0" encoding="utf-8"?>
<ds:datastoreItem xmlns:ds="http://schemas.openxmlformats.org/officeDocument/2006/customXml" ds:itemID="{1b183072-fc0c-43e8-b8cd-41e8b20f3de5}">
  <ds:schemaRefs/>
</ds:datastoreItem>
</file>

<file path=customXml/itemProps48.xml><?xml version="1.0" encoding="utf-8"?>
<ds:datastoreItem xmlns:ds="http://schemas.openxmlformats.org/officeDocument/2006/customXml" ds:itemID="{f3c23a9c-5184-4f63-a266-0a8b2f8c07b1}">
  <ds:schemaRefs/>
</ds:datastoreItem>
</file>

<file path=customXml/itemProps49.xml><?xml version="1.0" encoding="utf-8"?>
<ds:datastoreItem xmlns:ds="http://schemas.openxmlformats.org/officeDocument/2006/customXml" ds:itemID="{c57c0a33-205d-493b-ab6a-e0dc74c59b41}">
  <ds:schemaRefs/>
</ds:datastoreItem>
</file>

<file path=customXml/itemProps5.xml><?xml version="1.0" encoding="utf-8"?>
<ds:datastoreItem xmlns:ds="http://schemas.openxmlformats.org/officeDocument/2006/customXml" ds:itemID="{04dcff4d-4574-46d9-b979-077c2b15c233}">
  <ds:schemaRefs/>
</ds:datastoreItem>
</file>

<file path=customXml/itemProps50.xml><?xml version="1.0" encoding="utf-8"?>
<ds:datastoreItem xmlns:ds="http://schemas.openxmlformats.org/officeDocument/2006/customXml" ds:itemID="{a3418804-1e1e-497a-9bd3-ba1657832b29}">
  <ds:schemaRefs/>
</ds:datastoreItem>
</file>

<file path=customXml/itemProps51.xml><?xml version="1.0" encoding="utf-8"?>
<ds:datastoreItem xmlns:ds="http://schemas.openxmlformats.org/officeDocument/2006/customXml" ds:itemID="{1543314b-d17d-4eee-b248-d7852a693f1b}">
  <ds:schemaRefs/>
</ds:datastoreItem>
</file>

<file path=customXml/itemProps52.xml><?xml version="1.0" encoding="utf-8"?>
<ds:datastoreItem xmlns:ds="http://schemas.openxmlformats.org/officeDocument/2006/customXml" ds:itemID="{b52b52ef-0fa6-463c-a229-853e2c0cc5d4}">
  <ds:schemaRefs/>
</ds:datastoreItem>
</file>

<file path=customXml/itemProps53.xml><?xml version="1.0" encoding="utf-8"?>
<ds:datastoreItem xmlns:ds="http://schemas.openxmlformats.org/officeDocument/2006/customXml" ds:itemID="{15905f5c-fb86-4d0a-a83f-968bda70643e}">
  <ds:schemaRefs/>
</ds:datastoreItem>
</file>

<file path=customXml/itemProps54.xml><?xml version="1.0" encoding="utf-8"?>
<ds:datastoreItem xmlns:ds="http://schemas.openxmlformats.org/officeDocument/2006/customXml" ds:itemID="{ad9ef4b0-ea36-4fbd-8dd7-bb07bf94671c}">
  <ds:schemaRefs/>
</ds:datastoreItem>
</file>

<file path=customXml/itemProps55.xml><?xml version="1.0" encoding="utf-8"?>
<ds:datastoreItem xmlns:ds="http://schemas.openxmlformats.org/officeDocument/2006/customXml" ds:itemID="{8b567f8d-df40-4934-8b16-0d11459f048b}">
  <ds:schemaRefs/>
</ds:datastoreItem>
</file>

<file path=customXml/itemProps56.xml><?xml version="1.0" encoding="utf-8"?>
<ds:datastoreItem xmlns:ds="http://schemas.openxmlformats.org/officeDocument/2006/customXml" ds:itemID="{41da3053-436b-454f-8e6a-53ecf8e82dc1}">
  <ds:schemaRefs/>
</ds:datastoreItem>
</file>

<file path=customXml/itemProps57.xml><?xml version="1.0" encoding="utf-8"?>
<ds:datastoreItem xmlns:ds="http://schemas.openxmlformats.org/officeDocument/2006/customXml" ds:itemID="{b7c06086-1340-48a8-89d5-906777ff4058}">
  <ds:schemaRefs/>
</ds:datastoreItem>
</file>

<file path=customXml/itemProps58.xml><?xml version="1.0" encoding="utf-8"?>
<ds:datastoreItem xmlns:ds="http://schemas.openxmlformats.org/officeDocument/2006/customXml" ds:itemID="{d95b2ea4-8e71-45ac-b1bb-ebeb92c9e454}">
  <ds:schemaRefs/>
</ds:datastoreItem>
</file>

<file path=customXml/itemProps59.xml><?xml version="1.0" encoding="utf-8"?>
<ds:datastoreItem xmlns:ds="http://schemas.openxmlformats.org/officeDocument/2006/customXml" ds:itemID="{e62c0ce7-794e-4a89-a223-49ad0a7cbfc2}">
  <ds:schemaRefs/>
</ds:datastoreItem>
</file>

<file path=customXml/itemProps6.xml><?xml version="1.0" encoding="utf-8"?>
<ds:datastoreItem xmlns:ds="http://schemas.openxmlformats.org/officeDocument/2006/customXml" ds:itemID="{2a15d86a-0538-4766-82c4-086e4a019514}">
  <ds:schemaRefs/>
</ds:datastoreItem>
</file>

<file path=customXml/itemProps60.xml><?xml version="1.0" encoding="utf-8"?>
<ds:datastoreItem xmlns:ds="http://schemas.openxmlformats.org/officeDocument/2006/customXml" ds:itemID="{20d868eb-7431-47f6-9df8-e96a3e7bb044}">
  <ds:schemaRefs/>
</ds:datastoreItem>
</file>

<file path=customXml/itemProps61.xml><?xml version="1.0" encoding="utf-8"?>
<ds:datastoreItem xmlns:ds="http://schemas.openxmlformats.org/officeDocument/2006/customXml" ds:itemID="{dbb2107d-6ca6-4d80-8706-21f18abb5fe3}">
  <ds:schemaRefs/>
</ds:datastoreItem>
</file>

<file path=customXml/itemProps62.xml><?xml version="1.0" encoding="utf-8"?>
<ds:datastoreItem xmlns:ds="http://schemas.openxmlformats.org/officeDocument/2006/customXml" ds:itemID="{1a6cb75f-9686-4358-ada7-023a96a0bdf5}">
  <ds:schemaRefs/>
</ds:datastoreItem>
</file>

<file path=customXml/itemProps63.xml><?xml version="1.0" encoding="utf-8"?>
<ds:datastoreItem xmlns:ds="http://schemas.openxmlformats.org/officeDocument/2006/customXml" ds:itemID="{c22ac482-3646-45b1-bdae-eb0995c34cba}">
  <ds:schemaRefs/>
</ds:datastoreItem>
</file>

<file path=customXml/itemProps7.xml><?xml version="1.0" encoding="utf-8"?>
<ds:datastoreItem xmlns:ds="http://schemas.openxmlformats.org/officeDocument/2006/customXml" ds:itemID="{0bd36352-7aa8-4931-bd2f-451f6d0882f1}">
  <ds:schemaRefs/>
</ds:datastoreItem>
</file>

<file path=customXml/itemProps8.xml><?xml version="1.0" encoding="utf-8"?>
<ds:datastoreItem xmlns:ds="http://schemas.openxmlformats.org/officeDocument/2006/customXml" ds:itemID="{17df620d-a4d4-4bd3-8de6-0cb0ed550566}">
  <ds:schemaRefs/>
</ds:datastoreItem>
</file>

<file path=customXml/itemProps9.xml><?xml version="1.0" encoding="utf-8"?>
<ds:datastoreItem xmlns:ds="http://schemas.openxmlformats.org/officeDocument/2006/customXml" ds:itemID="{17874603-a795-443e-b515-337d99aad297}">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2023-03-13T15:20:00Z</dcterms:created>
  <dc:creator>Administrator</dc:creator>
  <cp:lastModifiedBy>Alexa</cp:lastModifiedBy>
  <cp:lastPrinted>2023-03-15T02:09:00Z</cp:lastPrinted>
  <dcterms:modified xsi:type="dcterms:W3CDTF">2023-08-18T01:08:42Z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899B0BA7473549E88FE6F93421FD17C3</vt:lpwstr>
  </property>
</Properties>
</file>