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hint="eastAsia" w:ascii="黑体" w:hAnsi="黑体" w:eastAsia="黑体" w:cs="黑体"/>
          <w:b/>
          <w:color w:val="000000"/>
          <w:sz w:val="44"/>
          <w:lang w:eastAsia="zh-CN"/>
        </w:rPr>
        <w:t>秦皇岛北戴河新区旅游发展局所属单位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pStyle w:val="2"/>
        <w:tabs>
          <w:tab w:val="right" w:leader="dot" w:pos="14562"/>
        </w:tabs>
      </w:pP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一、秦皇岛北戴河新区旅游发展局本级收支预算</w:t>
      </w:r>
      <w:r>
        <w:tab/>
      </w:r>
      <w:r>
        <w:rPr>
          <w:rFonts w:hint="eastAsia"/>
          <w:lang w:val="en-US" w:eastAsia="zh-CN"/>
        </w:rPr>
        <w:t>1</w:t>
      </w:r>
      <w:r>
        <w:fldChar w:fldCharType="end"/>
      </w:r>
    </w:p>
    <w:p>
      <w:pPr>
        <w:spacing w:before="0" w:after="0"/>
        <w:ind w:firstLine="0"/>
        <w:jc w:val="center"/>
        <w:outlineLvl w:val="3"/>
      </w:pPr>
      <w:r>
        <w:fldChar w:fldCharType="end"/>
      </w:r>
      <w:bookmarkStart w:id="0" w:name="_Toc_4_4_0000000019"/>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r>
        <w:rPr>
          <w:rFonts w:ascii="方正小标宋_GBK" w:hAnsi="方正小标宋_GBK" w:eastAsia="方正小标宋_GBK" w:cs="方正小标宋_GBK"/>
          <w:b w:val="0"/>
          <w:color w:val="000000"/>
          <w:sz w:val="44"/>
        </w:rPr>
        <w:t>一、秦皇岛北戴河新区旅游发展局本级收支预算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2126" w:type="dxa"/>
            <w:tcBorders>
              <w:top w:val="single" w:color="FFFFFF" w:sz="6" w:space="0"/>
              <w:left w:val="single" w:color="FFFFFF" w:sz="6" w:space="0"/>
              <w:right w:val="single" w:color="FFFFFF" w:sz="6" w:space="0"/>
            </w:tcBorders>
            <w:vAlign w:val="center"/>
          </w:tcPr>
          <w:p>
            <w:pPr>
              <w:pStyle w:val="6"/>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755.53</w:t>
            </w:r>
          </w:p>
        </w:tc>
        <w:tc>
          <w:tcPr>
            <w:tcW w:w="4535" w:type="dxa"/>
            <w:vAlign w:val="center"/>
          </w:tcPr>
          <w:p>
            <w:pPr>
              <w:pStyle w:val="10"/>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r>
              <w:t>620.10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52.05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40.38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2"/>
            </w:pPr>
            <w:r>
              <w:t>本年收入合计</w:t>
            </w:r>
          </w:p>
        </w:tc>
        <w:tc>
          <w:tcPr>
            <w:tcW w:w="2126" w:type="dxa"/>
            <w:vAlign w:val="center"/>
          </w:tcPr>
          <w:p>
            <w:pPr>
              <w:pStyle w:val="13"/>
            </w:pPr>
            <w:r>
              <w:t>755.53</w:t>
            </w:r>
          </w:p>
        </w:tc>
        <w:tc>
          <w:tcPr>
            <w:tcW w:w="4535" w:type="dxa"/>
            <w:vAlign w:val="center"/>
          </w:tcPr>
          <w:p>
            <w:pPr>
              <w:pStyle w:val="12"/>
            </w:pPr>
            <w:r>
              <w:t>本年支出合计</w:t>
            </w:r>
          </w:p>
        </w:tc>
        <w:tc>
          <w:tcPr>
            <w:tcW w:w="2126" w:type="dxa"/>
            <w:vAlign w:val="center"/>
          </w:tcPr>
          <w:p>
            <w:pPr>
              <w:pStyle w:val="13"/>
            </w:pPr>
            <w:r>
              <w:t>755.53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2"/>
            </w:pPr>
            <w:r>
              <w:t>收入总计</w:t>
            </w:r>
          </w:p>
        </w:tc>
        <w:tc>
          <w:tcPr>
            <w:tcW w:w="2126" w:type="dxa"/>
            <w:vAlign w:val="center"/>
          </w:tcPr>
          <w:p>
            <w:pPr>
              <w:pStyle w:val="13"/>
            </w:pPr>
            <w:r>
              <w:t>755.53</w:t>
            </w:r>
          </w:p>
        </w:tc>
        <w:tc>
          <w:tcPr>
            <w:tcW w:w="4535" w:type="dxa"/>
            <w:vAlign w:val="center"/>
          </w:tcPr>
          <w:p>
            <w:pPr>
              <w:pStyle w:val="12"/>
            </w:pPr>
            <w:r>
              <w:t>支出总计</w:t>
            </w:r>
          </w:p>
        </w:tc>
        <w:tc>
          <w:tcPr>
            <w:tcW w:w="2126" w:type="dxa"/>
            <w:vAlign w:val="center"/>
          </w:tcPr>
          <w:p>
            <w:pPr>
              <w:pStyle w:val="13"/>
            </w:pPr>
            <w:r>
              <w:t>755.53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755.53</w:t>
            </w:r>
          </w:p>
        </w:tc>
        <w:tc>
          <w:tcPr>
            <w:tcW w:w="1134" w:type="dxa"/>
            <w:vAlign w:val="center"/>
          </w:tcPr>
          <w:p>
            <w:pPr>
              <w:pStyle w:val="13"/>
            </w:pPr>
            <w:r>
              <w:t>755.53</w:t>
            </w:r>
          </w:p>
        </w:tc>
        <w:tc>
          <w:tcPr>
            <w:tcW w:w="1134" w:type="dxa"/>
            <w:vAlign w:val="center"/>
          </w:tcPr>
          <w:p>
            <w:pPr>
              <w:pStyle w:val="13"/>
            </w:pPr>
            <w:r>
              <w:t>755.53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207</w:t>
            </w:r>
          </w:p>
        </w:tc>
        <w:tc>
          <w:tcPr>
            <w:tcW w:w="1559" w:type="dxa"/>
            <w:vAlign w:val="center"/>
          </w:tcPr>
          <w:p>
            <w:pPr>
              <w:pStyle w:val="10"/>
            </w:pPr>
            <w:r>
              <w:t>文化旅游体育与传媒支出</w:t>
            </w:r>
          </w:p>
        </w:tc>
        <w:tc>
          <w:tcPr>
            <w:tcW w:w="1134" w:type="dxa"/>
            <w:vAlign w:val="center"/>
          </w:tcPr>
          <w:p>
            <w:pPr>
              <w:pStyle w:val="11"/>
            </w:pPr>
            <w:r>
              <w:t>620.10</w:t>
            </w:r>
          </w:p>
        </w:tc>
        <w:tc>
          <w:tcPr>
            <w:tcW w:w="1134" w:type="dxa"/>
            <w:vAlign w:val="center"/>
          </w:tcPr>
          <w:p>
            <w:pPr>
              <w:pStyle w:val="11"/>
            </w:pPr>
            <w:r>
              <w:t>620.10</w:t>
            </w:r>
          </w:p>
        </w:tc>
        <w:tc>
          <w:tcPr>
            <w:tcW w:w="1134" w:type="dxa"/>
            <w:vAlign w:val="center"/>
          </w:tcPr>
          <w:p>
            <w:pPr>
              <w:pStyle w:val="11"/>
            </w:pPr>
            <w:r>
              <w:t>620.10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20701</w:t>
            </w:r>
          </w:p>
        </w:tc>
        <w:tc>
          <w:tcPr>
            <w:tcW w:w="1559" w:type="dxa"/>
            <w:vAlign w:val="center"/>
          </w:tcPr>
          <w:p>
            <w:pPr>
              <w:pStyle w:val="10"/>
            </w:pPr>
            <w:r>
              <w:t>文化和旅游</w:t>
            </w:r>
          </w:p>
        </w:tc>
        <w:tc>
          <w:tcPr>
            <w:tcW w:w="1134" w:type="dxa"/>
            <w:vAlign w:val="center"/>
          </w:tcPr>
          <w:p>
            <w:pPr>
              <w:pStyle w:val="11"/>
            </w:pPr>
            <w:r>
              <w:t>620.10</w:t>
            </w:r>
          </w:p>
        </w:tc>
        <w:tc>
          <w:tcPr>
            <w:tcW w:w="1134" w:type="dxa"/>
            <w:vAlign w:val="center"/>
          </w:tcPr>
          <w:p>
            <w:pPr>
              <w:pStyle w:val="11"/>
            </w:pPr>
            <w:r>
              <w:t>620.10</w:t>
            </w:r>
          </w:p>
        </w:tc>
        <w:tc>
          <w:tcPr>
            <w:tcW w:w="1134" w:type="dxa"/>
            <w:vAlign w:val="center"/>
          </w:tcPr>
          <w:p>
            <w:pPr>
              <w:pStyle w:val="11"/>
            </w:pPr>
            <w:r>
              <w:t>620.10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2070101</w:t>
            </w:r>
          </w:p>
        </w:tc>
        <w:tc>
          <w:tcPr>
            <w:tcW w:w="1559" w:type="dxa"/>
            <w:vAlign w:val="center"/>
          </w:tcPr>
          <w:p>
            <w:pPr>
              <w:pStyle w:val="10"/>
            </w:pPr>
            <w:r>
              <w:t>行政运行</w:t>
            </w:r>
          </w:p>
        </w:tc>
        <w:tc>
          <w:tcPr>
            <w:tcW w:w="1134" w:type="dxa"/>
            <w:vAlign w:val="center"/>
          </w:tcPr>
          <w:p>
            <w:pPr>
              <w:pStyle w:val="11"/>
            </w:pPr>
            <w:r>
              <w:t>395.10</w:t>
            </w:r>
          </w:p>
        </w:tc>
        <w:tc>
          <w:tcPr>
            <w:tcW w:w="1134" w:type="dxa"/>
            <w:vAlign w:val="center"/>
          </w:tcPr>
          <w:p>
            <w:pPr>
              <w:pStyle w:val="11"/>
            </w:pPr>
            <w:r>
              <w:t>395.10</w:t>
            </w:r>
          </w:p>
        </w:tc>
        <w:tc>
          <w:tcPr>
            <w:tcW w:w="1134" w:type="dxa"/>
            <w:vAlign w:val="center"/>
          </w:tcPr>
          <w:p>
            <w:pPr>
              <w:pStyle w:val="11"/>
            </w:pPr>
            <w:r>
              <w:t>395.10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2070114</w:t>
            </w:r>
          </w:p>
        </w:tc>
        <w:tc>
          <w:tcPr>
            <w:tcW w:w="1559" w:type="dxa"/>
            <w:vAlign w:val="center"/>
          </w:tcPr>
          <w:p>
            <w:pPr>
              <w:pStyle w:val="10"/>
            </w:pPr>
            <w:r>
              <w:t>文化和旅游管理事务</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2070199</w:t>
            </w:r>
          </w:p>
        </w:tc>
        <w:tc>
          <w:tcPr>
            <w:tcW w:w="1559" w:type="dxa"/>
            <w:vAlign w:val="center"/>
          </w:tcPr>
          <w:p>
            <w:pPr>
              <w:pStyle w:val="10"/>
            </w:pPr>
            <w:r>
              <w:t>其他文化和旅游支出</w:t>
            </w:r>
          </w:p>
        </w:tc>
        <w:tc>
          <w:tcPr>
            <w:tcW w:w="1134" w:type="dxa"/>
            <w:vAlign w:val="center"/>
          </w:tcPr>
          <w:p>
            <w:pPr>
              <w:pStyle w:val="11"/>
            </w:pPr>
            <w:r>
              <w:t>216.00</w:t>
            </w:r>
          </w:p>
        </w:tc>
        <w:tc>
          <w:tcPr>
            <w:tcW w:w="1134" w:type="dxa"/>
            <w:vAlign w:val="center"/>
          </w:tcPr>
          <w:p>
            <w:pPr>
              <w:pStyle w:val="11"/>
            </w:pPr>
            <w:r>
              <w:t>216.00</w:t>
            </w:r>
          </w:p>
        </w:tc>
        <w:tc>
          <w:tcPr>
            <w:tcW w:w="1134" w:type="dxa"/>
            <w:vAlign w:val="center"/>
          </w:tcPr>
          <w:p>
            <w:pPr>
              <w:pStyle w:val="11"/>
            </w:pPr>
            <w:r>
              <w:t>216.00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52.05</w:t>
            </w:r>
          </w:p>
        </w:tc>
        <w:tc>
          <w:tcPr>
            <w:tcW w:w="1134" w:type="dxa"/>
            <w:vAlign w:val="center"/>
          </w:tcPr>
          <w:p>
            <w:pPr>
              <w:pStyle w:val="11"/>
            </w:pPr>
            <w:r>
              <w:t>52.05</w:t>
            </w:r>
          </w:p>
        </w:tc>
        <w:tc>
          <w:tcPr>
            <w:tcW w:w="1134" w:type="dxa"/>
            <w:vAlign w:val="center"/>
          </w:tcPr>
          <w:p>
            <w:pPr>
              <w:pStyle w:val="11"/>
            </w:pPr>
            <w:r>
              <w:t>52.05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52.05</w:t>
            </w:r>
          </w:p>
        </w:tc>
        <w:tc>
          <w:tcPr>
            <w:tcW w:w="1134" w:type="dxa"/>
            <w:vAlign w:val="center"/>
          </w:tcPr>
          <w:p>
            <w:pPr>
              <w:pStyle w:val="11"/>
            </w:pPr>
            <w:r>
              <w:t>52.05</w:t>
            </w:r>
          </w:p>
        </w:tc>
        <w:tc>
          <w:tcPr>
            <w:tcW w:w="1134" w:type="dxa"/>
            <w:vAlign w:val="center"/>
          </w:tcPr>
          <w:p>
            <w:pPr>
              <w:pStyle w:val="11"/>
            </w:pPr>
            <w:r>
              <w:t>52.05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11"/>
            </w:pPr>
            <w:r>
              <w:t>50.88</w:t>
            </w:r>
          </w:p>
        </w:tc>
        <w:tc>
          <w:tcPr>
            <w:tcW w:w="1134" w:type="dxa"/>
            <w:vAlign w:val="center"/>
          </w:tcPr>
          <w:p>
            <w:pPr>
              <w:pStyle w:val="11"/>
            </w:pPr>
            <w:r>
              <w:t>50.88</w:t>
            </w:r>
          </w:p>
        </w:tc>
        <w:tc>
          <w:tcPr>
            <w:tcW w:w="1134" w:type="dxa"/>
            <w:vAlign w:val="center"/>
          </w:tcPr>
          <w:p>
            <w:pPr>
              <w:pStyle w:val="11"/>
            </w:pPr>
            <w:r>
              <w:t>50.88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11"/>
            </w:pPr>
            <w:r>
              <w:t>1.16</w:t>
            </w:r>
          </w:p>
        </w:tc>
        <w:tc>
          <w:tcPr>
            <w:tcW w:w="1134" w:type="dxa"/>
            <w:vAlign w:val="center"/>
          </w:tcPr>
          <w:p>
            <w:pPr>
              <w:pStyle w:val="11"/>
            </w:pPr>
            <w:r>
              <w:t>1.16</w:t>
            </w:r>
          </w:p>
        </w:tc>
        <w:tc>
          <w:tcPr>
            <w:tcW w:w="1134" w:type="dxa"/>
            <w:vAlign w:val="center"/>
          </w:tcPr>
          <w:p>
            <w:pPr>
              <w:pStyle w:val="11"/>
            </w:pPr>
            <w:r>
              <w:t>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14</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15</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16</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r>
              <w:t>40.38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755.53</w:t>
            </w:r>
          </w:p>
        </w:tc>
        <w:tc>
          <w:tcPr>
            <w:tcW w:w="1361" w:type="dxa"/>
            <w:vAlign w:val="center"/>
          </w:tcPr>
          <w:p>
            <w:pPr>
              <w:pStyle w:val="13"/>
            </w:pPr>
            <w:r>
              <w:t>530.53</w:t>
            </w:r>
          </w:p>
        </w:tc>
        <w:tc>
          <w:tcPr>
            <w:tcW w:w="1361" w:type="dxa"/>
            <w:vAlign w:val="center"/>
          </w:tcPr>
          <w:p>
            <w:pPr>
              <w:pStyle w:val="13"/>
            </w:pPr>
            <w:r>
              <w:t>225.00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207</w:t>
            </w:r>
          </w:p>
        </w:tc>
        <w:tc>
          <w:tcPr>
            <w:tcW w:w="4535" w:type="dxa"/>
            <w:vAlign w:val="center"/>
          </w:tcPr>
          <w:p>
            <w:pPr>
              <w:pStyle w:val="10"/>
            </w:pPr>
            <w:r>
              <w:t>文化旅游体育与传媒支出</w:t>
            </w:r>
          </w:p>
        </w:tc>
        <w:tc>
          <w:tcPr>
            <w:tcW w:w="1361" w:type="dxa"/>
            <w:vAlign w:val="center"/>
          </w:tcPr>
          <w:p>
            <w:pPr>
              <w:pStyle w:val="11"/>
            </w:pPr>
            <w:r>
              <w:t>620.10</w:t>
            </w:r>
          </w:p>
        </w:tc>
        <w:tc>
          <w:tcPr>
            <w:tcW w:w="1361" w:type="dxa"/>
            <w:vAlign w:val="center"/>
          </w:tcPr>
          <w:p>
            <w:pPr>
              <w:pStyle w:val="11"/>
            </w:pPr>
            <w:r>
              <w:t>395.10</w:t>
            </w: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20701</w:t>
            </w:r>
          </w:p>
        </w:tc>
        <w:tc>
          <w:tcPr>
            <w:tcW w:w="4535" w:type="dxa"/>
            <w:vAlign w:val="center"/>
          </w:tcPr>
          <w:p>
            <w:pPr>
              <w:pStyle w:val="10"/>
            </w:pPr>
            <w:r>
              <w:t>文化和旅游</w:t>
            </w:r>
          </w:p>
        </w:tc>
        <w:tc>
          <w:tcPr>
            <w:tcW w:w="1361" w:type="dxa"/>
            <w:vAlign w:val="center"/>
          </w:tcPr>
          <w:p>
            <w:pPr>
              <w:pStyle w:val="11"/>
            </w:pPr>
            <w:r>
              <w:t>620.10</w:t>
            </w:r>
          </w:p>
        </w:tc>
        <w:tc>
          <w:tcPr>
            <w:tcW w:w="1361" w:type="dxa"/>
            <w:vAlign w:val="center"/>
          </w:tcPr>
          <w:p>
            <w:pPr>
              <w:pStyle w:val="11"/>
            </w:pPr>
            <w:r>
              <w:t>395.10</w:t>
            </w: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2070101</w:t>
            </w:r>
          </w:p>
        </w:tc>
        <w:tc>
          <w:tcPr>
            <w:tcW w:w="4535" w:type="dxa"/>
            <w:vAlign w:val="center"/>
          </w:tcPr>
          <w:p>
            <w:pPr>
              <w:pStyle w:val="10"/>
            </w:pPr>
            <w:r>
              <w:t>行政运行</w:t>
            </w:r>
          </w:p>
        </w:tc>
        <w:tc>
          <w:tcPr>
            <w:tcW w:w="1361" w:type="dxa"/>
            <w:vAlign w:val="center"/>
          </w:tcPr>
          <w:p>
            <w:pPr>
              <w:pStyle w:val="11"/>
            </w:pPr>
            <w:r>
              <w:t>395.10</w:t>
            </w:r>
          </w:p>
        </w:tc>
        <w:tc>
          <w:tcPr>
            <w:tcW w:w="1361" w:type="dxa"/>
            <w:vAlign w:val="center"/>
          </w:tcPr>
          <w:p>
            <w:pPr>
              <w:pStyle w:val="11"/>
            </w:pPr>
            <w:r>
              <w:t>395.10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2070114</w:t>
            </w:r>
          </w:p>
        </w:tc>
        <w:tc>
          <w:tcPr>
            <w:tcW w:w="4535" w:type="dxa"/>
            <w:vAlign w:val="center"/>
          </w:tcPr>
          <w:p>
            <w:pPr>
              <w:pStyle w:val="10"/>
            </w:pPr>
            <w:r>
              <w:t>文化和旅游管理事务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2070199</w:t>
            </w:r>
          </w:p>
        </w:tc>
        <w:tc>
          <w:tcPr>
            <w:tcW w:w="4535" w:type="dxa"/>
            <w:vAlign w:val="center"/>
          </w:tcPr>
          <w:p>
            <w:pPr>
              <w:pStyle w:val="10"/>
            </w:pPr>
            <w:r>
              <w:t>其他文化和旅游支出</w:t>
            </w:r>
          </w:p>
        </w:tc>
        <w:tc>
          <w:tcPr>
            <w:tcW w:w="1361" w:type="dxa"/>
            <w:vAlign w:val="center"/>
          </w:tcPr>
          <w:p>
            <w:pPr>
              <w:pStyle w:val="11"/>
            </w:pPr>
            <w:r>
              <w:t>216.00</w:t>
            </w:r>
          </w:p>
        </w:tc>
        <w:tc>
          <w:tcPr>
            <w:tcW w:w="1361" w:type="dxa"/>
            <w:vAlign w:val="center"/>
          </w:tcPr>
          <w:p>
            <w:pPr>
              <w:pStyle w:val="11"/>
            </w:pPr>
          </w:p>
        </w:tc>
        <w:tc>
          <w:tcPr>
            <w:tcW w:w="1361" w:type="dxa"/>
            <w:vAlign w:val="center"/>
          </w:tcPr>
          <w:p>
            <w:pPr>
              <w:pStyle w:val="11"/>
            </w:pPr>
            <w:r>
              <w:t>216.00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52.05</w:t>
            </w:r>
          </w:p>
        </w:tc>
        <w:tc>
          <w:tcPr>
            <w:tcW w:w="1361" w:type="dxa"/>
            <w:vAlign w:val="center"/>
          </w:tcPr>
          <w:p>
            <w:pPr>
              <w:pStyle w:val="11"/>
            </w:pPr>
            <w:r>
              <w:t>52.05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52.05</w:t>
            </w:r>
          </w:p>
        </w:tc>
        <w:tc>
          <w:tcPr>
            <w:tcW w:w="1361" w:type="dxa"/>
            <w:vAlign w:val="center"/>
          </w:tcPr>
          <w:p>
            <w:pPr>
              <w:pStyle w:val="11"/>
            </w:pPr>
            <w:r>
              <w:t>52.05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11"/>
            </w:pPr>
            <w:r>
              <w:t>50.88</w:t>
            </w:r>
          </w:p>
        </w:tc>
        <w:tc>
          <w:tcPr>
            <w:tcW w:w="1361" w:type="dxa"/>
            <w:vAlign w:val="center"/>
          </w:tcPr>
          <w:p>
            <w:pPr>
              <w:pStyle w:val="11"/>
            </w:pPr>
            <w:r>
              <w:t>50.88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11"/>
            </w:pPr>
            <w:r>
              <w:t>1.16</w:t>
            </w:r>
          </w:p>
        </w:tc>
        <w:tc>
          <w:tcPr>
            <w:tcW w:w="1361" w:type="dxa"/>
            <w:vAlign w:val="center"/>
          </w:tcPr>
          <w:p>
            <w:pPr>
              <w:pStyle w:val="11"/>
            </w:pPr>
            <w:r>
              <w:t>1.16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43.00</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11"/>
            </w:pPr>
            <w:r>
              <w:t>43.00</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11"/>
            </w:pPr>
            <w:r>
              <w:t>43.00</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11"/>
            </w:pPr>
            <w:r>
              <w:t>40.38</w:t>
            </w:r>
          </w:p>
        </w:tc>
        <w:tc>
          <w:tcPr>
            <w:tcW w:w="1361" w:type="dxa"/>
            <w:vAlign w:val="center"/>
          </w:tcPr>
          <w:p>
            <w:pPr>
              <w:pStyle w:val="11"/>
            </w:pPr>
            <w:r>
              <w:t>40.38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11"/>
            </w:pPr>
            <w:r>
              <w:t>40.38</w:t>
            </w:r>
          </w:p>
        </w:tc>
        <w:tc>
          <w:tcPr>
            <w:tcW w:w="1361" w:type="dxa"/>
            <w:vAlign w:val="center"/>
          </w:tcPr>
          <w:p>
            <w:pPr>
              <w:pStyle w:val="11"/>
            </w:pPr>
            <w:r>
              <w:t>40.38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11"/>
            </w:pPr>
            <w:r>
              <w:t>40.38</w:t>
            </w:r>
          </w:p>
        </w:tc>
        <w:tc>
          <w:tcPr>
            <w:tcW w:w="1361" w:type="dxa"/>
            <w:vAlign w:val="center"/>
          </w:tcPr>
          <w:p>
            <w:pPr>
              <w:pStyle w:val="11"/>
            </w:pPr>
            <w:r>
              <w:t>40.38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3402" w:type="dxa"/>
            <w:tcBorders>
              <w:top w:val="single" w:color="FFFFFF" w:sz="6" w:space="0"/>
              <w:left w:val="single" w:color="FFFFFF" w:sz="6" w:space="0"/>
              <w:right w:val="single" w:color="FFFFFF" w:sz="6" w:space="0"/>
            </w:tcBorders>
            <w:vAlign w:val="center"/>
          </w:tcPr>
          <w:p>
            <w:pPr>
              <w:pStyle w:val="6"/>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755.53</w:t>
            </w:r>
          </w:p>
        </w:tc>
        <w:tc>
          <w:tcPr>
            <w:tcW w:w="3402" w:type="dxa"/>
            <w:vAlign w:val="center"/>
          </w:tcPr>
          <w:p>
            <w:pPr>
              <w:pStyle w:val="10"/>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r>
              <w:t>620.10</w:t>
            </w:r>
          </w:p>
        </w:tc>
        <w:tc>
          <w:tcPr>
            <w:tcW w:w="1474" w:type="dxa"/>
            <w:vAlign w:val="center"/>
          </w:tcPr>
          <w:p>
            <w:pPr>
              <w:pStyle w:val="11"/>
            </w:pPr>
            <w:r>
              <w:t>620.10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52.05</w:t>
            </w:r>
          </w:p>
        </w:tc>
        <w:tc>
          <w:tcPr>
            <w:tcW w:w="1474" w:type="dxa"/>
            <w:vAlign w:val="center"/>
          </w:tcPr>
          <w:p>
            <w:pPr>
              <w:pStyle w:val="11"/>
            </w:pPr>
            <w:r>
              <w:t>52.05</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43.00</w:t>
            </w:r>
          </w:p>
        </w:tc>
        <w:tc>
          <w:tcPr>
            <w:tcW w:w="1474" w:type="dxa"/>
            <w:vAlign w:val="center"/>
          </w:tcPr>
          <w:p>
            <w:pPr>
              <w:pStyle w:val="11"/>
            </w:pPr>
            <w:r>
              <w:t>43.00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r>
              <w:t>40.38</w:t>
            </w:r>
          </w:p>
        </w:tc>
        <w:tc>
          <w:tcPr>
            <w:tcW w:w="1474" w:type="dxa"/>
            <w:vAlign w:val="center"/>
          </w:tcPr>
          <w:p>
            <w:pPr>
              <w:pStyle w:val="11"/>
            </w:pPr>
            <w:r>
              <w:t>40.38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2"/>
            </w:pPr>
            <w:r>
              <w:t>本年收入合计</w:t>
            </w:r>
          </w:p>
        </w:tc>
        <w:tc>
          <w:tcPr>
            <w:tcW w:w="1474" w:type="dxa"/>
            <w:vAlign w:val="center"/>
          </w:tcPr>
          <w:p>
            <w:pPr>
              <w:pStyle w:val="13"/>
            </w:pPr>
            <w:r>
              <w:t>755.53</w:t>
            </w:r>
          </w:p>
        </w:tc>
        <w:tc>
          <w:tcPr>
            <w:tcW w:w="3402" w:type="dxa"/>
            <w:vAlign w:val="center"/>
          </w:tcPr>
          <w:p>
            <w:pPr>
              <w:pStyle w:val="12"/>
            </w:pPr>
            <w:r>
              <w:t>本年支出合计</w:t>
            </w:r>
          </w:p>
        </w:tc>
        <w:tc>
          <w:tcPr>
            <w:tcW w:w="1474" w:type="dxa"/>
            <w:vAlign w:val="center"/>
          </w:tcPr>
          <w:p>
            <w:pPr>
              <w:pStyle w:val="13"/>
            </w:pPr>
            <w:r>
              <w:t>755.53</w:t>
            </w:r>
          </w:p>
        </w:tc>
        <w:tc>
          <w:tcPr>
            <w:tcW w:w="1474" w:type="dxa"/>
            <w:vAlign w:val="center"/>
          </w:tcPr>
          <w:p>
            <w:pPr>
              <w:pStyle w:val="13"/>
            </w:pPr>
            <w:r>
              <w:t>755.53</w:t>
            </w: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2"/>
            </w:pPr>
            <w:r>
              <w:t>收入总计</w:t>
            </w:r>
          </w:p>
        </w:tc>
        <w:tc>
          <w:tcPr>
            <w:tcW w:w="1474" w:type="dxa"/>
            <w:vAlign w:val="center"/>
          </w:tcPr>
          <w:p>
            <w:pPr>
              <w:pStyle w:val="13"/>
            </w:pPr>
            <w:r>
              <w:t>755.53</w:t>
            </w:r>
          </w:p>
        </w:tc>
        <w:tc>
          <w:tcPr>
            <w:tcW w:w="3402" w:type="dxa"/>
            <w:vAlign w:val="center"/>
          </w:tcPr>
          <w:p>
            <w:pPr>
              <w:pStyle w:val="12"/>
            </w:pPr>
            <w:r>
              <w:t>支出总计</w:t>
            </w:r>
          </w:p>
        </w:tc>
        <w:tc>
          <w:tcPr>
            <w:tcW w:w="1474" w:type="dxa"/>
            <w:vAlign w:val="center"/>
          </w:tcPr>
          <w:p>
            <w:pPr>
              <w:pStyle w:val="13"/>
            </w:pPr>
            <w:r>
              <w:t>755.53</w:t>
            </w:r>
          </w:p>
        </w:tc>
        <w:tc>
          <w:tcPr>
            <w:tcW w:w="1474" w:type="dxa"/>
            <w:vAlign w:val="center"/>
          </w:tcPr>
          <w:p>
            <w:pPr>
              <w:pStyle w:val="13"/>
            </w:pPr>
            <w:r>
              <w:t>755.53</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755.53</w:t>
            </w:r>
          </w:p>
        </w:tc>
        <w:tc>
          <w:tcPr>
            <w:tcW w:w="2551" w:type="dxa"/>
            <w:vAlign w:val="center"/>
          </w:tcPr>
          <w:p>
            <w:pPr>
              <w:pStyle w:val="13"/>
            </w:pPr>
            <w:r>
              <w:t>530.53</w:t>
            </w:r>
          </w:p>
        </w:tc>
        <w:tc>
          <w:tcPr>
            <w:tcW w:w="2551" w:type="dxa"/>
            <w:vAlign w:val="center"/>
          </w:tcPr>
          <w:p>
            <w:pPr>
              <w:pStyle w:val="13"/>
            </w:pPr>
            <w:r>
              <w:t>225.00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207</w:t>
            </w:r>
          </w:p>
        </w:tc>
        <w:tc>
          <w:tcPr>
            <w:tcW w:w="4535" w:type="dxa"/>
            <w:vAlign w:val="center"/>
          </w:tcPr>
          <w:p>
            <w:pPr>
              <w:pStyle w:val="10"/>
            </w:pPr>
            <w:r>
              <w:t>文化旅游体育与传媒支出</w:t>
            </w:r>
          </w:p>
        </w:tc>
        <w:tc>
          <w:tcPr>
            <w:tcW w:w="2551" w:type="dxa"/>
            <w:vAlign w:val="center"/>
          </w:tcPr>
          <w:p>
            <w:pPr>
              <w:pStyle w:val="11"/>
            </w:pPr>
            <w:r>
              <w:t>620.10</w:t>
            </w:r>
          </w:p>
        </w:tc>
        <w:tc>
          <w:tcPr>
            <w:tcW w:w="2551" w:type="dxa"/>
            <w:vAlign w:val="center"/>
          </w:tcPr>
          <w:p>
            <w:pPr>
              <w:pStyle w:val="11"/>
            </w:pPr>
            <w:r>
              <w:t>395.10</w:t>
            </w:r>
          </w:p>
        </w:tc>
        <w:tc>
          <w:tcPr>
            <w:tcW w:w="2551"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20701</w:t>
            </w:r>
          </w:p>
        </w:tc>
        <w:tc>
          <w:tcPr>
            <w:tcW w:w="4535" w:type="dxa"/>
            <w:vAlign w:val="center"/>
          </w:tcPr>
          <w:p>
            <w:pPr>
              <w:pStyle w:val="10"/>
            </w:pPr>
            <w:r>
              <w:t>文化和旅游</w:t>
            </w:r>
          </w:p>
        </w:tc>
        <w:tc>
          <w:tcPr>
            <w:tcW w:w="2551" w:type="dxa"/>
            <w:vAlign w:val="center"/>
          </w:tcPr>
          <w:p>
            <w:pPr>
              <w:pStyle w:val="11"/>
            </w:pPr>
            <w:r>
              <w:t>620.10</w:t>
            </w:r>
          </w:p>
        </w:tc>
        <w:tc>
          <w:tcPr>
            <w:tcW w:w="2551" w:type="dxa"/>
            <w:vAlign w:val="center"/>
          </w:tcPr>
          <w:p>
            <w:pPr>
              <w:pStyle w:val="11"/>
            </w:pPr>
            <w:r>
              <w:t>395.10</w:t>
            </w:r>
          </w:p>
        </w:tc>
        <w:tc>
          <w:tcPr>
            <w:tcW w:w="2551" w:type="dxa"/>
            <w:vAlign w:val="center"/>
          </w:tcPr>
          <w:p>
            <w:pPr>
              <w:pStyle w:val="11"/>
            </w:pPr>
            <w:r>
              <w:t>225.00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2070101</w:t>
            </w:r>
          </w:p>
        </w:tc>
        <w:tc>
          <w:tcPr>
            <w:tcW w:w="4535" w:type="dxa"/>
            <w:vAlign w:val="center"/>
          </w:tcPr>
          <w:p>
            <w:pPr>
              <w:pStyle w:val="10"/>
            </w:pPr>
            <w:r>
              <w:t>行政运行</w:t>
            </w:r>
          </w:p>
        </w:tc>
        <w:tc>
          <w:tcPr>
            <w:tcW w:w="2551" w:type="dxa"/>
            <w:vAlign w:val="center"/>
          </w:tcPr>
          <w:p>
            <w:pPr>
              <w:pStyle w:val="11"/>
            </w:pPr>
            <w:r>
              <w:t>395.10</w:t>
            </w:r>
          </w:p>
        </w:tc>
        <w:tc>
          <w:tcPr>
            <w:tcW w:w="2551" w:type="dxa"/>
            <w:vAlign w:val="center"/>
          </w:tcPr>
          <w:p>
            <w:pPr>
              <w:pStyle w:val="11"/>
            </w:pPr>
            <w:r>
              <w:t>395.10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2070114</w:t>
            </w:r>
          </w:p>
        </w:tc>
        <w:tc>
          <w:tcPr>
            <w:tcW w:w="4535" w:type="dxa"/>
            <w:vAlign w:val="center"/>
          </w:tcPr>
          <w:p>
            <w:pPr>
              <w:pStyle w:val="10"/>
            </w:pPr>
            <w:r>
              <w:t>文化和旅游管理事务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2070199</w:t>
            </w:r>
          </w:p>
        </w:tc>
        <w:tc>
          <w:tcPr>
            <w:tcW w:w="4535" w:type="dxa"/>
            <w:vAlign w:val="center"/>
          </w:tcPr>
          <w:p>
            <w:pPr>
              <w:pStyle w:val="10"/>
            </w:pPr>
            <w:r>
              <w:t>其他文化和旅游支出</w:t>
            </w:r>
          </w:p>
        </w:tc>
        <w:tc>
          <w:tcPr>
            <w:tcW w:w="2551" w:type="dxa"/>
            <w:vAlign w:val="center"/>
          </w:tcPr>
          <w:p>
            <w:pPr>
              <w:pStyle w:val="11"/>
            </w:pPr>
            <w:r>
              <w:t>216.00</w:t>
            </w:r>
          </w:p>
        </w:tc>
        <w:tc>
          <w:tcPr>
            <w:tcW w:w="2551" w:type="dxa"/>
            <w:vAlign w:val="center"/>
          </w:tcPr>
          <w:p>
            <w:pPr>
              <w:pStyle w:val="11"/>
            </w:pPr>
          </w:p>
        </w:tc>
        <w:tc>
          <w:tcPr>
            <w:tcW w:w="2551" w:type="dxa"/>
            <w:vAlign w:val="center"/>
          </w:tcPr>
          <w:p>
            <w:pPr>
              <w:pStyle w:val="11"/>
            </w:pPr>
            <w:r>
              <w:t>216.00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52.05</w:t>
            </w:r>
          </w:p>
        </w:tc>
        <w:tc>
          <w:tcPr>
            <w:tcW w:w="2551" w:type="dxa"/>
            <w:vAlign w:val="center"/>
          </w:tcPr>
          <w:p>
            <w:pPr>
              <w:pStyle w:val="11"/>
            </w:pPr>
            <w:r>
              <w:t>52.05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52.05</w:t>
            </w:r>
          </w:p>
        </w:tc>
        <w:tc>
          <w:tcPr>
            <w:tcW w:w="2551" w:type="dxa"/>
            <w:vAlign w:val="center"/>
          </w:tcPr>
          <w:p>
            <w:pPr>
              <w:pStyle w:val="11"/>
            </w:pPr>
            <w:r>
              <w:t>52.05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11"/>
            </w:pPr>
            <w:r>
              <w:t>50.88</w:t>
            </w:r>
          </w:p>
        </w:tc>
        <w:tc>
          <w:tcPr>
            <w:tcW w:w="2551" w:type="dxa"/>
            <w:vAlign w:val="center"/>
          </w:tcPr>
          <w:p>
            <w:pPr>
              <w:pStyle w:val="11"/>
            </w:pPr>
            <w:r>
              <w:t>50.88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11"/>
            </w:pPr>
            <w:r>
              <w:t>1.16</w:t>
            </w:r>
          </w:p>
        </w:tc>
        <w:tc>
          <w:tcPr>
            <w:tcW w:w="2551" w:type="dxa"/>
            <w:vAlign w:val="center"/>
          </w:tcPr>
          <w:p>
            <w:pPr>
              <w:pStyle w:val="11"/>
            </w:pPr>
            <w:r>
              <w:t>1.16</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43.00</w:t>
            </w:r>
          </w:p>
        </w:tc>
        <w:tc>
          <w:tcPr>
            <w:tcW w:w="2551" w:type="dxa"/>
            <w:vAlign w:val="center"/>
          </w:tcPr>
          <w:p>
            <w:pPr>
              <w:pStyle w:val="11"/>
            </w:pPr>
            <w:r>
              <w:t>43.00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11"/>
            </w:pPr>
            <w:r>
              <w:t>43.00</w:t>
            </w:r>
          </w:p>
        </w:tc>
        <w:tc>
          <w:tcPr>
            <w:tcW w:w="2551" w:type="dxa"/>
            <w:vAlign w:val="center"/>
          </w:tcPr>
          <w:p>
            <w:pPr>
              <w:pStyle w:val="11"/>
            </w:pPr>
            <w:r>
              <w:t>43.00</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11"/>
            </w:pPr>
            <w:r>
              <w:t>43.00</w:t>
            </w:r>
          </w:p>
        </w:tc>
        <w:tc>
          <w:tcPr>
            <w:tcW w:w="2551" w:type="dxa"/>
            <w:vAlign w:val="center"/>
          </w:tcPr>
          <w:p>
            <w:pPr>
              <w:pStyle w:val="11"/>
            </w:pPr>
            <w:r>
              <w:t>43.00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11"/>
            </w:pPr>
            <w:r>
              <w:t>40.38</w:t>
            </w:r>
          </w:p>
        </w:tc>
        <w:tc>
          <w:tcPr>
            <w:tcW w:w="2551" w:type="dxa"/>
            <w:vAlign w:val="center"/>
          </w:tcPr>
          <w:p>
            <w:pPr>
              <w:pStyle w:val="11"/>
            </w:pPr>
            <w:r>
              <w:t>40.38</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11"/>
            </w:pPr>
            <w:r>
              <w:t>40.38</w:t>
            </w:r>
          </w:p>
        </w:tc>
        <w:tc>
          <w:tcPr>
            <w:tcW w:w="2551" w:type="dxa"/>
            <w:vAlign w:val="center"/>
          </w:tcPr>
          <w:p>
            <w:pPr>
              <w:pStyle w:val="11"/>
            </w:pPr>
            <w:r>
              <w:t>40.38</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11"/>
            </w:pPr>
            <w:r>
              <w:t>40.38</w:t>
            </w:r>
          </w:p>
        </w:tc>
        <w:tc>
          <w:tcPr>
            <w:tcW w:w="2551" w:type="dxa"/>
            <w:vAlign w:val="center"/>
          </w:tcPr>
          <w:p>
            <w:pPr>
              <w:pStyle w:val="11"/>
            </w:pPr>
            <w:r>
              <w:t>40.38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530.53</w:t>
            </w:r>
          </w:p>
        </w:tc>
        <w:tc>
          <w:tcPr>
            <w:tcW w:w="2551" w:type="dxa"/>
            <w:vAlign w:val="center"/>
          </w:tcPr>
          <w:p>
            <w:pPr>
              <w:pStyle w:val="13"/>
            </w:pPr>
            <w:r>
              <w:t>497.55</w:t>
            </w:r>
          </w:p>
        </w:tc>
        <w:tc>
          <w:tcPr>
            <w:tcW w:w="2551" w:type="dxa"/>
            <w:vAlign w:val="center"/>
          </w:tcPr>
          <w:p>
            <w:pPr>
              <w:pStyle w:val="13"/>
            </w:pPr>
            <w:r>
              <w:t>32.98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497.53</w:t>
            </w:r>
          </w:p>
        </w:tc>
        <w:tc>
          <w:tcPr>
            <w:tcW w:w="2551" w:type="dxa"/>
            <w:vAlign w:val="center"/>
          </w:tcPr>
          <w:p>
            <w:pPr>
              <w:pStyle w:val="11"/>
            </w:pPr>
            <w:r>
              <w:t>497.53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95.12</w:t>
            </w:r>
          </w:p>
        </w:tc>
        <w:tc>
          <w:tcPr>
            <w:tcW w:w="2551" w:type="dxa"/>
            <w:vAlign w:val="center"/>
          </w:tcPr>
          <w:p>
            <w:pPr>
              <w:pStyle w:val="11"/>
            </w:pPr>
            <w:r>
              <w:t>95.12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39.41</w:t>
            </w:r>
          </w:p>
        </w:tc>
        <w:tc>
          <w:tcPr>
            <w:tcW w:w="2551" w:type="dxa"/>
            <w:vAlign w:val="center"/>
          </w:tcPr>
          <w:p>
            <w:pPr>
              <w:pStyle w:val="11"/>
            </w:pPr>
            <w:r>
              <w:t>39.41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57.32</w:t>
            </w:r>
          </w:p>
        </w:tc>
        <w:tc>
          <w:tcPr>
            <w:tcW w:w="2551" w:type="dxa"/>
            <w:vAlign w:val="center"/>
          </w:tcPr>
          <w:p>
            <w:pPr>
              <w:pStyle w:val="11"/>
            </w:pPr>
            <w:r>
              <w:t>57.32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166.71</w:t>
            </w:r>
          </w:p>
        </w:tc>
        <w:tc>
          <w:tcPr>
            <w:tcW w:w="2551" w:type="dxa"/>
            <w:vAlign w:val="center"/>
          </w:tcPr>
          <w:p>
            <w:pPr>
              <w:pStyle w:val="11"/>
            </w:pPr>
            <w:r>
              <w:t>166.71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50.88</w:t>
            </w:r>
          </w:p>
        </w:tc>
        <w:tc>
          <w:tcPr>
            <w:tcW w:w="2551" w:type="dxa"/>
            <w:vAlign w:val="center"/>
          </w:tcPr>
          <w:p>
            <w:pPr>
              <w:pStyle w:val="11"/>
            </w:pPr>
            <w:r>
              <w:t>50.88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1.16</w:t>
            </w:r>
          </w:p>
        </w:tc>
        <w:tc>
          <w:tcPr>
            <w:tcW w:w="2551" w:type="dxa"/>
            <w:vAlign w:val="center"/>
          </w:tcPr>
          <w:p>
            <w:pPr>
              <w:pStyle w:val="11"/>
            </w:pPr>
            <w:r>
              <w:t>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43.00</w:t>
            </w:r>
          </w:p>
        </w:tc>
        <w:tc>
          <w:tcPr>
            <w:tcW w:w="2551" w:type="dxa"/>
            <w:vAlign w:val="center"/>
          </w:tcPr>
          <w:p>
            <w:pPr>
              <w:pStyle w:val="11"/>
            </w:pPr>
            <w:r>
              <w:t>43.00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3.53</w:t>
            </w:r>
          </w:p>
        </w:tc>
        <w:tc>
          <w:tcPr>
            <w:tcW w:w="2551" w:type="dxa"/>
            <w:vAlign w:val="center"/>
          </w:tcPr>
          <w:p>
            <w:pPr>
              <w:pStyle w:val="11"/>
            </w:pPr>
            <w:r>
              <w:t>3.53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40.38</w:t>
            </w:r>
          </w:p>
        </w:tc>
        <w:tc>
          <w:tcPr>
            <w:tcW w:w="2551" w:type="dxa"/>
            <w:vAlign w:val="center"/>
          </w:tcPr>
          <w:p>
            <w:pPr>
              <w:pStyle w:val="11"/>
            </w:pPr>
            <w:r>
              <w:t>40.38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31.90</w:t>
            </w:r>
          </w:p>
        </w:tc>
        <w:tc>
          <w:tcPr>
            <w:tcW w:w="2551" w:type="dxa"/>
            <w:vAlign w:val="center"/>
          </w:tcPr>
          <w:p>
            <w:pPr>
              <w:pStyle w:val="11"/>
            </w:pPr>
          </w:p>
        </w:tc>
        <w:tc>
          <w:tcPr>
            <w:tcW w:w="2551" w:type="dxa"/>
            <w:vAlign w:val="center"/>
          </w:tcPr>
          <w:p>
            <w:pPr>
              <w:pStyle w:val="11"/>
            </w:pPr>
            <w:r>
              <w:t>31.90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8.10</w:t>
            </w:r>
          </w:p>
        </w:tc>
        <w:tc>
          <w:tcPr>
            <w:tcW w:w="2551" w:type="dxa"/>
            <w:vAlign w:val="center"/>
          </w:tcPr>
          <w:p>
            <w:pPr>
              <w:pStyle w:val="11"/>
            </w:pPr>
          </w:p>
        </w:tc>
        <w:tc>
          <w:tcPr>
            <w:tcW w:w="2551" w:type="dxa"/>
            <w:vAlign w:val="center"/>
          </w:tcPr>
          <w:p>
            <w:pPr>
              <w:pStyle w:val="11"/>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11"/>
            </w:pPr>
            <w:r>
              <w:t>2.93</w:t>
            </w:r>
          </w:p>
        </w:tc>
        <w:tc>
          <w:tcPr>
            <w:tcW w:w="2551" w:type="dxa"/>
            <w:vAlign w:val="center"/>
          </w:tcPr>
          <w:p>
            <w:pPr>
              <w:pStyle w:val="11"/>
            </w:pPr>
          </w:p>
        </w:tc>
        <w:tc>
          <w:tcPr>
            <w:tcW w:w="2551" w:type="dxa"/>
            <w:vAlign w:val="center"/>
          </w:tcPr>
          <w:p>
            <w:pPr>
              <w:pStyle w:val="11"/>
            </w:pPr>
            <w:r>
              <w:t>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3.91</w:t>
            </w:r>
          </w:p>
        </w:tc>
        <w:tc>
          <w:tcPr>
            <w:tcW w:w="2551" w:type="dxa"/>
            <w:vAlign w:val="center"/>
          </w:tcPr>
          <w:p>
            <w:pPr>
              <w:pStyle w:val="11"/>
            </w:pPr>
          </w:p>
        </w:tc>
        <w:tc>
          <w:tcPr>
            <w:tcW w:w="2551" w:type="dxa"/>
            <w:vAlign w:val="center"/>
          </w:tcPr>
          <w:p>
            <w:pPr>
              <w:pStyle w:val="11"/>
            </w:pPr>
            <w: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11"/>
            </w:pPr>
            <w:r>
              <w:t>2.92</w:t>
            </w:r>
          </w:p>
        </w:tc>
        <w:tc>
          <w:tcPr>
            <w:tcW w:w="2551" w:type="dxa"/>
            <w:vAlign w:val="center"/>
          </w:tcPr>
          <w:p>
            <w:pPr>
              <w:pStyle w:val="11"/>
            </w:pPr>
          </w:p>
        </w:tc>
        <w:tc>
          <w:tcPr>
            <w:tcW w:w="2551" w:type="dxa"/>
            <w:vAlign w:val="center"/>
          </w:tcPr>
          <w:p>
            <w:pPr>
              <w:pStyle w:val="11"/>
            </w:pPr>
            <w:r>
              <w:t>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2551" w:type="dxa"/>
            <w:tcBorders>
              <w:top w:val="single" w:color="FFFFFF" w:sz="6" w:space="0"/>
              <w:left w:val="single" w:color="FFFFFF" w:sz="6" w:space="0"/>
              <w:right w:val="single" w:color="FFFFFF" w:sz="6" w:space="0"/>
            </w:tcBorders>
            <w:vAlign w:val="center"/>
          </w:tcPr>
          <w:p>
            <w:pPr>
              <w:pStyle w:val="6"/>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1643" w:type="dxa"/>
            <w:tcBorders>
              <w:top w:val="single" w:color="FFFFFF" w:sz="6" w:space="0"/>
              <w:left w:val="single" w:color="FFFFFF" w:sz="6" w:space="0"/>
              <w:right w:val="single" w:color="FFFFFF" w:sz="6" w:space="0"/>
            </w:tcBorders>
            <w:vAlign w:val="center"/>
          </w:tcPr>
          <w:p>
            <w:pPr>
              <w:pStyle w:val="6"/>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8"/>
            </w:pPr>
            <w:r>
              <w:t>序号</w:t>
            </w:r>
          </w:p>
        </w:tc>
        <w:tc>
          <w:tcPr>
            <w:tcW w:w="1643" w:type="dxa"/>
            <w:vMerge w:val="restart"/>
            <w:vAlign w:val="center"/>
          </w:tcPr>
          <w:p>
            <w:pPr>
              <w:pStyle w:val="8"/>
            </w:pPr>
            <w:r>
              <w:t>项  目</w:t>
            </w:r>
          </w:p>
        </w:tc>
        <w:tc>
          <w:tcPr>
            <w:tcW w:w="6572"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8"/>
            </w:pPr>
            <w:r>
              <w:t>合计</w:t>
            </w:r>
          </w:p>
        </w:tc>
        <w:tc>
          <w:tcPr>
            <w:tcW w:w="1643" w:type="dxa"/>
            <w:vAlign w:val="center"/>
          </w:tcPr>
          <w:p>
            <w:pPr>
              <w:pStyle w:val="8"/>
            </w:pPr>
            <w:r>
              <w:t>一般公共预算              财政拨款</w:t>
            </w:r>
          </w:p>
        </w:tc>
        <w:tc>
          <w:tcPr>
            <w:tcW w:w="1643" w:type="dxa"/>
            <w:vAlign w:val="center"/>
          </w:tcPr>
          <w:p>
            <w:pPr>
              <w:pStyle w:val="8"/>
            </w:pPr>
            <w:r>
              <w:t>政府性基金                  预算拨款</w:t>
            </w:r>
          </w:p>
        </w:tc>
        <w:tc>
          <w:tcPr>
            <w:tcW w:w="1643"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1</w:t>
            </w:r>
          </w:p>
        </w:tc>
        <w:tc>
          <w:tcPr>
            <w:tcW w:w="1643" w:type="dxa"/>
            <w:vAlign w:val="center"/>
          </w:tcPr>
          <w:p>
            <w:pPr>
              <w:pStyle w:val="12"/>
            </w:pPr>
            <w:r>
              <w:t>合计</w:t>
            </w:r>
          </w:p>
        </w:tc>
        <w:tc>
          <w:tcPr>
            <w:tcW w:w="1643" w:type="dxa"/>
            <w:vAlign w:val="center"/>
          </w:tcPr>
          <w:p>
            <w:pPr>
              <w:pStyle w:val="13"/>
            </w:pPr>
            <w:r>
              <w:t>2.64</w:t>
            </w:r>
          </w:p>
        </w:tc>
        <w:tc>
          <w:tcPr>
            <w:tcW w:w="1643" w:type="dxa"/>
            <w:vAlign w:val="center"/>
          </w:tcPr>
          <w:p>
            <w:pPr>
              <w:pStyle w:val="13"/>
            </w:pPr>
            <w:r>
              <w:t>2.64</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2</w:t>
            </w:r>
          </w:p>
        </w:tc>
        <w:tc>
          <w:tcPr>
            <w:tcW w:w="1643" w:type="dxa"/>
            <w:vAlign w:val="center"/>
          </w:tcPr>
          <w:p>
            <w:pPr>
              <w:pStyle w:val="10"/>
            </w:pPr>
            <w:r>
              <w:t>“三公”经费小计</w:t>
            </w:r>
          </w:p>
        </w:tc>
        <w:tc>
          <w:tcPr>
            <w:tcW w:w="1643" w:type="dxa"/>
            <w:vAlign w:val="center"/>
          </w:tcPr>
          <w:p>
            <w:pPr>
              <w:pStyle w:val="11"/>
            </w:pPr>
            <w:r>
              <w:t>2.64</w:t>
            </w:r>
          </w:p>
        </w:tc>
        <w:tc>
          <w:tcPr>
            <w:tcW w:w="1643" w:type="dxa"/>
            <w:vAlign w:val="center"/>
          </w:tcPr>
          <w:p>
            <w:pPr>
              <w:pStyle w:val="11"/>
            </w:pPr>
            <w:r>
              <w:t>2.64</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3</w:t>
            </w:r>
          </w:p>
        </w:tc>
        <w:tc>
          <w:tcPr>
            <w:tcW w:w="1643" w:type="dxa"/>
            <w:vAlign w:val="center"/>
          </w:tcPr>
          <w:p>
            <w:pPr>
              <w:pStyle w:val="10"/>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4</w:t>
            </w:r>
          </w:p>
        </w:tc>
        <w:tc>
          <w:tcPr>
            <w:tcW w:w="1643" w:type="dxa"/>
            <w:vAlign w:val="center"/>
          </w:tcPr>
          <w:p>
            <w:pPr>
              <w:pStyle w:val="10"/>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5</w:t>
            </w:r>
          </w:p>
        </w:tc>
        <w:tc>
          <w:tcPr>
            <w:tcW w:w="1643" w:type="dxa"/>
            <w:vAlign w:val="center"/>
          </w:tcPr>
          <w:p>
            <w:pPr>
              <w:pStyle w:val="10"/>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6</w:t>
            </w:r>
          </w:p>
        </w:tc>
        <w:tc>
          <w:tcPr>
            <w:tcW w:w="1643" w:type="dxa"/>
            <w:vAlign w:val="center"/>
          </w:tcPr>
          <w:p>
            <w:pPr>
              <w:pStyle w:val="10"/>
            </w:pPr>
            <w:r>
              <w:t>二、公务用车购置及运维费</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7</w:t>
            </w:r>
          </w:p>
        </w:tc>
        <w:tc>
          <w:tcPr>
            <w:tcW w:w="1643" w:type="dxa"/>
            <w:vAlign w:val="center"/>
          </w:tcPr>
          <w:p>
            <w:pPr>
              <w:pStyle w:val="10"/>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8</w:t>
            </w:r>
          </w:p>
        </w:tc>
        <w:tc>
          <w:tcPr>
            <w:tcW w:w="1643" w:type="dxa"/>
            <w:vAlign w:val="center"/>
          </w:tcPr>
          <w:p>
            <w:pPr>
              <w:pStyle w:val="10"/>
            </w:pPr>
            <w:r>
              <w:t xml:space="preserve">          公务用车运行维护费</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9</w:t>
            </w:r>
          </w:p>
        </w:tc>
        <w:tc>
          <w:tcPr>
            <w:tcW w:w="1643" w:type="dxa"/>
            <w:vAlign w:val="center"/>
          </w:tcPr>
          <w:p>
            <w:pPr>
              <w:pStyle w:val="10"/>
            </w:pPr>
            <w:r>
              <w:t>三、公务接待费</w:t>
            </w:r>
          </w:p>
        </w:tc>
        <w:tc>
          <w:tcPr>
            <w:tcW w:w="1643" w:type="dxa"/>
            <w:vAlign w:val="center"/>
          </w:tcPr>
          <w:p>
            <w:pPr>
              <w:pStyle w:val="11"/>
            </w:pPr>
            <w:r>
              <w:t>0.34</w:t>
            </w:r>
          </w:p>
        </w:tc>
        <w:tc>
          <w:tcPr>
            <w:tcW w:w="1643" w:type="dxa"/>
            <w:vAlign w:val="center"/>
          </w:tcPr>
          <w:p>
            <w:pPr>
              <w:pStyle w:val="11"/>
            </w:pPr>
            <w:r>
              <w:t>0.34</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秦皇岛北戴河新区旅游发展局本级2022年单位预算信息公开情况说明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按照《预算法》、《地方预决算公开操作规程》和《关于进一步推进预算公开工作的实施意见》规定，现将秦皇岛北戴河新区旅游发展局本级2022年单位预算公开如下：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highlight w:val="none"/>
        </w:rPr>
      </w:pPr>
      <w:r>
        <w:rPr>
          <w:rFonts w:ascii="方正楷体_GBK" w:hAnsi="方正楷体_GBK" w:eastAsia="方正楷体_GBK" w:cs="方正楷体_GBK"/>
          <w:b/>
          <w:color w:val="000000"/>
          <w:sz w:val="32"/>
          <w:highlight w:val="none"/>
        </w:rPr>
        <w:t>单位职责：</w:t>
      </w:r>
    </w:p>
    <w:p>
      <w:pPr>
        <w:pStyle w:val="15"/>
      </w:pPr>
      <w:r>
        <w:t>第一条 根据《中共秦皇岛北戴河新区工作委员会办公室、秦皇岛北戴河新区管理委员会办公室关于印发&lt;秦皇岛北戴河新区机构改革总体方案&gt;的通知》（秦北新字[2016]3号）和《北戴河新区第1次编委会议纪要》（秦北新编纪﹝2019﹞1号）制定本规定。</w:t>
      </w:r>
    </w:p>
    <w:p>
      <w:pPr>
        <w:pStyle w:val="15"/>
      </w:pPr>
      <w:r>
        <w:t>第二条 秦皇岛北戴河新区旅游文化体育广电局（简称新区旅游文体广局）为新区政府工作部门，机构规格副处级。</w:t>
      </w:r>
    </w:p>
    <w:p>
      <w:pPr>
        <w:pStyle w:val="15"/>
      </w:pPr>
      <w:r>
        <w:t>第三条 贯彻落实党中央和省、市委关于旅游、文化、广播电视、文物和体育工作的方针政策和决策部署，坚持和加强党对旅游、文化、广播电视、文物和体育工作的集中统一领导。主要职责是：</w:t>
      </w:r>
    </w:p>
    <w:p>
      <w:pPr>
        <w:pStyle w:val="15"/>
      </w:pPr>
      <w:r>
        <w:t xml:space="preserve">（一）负责贯彻执行党、国家、省、市有关旅游、文化、广播电视、文物和体育工作方针政策和法律法规；编制并组织实施全区旅游、文化、广播电视、文物、体育产业发展中长期规划、专项规划、年度计划。 </w:t>
      </w:r>
    </w:p>
    <w:p>
      <w:pPr>
        <w:pStyle w:val="15"/>
      </w:pPr>
      <w:r>
        <w:t>（二）管理全区性重大文化活动。指导全区重点旅游和文化设施建设，促进文化产业和旅游产业对外合作与交流，指导推进全区全域旅游示范区、旅游度假区创建工作。</w:t>
      </w:r>
    </w:p>
    <w:p>
      <w:pPr>
        <w:pStyle w:val="15"/>
      </w:pPr>
      <w:r>
        <w:t>（三）负责全区旅游和文化公共服务体系的建设和管理；负责旅游项目日常管理；负责旅游专项资金的申报、审批。</w:t>
      </w:r>
    </w:p>
    <w:p>
      <w:pPr>
        <w:pStyle w:val="15"/>
      </w:pPr>
      <w:r>
        <w:t>（四）指导、管理全区文艺事业。指导艺术创作生产，扶持体现社会主义核心价值观、具有导向性代表性示范性的文艺作品，推动全区各门类艺术、各艺术品种发展。</w:t>
      </w:r>
    </w:p>
    <w:p>
      <w:pPr>
        <w:pStyle w:val="15"/>
      </w:pPr>
      <w:r>
        <w:t>（五）推进全区旅游、文化、广播电视、文物科技创新发展，推进文化和旅游行业信息化、标准化建设。</w:t>
      </w:r>
    </w:p>
    <w:p>
      <w:pPr>
        <w:pStyle w:val="15"/>
      </w:pPr>
      <w:r>
        <w:t>（六）规划全区旅游产业、文化产业和广播电视产业。推动旅游、文化资源普查、挖掘、保护和利用工作，促进旅游产业和文化产业发展。</w:t>
      </w:r>
    </w:p>
    <w:p>
      <w:pPr>
        <w:pStyle w:val="15"/>
      </w:pPr>
      <w:r>
        <w:t>（七）指导全区旅游和文化市场发展。根据授权集中行使旅游、文化、体育市场秩序监管，推进旅游和文化行业信用体系建设。</w:t>
      </w:r>
    </w:p>
    <w:p>
      <w:pPr>
        <w:pStyle w:val="15"/>
      </w:pPr>
      <w:r>
        <w:t>（八）贯彻落实全区旅游、文化、体育安全生产工作，负责旅游、文化、体育安全的综合协调与监督管理。</w:t>
      </w:r>
    </w:p>
    <w:p>
      <w:pPr>
        <w:pStyle w:val="15"/>
      </w:pPr>
      <w:r>
        <w:t>（九）引导旅游业投资，组织开展旅游招商引资工作。</w:t>
      </w:r>
    </w:p>
    <w:p>
      <w:pPr>
        <w:pStyle w:val="15"/>
      </w:pPr>
      <w:r>
        <w:t>（十）指导、管理全区文艺事业。指导艺术创作生产，扶持体现社会主义核心价值观、具有导向性代表性示范性的文艺作品，推动全区各门类艺术、各艺术品种发展。</w:t>
      </w:r>
    </w:p>
    <w:p>
      <w:pPr>
        <w:pStyle w:val="15"/>
      </w:pPr>
      <w:r>
        <w:t>（十一）负责推动非物质文化遗产的保护、传承、普及、弘扬和振兴。</w:t>
      </w:r>
    </w:p>
    <w:p>
      <w:pPr>
        <w:pStyle w:val="15"/>
      </w:pPr>
      <w:r>
        <w:t>（十二）负责全区广播电视管理工作。负责对辖区内各类广播电视机构进行业务指导和行业监管，指导和监管全区广播电视广告播放安全播出，指导全区电视剧行业发展和电视剧创作生产，组织实施全区广播电视公共服务公益工程和公益活动。</w:t>
      </w:r>
    </w:p>
    <w:p>
      <w:pPr>
        <w:pStyle w:val="15"/>
      </w:pPr>
      <w:r>
        <w:t>（十三）指导、监督和协调全区各部门、行业、社会团体积极开展体育活动，推进体育社会化和全民健身活动的开展。</w:t>
      </w:r>
    </w:p>
    <w:p>
      <w:pPr>
        <w:pStyle w:val="15"/>
      </w:pPr>
      <w:r>
        <w:t>（十四）统一规划全区运动项目的布局，研究和指导全区业余训练工作。</w:t>
      </w:r>
    </w:p>
    <w:p>
      <w:pPr>
        <w:pStyle w:val="15"/>
      </w:pPr>
      <w:r>
        <w:t>（十五）负责在新区举办的国内、省和市体育比赛的组织管理及统筹工作，指导、协调、监督全区性的体育竞赛工作。</w:t>
      </w:r>
    </w:p>
    <w:p>
      <w:pPr>
        <w:pStyle w:val="15"/>
      </w:pPr>
      <w:r>
        <w:t>（十六）负责北戴河游客服务中心建设和运营管理；负责北戴河游客服务中心入驻单位的综合协调、管理及后勤保障工作。</w:t>
      </w:r>
    </w:p>
    <w:p>
      <w:pPr>
        <w:pStyle w:val="15"/>
      </w:pPr>
      <w:r>
        <w:t>（十七）负责游客咨询、投诉、举报、求助等诉求的受理、处理、移交、督办、反馈工作。</w:t>
      </w:r>
    </w:p>
    <w:p>
      <w:pPr>
        <w:pStyle w:val="15"/>
      </w:pPr>
      <w:r>
        <w:t>（十八）新区党工委、管委会交办的其他事项。</w:t>
      </w:r>
    </w:p>
    <w:p>
      <w:pPr>
        <w:pStyle w:val="15"/>
      </w:pPr>
      <w:r>
        <w:t>第四条 新区旅游文体广局设下列内设机构</w:t>
      </w:r>
    </w:p>
    <w:p>
      <w:pPr>
        <w:pStyle w:val="15"/>
      </w:pPr>
      <w:r>
        <w:t>（一）综合科。负责机关日常运转工作。负责机关文电、会务、机要、档案等工作。负责财务、人事、劳资、印章管理等工作。负责机关党务和廉政工作。负责承担机关督查督办、信息、宣传、安全保密、政务公开、来信来访、综合协调、车辆管理等工作。</w:t>
      </w:r>
    </w:p>
    <w:p>
      <w:pPr>
        <w:pStyle w:val="15"/>
      </w:pPr>
      <w:r>
        <w:t>（二）旅游文化促进科。</w:t>
      </w:r>
    </w:p>
    <w:p>
      <w:pPr>
        <w:pStyle w:val="15"/>
      </w:pPr>
      <w:r>
        <w:t>1.负责贯彻执行国家、省、市有关旅游文化发展战略、方针政策；拟定全区旅游文化发展战略，编制并组织实施全区旅游文化产业发展中长期规划、专项规划、年度计划；负责指导旅游景区、旅游文化小镇等的规划编制；指导、促进旅游产业和文化产业相关门类及新型业态发展。</w:t>
      </w:r>
    </w:p>
    <w:p>
      <w:pPr>
        <w:pStyle w:val="15"/>
      </w:pPr>
      <w:r>
        <w:t>2.组织开展旅游和文化资源普查、规划、开发和保护。统筹推进旅游“六要素”协调发展。推广旅游文化行业标准化建设，指导推进全区全域旅游示范区、旅游度假区创建工作。负责引导促进旅游文化产业投融资、招商引资，协调推进旅游文化产业项目建设和运营及负责项目日常管理。</w:t>
      </w:r>
    </w:p>
    <w:p>
      <w:pPr>
        <w:pStyle w:val="15"/>
      </w:pPr>
      <w:r>
        <w:t>3.负责全区对外及港澳台交流合作工作，负责拟定全区文化和旅游品牌宣传推广规划，制定品牌战略并组织实施；负责组织、管理全区文化和旅游对外及港澳台交流、合作和推广；负责建立完善旅游市场营销体系，组织开展国（境）内外旅游市场开发、宣传、推广、营销及交流与合作活动；负责全区旅游线路、产品的规划，策划组织旅游文化节庆活动、会展活动和专题活动；负责全区旅游市场区域合作、区域旅游品牌打造培育和宣传推广工作，协调组织假日旅游、乡村旅游等工作。</w:t>
      </w:r>
    </w:p>
    <w:p>
      <w:pPr>
        <w:pStyle w:val="15"/>
      </w:pPr>
      <w:r>
        <w:t>4.负责统筹协调与各级各媒体的对接和联络工作，承担全区文化和旅游形象及推广活动的媒体宣传推广工作。负责建立区级文化和旅游宣传推介体系。承担对外宣传网站及新媒体平台的建设和管理工作。负责组织协调旅游文化系统新闻发布、重大主题宣传活动，管理微信公众号及相关网络宣传等；负责全区文化和旅游产品创新及开发体系建设。</w:t>
      </w:r>
    </w:p>
    <w:p>
      <w:pPr>
        <w:pStyle w:val="15"/>
      </w:pPr>
      <w:r>
        <w:t>5.负责贯彻执行相关法律、法规；承担旅游政策研究，向行业提供政策咨询服务，承担旅游文化行业规范性文件起草并组织实施；负责A级景区、星级饭店、旅行社的日常管理工作；拟定旅游行业人才培养规划、旅游行业人员培训计划并组织实施，指导旅游协会和旅游专业机构的相关业务工作；指导服务质量提升。</w:t>
      </w:r>
    </w:p>
    <w:p>
      <w:pPr>
        <w:pStyle w:val="15"/>
      </w:pPr>
      <w:r>
        <w:t>6.负责协调推进全区旅游标识体系建设、旅游厕所革命工作。</w:t>
      </w:r>
    </w:p>
    <w:p>
      <w:pPr>
        <w:pStyle w:val="15"/>
      </w:pPr>
      <w:r>
        <w:t>（三）公共服务科（文物艺术非遗科）</w:t>
      </w:r>
    </w:p>
    <w:p>
      <w:pPr>
        <w:pStyle w:val="15"/>
      </w:pPr>
      <w:r>
        <w:t>1.拟定全区文化和旅游公共服务发展规划和公共服务政策并组织实施；承担全区文化和旅游公共服务的指导、协调和推动工作；协调推进文化和旅游公共设施建设；拟定文化和旅游公共服务标准并监督实施；拟定全区文化和旅游公共服务惠民便民政策并组织实施；负责指导、推动全区基层群众文化活动和群众文艺创作，组织实施全区性群众文化活动；负责指导全区基层文化队伍培训和群众业余文艺骨干培养工作；负责全区公共文化服务体系示范区建设工作；指导文化馆、图书馆事业和基层文化站建设；指导公共数字文化和古籍保护工作。</w:t>
      </w:r>
    </w:p>
    <w:p>
      <w:pPr>
        <w:pStyle w:val="15"/>
      </w:pPr>
      <w:r>
        <w:t>2.负责拟定全区文物保护政策和发展规划并组织实施。负责全区文物资源资产普查、登记、评估工作。管理和指导全区考古、文物修缮工作。推动完善全区文物和博物馆公共服务体系建设，指导业务工作。</w:t>
      </w:r>
    </w:p>
    <w:p>
      <w:pPr>
        <w:pStyle w:val="15"/>
      </w:pPr>
      <w:r>
        <w:t>3.拟订音乐、舞蹈、戏曲、戏剧、美术等文艺事业发展规划和扶持政策并组织实施。扶持体现社会主义核心价值观，具有导向性、代表性、示范性的文艺作品创作和生产；推动全区各门类艺术、各艺术品种发展。指导、协调艺术展演、展览旅游演艺及重大文艺活动。拟订文艺人才队伍建设规划并组织实施。</w:t>
      </w:r>
    </w:p>
    <w:p>
      <w:pPr>
        <w:pStyle w:val="15"/>
      </w:pPr>
      <w:r>
        <w:t>4.拟定全区非物质文化遗产保护政策和规划并组织实施。组织开展非物质文化遗产保护工作。负责推动非物质文化遗产的挖掘、整理、传承、普及、弘扬和振兴工作。</w:t>
      </w:r>
    </w:p>
    <w:p>
      <w:pPr>
        <w:pStyle w:val="15"/>
      </w:pPr>
      <w:r>
        <w:t>5.负责落实分管领域的党风廉政建设主体责任和安全生产监管职责。</w:t>
      </w:r>
    </w:p>
    <w:p>
      <w:pPr>
        <w:pStyle w:val="15"/>
      </w:pPr>
      <w:r>
        <w:t>（四）文化市场综合行政执法大队（游客中心办公室和广电科）</w:t>
      </w:r>
    </w:p>
    <w:p>
      <w:pPr>
        <w:pStyle w:val="15"/>
      </w:pPr>
      <w:r>
        <w:t>1.对全区旅游和文化市场经营进行行业监管。监督落实上级文化和旅游经营场所、设施、服务、产业标准。承担全区文化和旅游行业信用体系建设与监管。承担假日旅游文化市场、旅游文化安全综合协调和监督管理。开展旅游文化安全生产宣传教育。</w:t>
      </w:r>
    </w:p>
    <w:p>
      <w:pPr>
        <w:pStyle w:val="15"/>
      </w:pPr>
      <w:r>
        <w:t>2.负责游客咨询、投诉、举报、求助等诉求的受理、处理、移交、督办、反馈工作；负责旅游文化行业舆情管理；负责全区旅游和文化市场扫黑除恶工作。</w:t>
      </w:r>
    </w:p>
    <w:p>
      <w:pPr>
        <w:pStyle w:val="15"/>
      </w:pPr>
      <w:r>
        <w:t>3.负责北戴河游客服务中心建设和运营管理的全面工作；负责北戴河新区游客中心体系建设；负责指导各景区游客中心规范化建设。</w:t>
      </w:r>
    </w:p>
    <w:p>
      <w:pPr>
        <w:pStyle w:val="15"/>
      </w:pPr>
      <w:r>
        <w:t>4.负责北戴河游客服务中心入驻单位的综合协调、管理及后勤保障工作。</w:t>
      </w:r>
    </w:p>
    <w:p>
      <w:pPr>
        <w:pStyle w:val="15"/>
      </w:pPr>
      <w:r>
        <w:t>5.负责应急指挥中心系统软硬件的管理维护、升级优化及运营管理；负责大数据中心、智慧旅游及旅游信息化公共服务系统软硬件的管理维护和升级优化；负责北戴河新区旅游大数据分析工作。</w:t>
      </w:r>
    </w:p>
    <w:p>
      <w:pPr>
        <w:pStyle w:val="15"/>
      </w:pPr>
      <w:r>
        <w:t>6.负责对全区各类广播电视机构进行业务指导和行业监管，负责对各类广播电视节目、网络视听节目、公共视听载体播放的视听节目和对广播电视广告播放进行监管。推进广播电视和新媒体新业态融合发展。协调调度全区广播电视安全播出。组织实施全区广播电视公共服务公益工程和公益活动。</w:t>
      </w:r>
    </w:p>
    <w:p>
      <w:pPr>
        <w:pStyle w:val="15"/>
      </w:pPr>
      <w:r>
        <w:t>（五）体育科</w:t>
      </w:r>
    </w:p>
    <w:p>
      <w:pPr>
        <w:pStyle w:val="15"/>
      </w:pPr>
      <w:r>
        <w:t>1.贯彻执行国家、省、市的有关体育工作的方针政策和法律法规；研究制定全区体育工作发展目标；编制全区体育事业的中长期发展规划和年度计划；指导全区体育工作，协调全区体育事业的发展。</w:t>
      </w:r>
    </w:p>
    <w:p>
      <w:pPr>
        <w:pStyle w:val="15"/>
      </w:pPr>
      <w:r>
        <w:t>2．指导、监督和协调全区各部门、行业、社会团体积极开展体育活动，推进体育社会化和全民健身活动的开展。</w:t>
      </w:r>
    </w:p>
    <w:p>
      <w:pPr>
        <w:pStyle w:val="15"/>
      </w:pPr>
      <w:r>
        <w:t>3.统一规划全区运动项目的布局，研究和指导全区业余训练工作；负责对全区各运动项目的指导和管理工作，组织各运动项目训练竞赛，促进运动发展。</w:t>
      </w:r>
    </w:p>
    <w:p>
      <w:pPr>
        <w:pStyle w:val="15"/>
      </w:pPr>
      <w:r>
        <w:t>4.负责在新区举办的国内、省和市体育比赛的组织管理及统筹工作，指导、协调、监督全区性的体育竞赛工作。</w:t>
      </w:r>
    </w:p>
    <w:p>
      <w:pPr>
        <w:pStyle w:val="15"/>
      </w:pPr>
      <w:r>
        <w:t>5.组织和指导体育科学研究和体育宣传工作，协同有关部门、加强体育教育，培训体育骨干和体育后备人才。</w:t>
      </w:r>
    </w:p>
    <w:p>
      <w:pPr>
        <w:pStyle w:val="15"/>
      </w:pPr>
      <w:r>
        <w:t>6.指导新区体育总会、各运动协会和体育协会等社团的工作。</w:t>
      </w:r>
    </w:p>
    <w:p>
      <w:pPr>
        <w:pStyle w:val="15"/>
      </w:pPr>
      <w:r>
        <w:t>7.做好体育建设项目的跟踪服务，加强体育对外合作交流，积极为体育产业项目引进创造条件。</w:t>
      </w:r>
    </w:p>
    <w:p>
      <w:pPr>
        <w:pStyle w:val="15"/>
      </w:pPr>
      <w:r>
        <w:t>8.根据授权集中行使体育市场秩序监管。</w:t>
      </w:r>
    </w:p>
    <w:p>
      <w:pPr>
        <w:pStyle w:val="15"/>
      </w:pPr>
      <w:r>
        <w:t>9.贯彻执行国家、省、市体育行业安全生产标准、规范和相关政策法规。负责结合体育工作的特点，开展安全生产宣传教育工作，督促各涉体育行业单位建立安全管理制度和应急预案，落实安全防范措施，消除事故隐患。</w:t>
      </w:r>
    </w:p>
    <w:p>
      <w:pPr>
        <w:pStyle w:val="15"/>
      </w:pPr>
      <w:r>
        <w:t>10.负责对体育行业监督检查，发现违法行为，在职责范围内依法依规进行处理，超出职责范围的及时报告政府或告知有关部门处理，并承担相应的管理责任。</w:t>
      </w:r>
    </w:p>
    <w:p>
      <w:pPr>
        <w:pStyle w:val="15"/>
      </w:pPr>
      <w:r>
        <w:t>11.负责落实分管领域的党风廉政建设主体责任和安全生产监管职责。</w:t>
      </w:r>
    </w:p>
    <w:p>
      <w:pPr>
        <w:pStyle w:val="15"/>
      </w:pPr>
      <w:r>
        <w:t>第五条 新区旅游文体广局岗位设置30名，其中部门领导1正2副，内设科室岗位正职5名，内设科室岗位副职6名。</w:t>
      </w:r>
    </w:p>
    <w:p>
      <w:pPr>
        <w:pStyle w:val="15"/>
      </w:pPr>
      <w:r>
        <w:t>第六条 本规定具体解释工作由新区编办承担，其调整由新区编办按规定程序办理。</w:t>
      </w:r>
    </w:p>
    <w:p>
      <w:pPr>
        <w:pStyle w:val="16"/>
        <w:ind w:left="0" w:leftChars="0" w:firstLine="0" w:firstLineChars="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秦皇岛北戴河新区旅游发展局本级</w:t>
            </w:r>
          </w:p>
        </w:tc>
        <w:tc>
          <w:tcPr>
            <w:tcW w:w="1843" w:type="dxa"/>
            <w:vAlign w:val="center"/>
          </w:tcPr>
          <w:p>
            <w:pPr>
              <w:pStyle w:val="9"/>
            </w:pPr>
            <w:r>
              <w:t>行政</w:t>
            </w:r>
          </w:p>
        </w:tc>
        <w:tc>
          <w:tcPr>
            <w:tcW w:w="2126" w:type="dxa"/>
            <w:vAlign w:val="center"/>
          </w:tcPr>
          <w:p>
            <w:pPr>
              <w:pStyle w:val="9"/>
            </w:pPr>
            <w:r>
              <w:t>副处（县）级</w:t>
            </w:r>
          </w:p>
        </w:tc>
        <w:tc>
          <w:tcPr>
            <w:tcW w:w="3827" w:type="dxa"/>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5"/>
        <w:rPr>
          <w:rFonts w:hint="eastAsia"/>
        </w:rPr>
      </w:pPr>
      <w:r>
        <w:rPr>
          <w:rFonts w:hint="eastAsia"/>
        </w:rPr>
        <w:t>按照预算管理有关规定，目前我</w:t>
      </w:r>
      <w:r>
        <w:rPr>
          <w:rFonts w:hint="eastAsia"/>
          <w:lang w:val="en-US" w:eastAsia="zh-CN"/>
        </w:rPr>
        <w:t>单位</w:t>
      </w:r>
      <w:r>
        <w:rPr>
          <w:rFonts w:hint="eastAsia"/>
        </w:rPr>
        <w:t>预算的编制实行综合预算管理，即全部收入和支出都反映在预算中。秦皇岛北戴河新区</w:t>
      </w:r>
      <w:r>
        <w:rPr>
          <w:rFonts w:hint="eastAsia"/>
          <w:lang w:eastAsia="zh-CN"/>
        </w:rPr>
        <w:t>旅游发展局</w:t>
      </w:r>
      <w:r>
        <w:rPr>
          <w:rFonts w:hint="eastAsia"/>
        </w:rPr>
        <w:t>机关及所属事业单位的收支包含在部门预算中。</w:t>
      </w:r>
    </w:p>
    <w:p>
      <w:pPr>
        <w:pStyle w:val="15"/>
        <w:rPr>
          <w:rFonts w:hint="default"/>
        </w:rPr>
      </w:pPr>
      <w:r>
        <w:rPr>
          <w:rFonts w:hint="eastAsia"/>
          <w:lang w:eastAsia="zh-CN"/>
        </w:rPr>
        <w:t>（（</w:t>
      </w:r>
      <w:r>
        <w:rPr>
          <w:rFonts w:hint="eastAsia"/>
          <w:lang w:val="en-US" w:eastAsia="zh-CN"/>
        </w:rPr>
        <w:t>一</w:t>
      </w:r>
      <w:r>
        <w:rPr>
          <w:rFonts w:hint="eastAsia"/>
          <w:lang w:eastAsia="zh-CN"/>
        </w:rPr>
        <w:t>）</w:t>
      </w:r>
      <w:r>
        <w:rPr>
          <w:rFonts w:hint="default"/>
        </w:rPr>
        <w:t>收入说明</w:t>
      </w:r>
    </w:p>
    <w:p>
      <w:pPr>
        <w:ind w:firstLine="560" w:firstLineChars="200"/>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反映本</w:t>
      </w:r>
      <w:r>
        <w:rPr>
          <w:rFonts w:hint="eastAsia" w:eastAsia="方正仿宋_GBK" w:cs="Times New Roman"/>
          <w:sz w:val="28"/>
          <w:szCs w:val="24"/>
          <w:lang w:val="en-US" w:eastAsia="zh-CN" w:bidi="ar-SA"/>
        </w:rPr>
        <w:t>单位</w:t>
      </w:r>
      <w:r>
        <w:rPr>
          <w:rFonts w:hint="eastAsia" w:ascii="Times New Roman" w:hAnsi="Times New Roman" w:eastAsia="方正仿宋_GBK" w:cs="Times New Roman"/>
          <w:sz w:val="28"/>
          <w:szCs w:val="24"/>
          <w:lang w:val="en-US" w:eastAsia="zh-CN" w:bidi="ar-SA"/>
        </w:rPr>
        <w:t>当年全部收入。2022年</w:t>
      </w:r>
      <w:r>
        <w:rPr>
          <w:rFonts w:hint="default" w:ascii="Times New Roman" w:hAnsi="Times New Roman" w:eastAsia="方正仿宋_GBK" w:cs="Times New Roman"/>
          <w:sz w:val="28"/>
          <w:szCs w:val="24"/>
          <w:lang w:val="en-US" w:eastAsia="zh-CN" w:bidi="ar-SA"/>
        </w:rPr>
        <w:t>预算收入</w:t>
      </w:r>
      <w:r>
        <w:rPr>
          <w:rFonts w:hint="eastAsia" w:ascii="Times New Roman" w:hAnsi="Times New Roman" w:eastAsia="方正仿宋_GBK" w:cs="Times New Roman"/>
          <w:sz w:val="28"/>
          <w:szCs w:val="24"/>
          <w:lang w:val="en-US" w:eastAsia="zh-CN" w:bidi="ar-SA"/>
        </w:rPr>
        <w:t>755.53</w:t>
      </w:r>
      <w:r>
        <w:rPr>
          <w:rFonts w:hint="default" w:ascii="Times New Roman" w:hAnsi="Times New Roman" w:eastAsia="方正仿宋_GBK" w:cs="Times New Roman"/>
          <w:sz w:val="28"/>
          <w:szCs w:val="24"/>
          <w:lang w:val="en-US" w:eastAsia="zh-CN" w:bidi="ar-SA"/>
        </w:rPr>
        <w:t>万元，一般公共预算拨款</w:t>
      </w:r>
      <w:r>
        <w:rPr>
          <w:rFonts w:hint="eastAsia" w:ascii="Times New Roman" w:hAnsi="Times New Roman" w:eastAsia="方正仿宋_GBK" w:cs="Times New Roman"/>
          <w:sz w:val="28"/>
          <w:szCs w:val="24"/>
          <w:lang w:val="en-US" w:eastAsia="zh-CN" w:bidi="ar-SA"/>
        </w:rPr>
        <w:t>755.53</w:t>
      </w:r>
      <w:r>
        <w:rPr>
          <w:rFonts w:hint="default" w:ascii="Times New Roman" w:hAnsi="Times New Roman" w:eastAsia="方正仿宋_GBK" w:cs="Times New Roman"/>
          <w:sz w:val="28"/>
          <w:szCs w:val="24"/>
          <w:lang w:val="en-US" w:eastAsia="zh-CN" w:bidi="ar-SA"/>
        </w:rPr>
        <w:t>万元。</w:t>
      </w:r>
    </w:p>
    <w:p>
      <w:pPr>
        <w:pStyle w:val="15"/>
        <w:rPr>
          <w:rFonts w:hint="default"/>
        </w:rPr>
      </w:pPr>
      <w:r>
        <w:rPr>
          <w:rFonts w:hint="eastAsia"/>
          <w:lang w:eastAsia="zh-CN"/>
        </w:rPr>
        <w:t>（</w:t>
      </w:r>
      <w:r>
        <w:rPr>
          <w:rFonts w:hint="eastAsia"/>
          <w:lang w:val="en-US" w:eastAsia="zh-CN"/>
        </w:rPr>
        <w:t>二</w:t>
      </w:r>
      <w:r>
        <w:rPr>
          <w:rFonts w:hint="eastAsia"/>
          <w:lang w:eastAsia="zh-CN"/>
        </w:rPr>
        <w:t>）</w:t>
      </w:r>
      <w:r>
        <w:rPr>
          <w:rFonts w:hint="default"/>
        </w:rPr>
        <w:t>支出说明</w:t>
      </w:r>
    </w:p>
    <w:p>
      <w:pPr>
        <w:ind w:firstLine="560" w:firstLineChars="200"/>
        <w:rPr>
          <w:rFonts w:hint="default"/>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收支预算总表支出栏、基本支出表、项目支出表按经济分类和支出功能分类科目编制，反映年度单位预算中支出预算的总体情况。2022年</w:t>
      </w:r>
      <w:r>
        <w:rPr>
          <w:rFonts w:hint="default" w:ascii="Times New Roman" w:hAnsi="Times New Roman" w:eastAsia="方正仿宋_GBK" w:cs="Times New Roman"/>
          <w:sz w:val="28"/>
          <w:szCs w:val="24"/>
          <w:lang w:val="en-US" w:eastAsia="zh-CN" w:bidi="ar-SA"/>
        </w:rPr>
        <w:t>部门支出预算为</w:t>
      </w:r>
      <w:r>
        <w:rPr>
          <w:rFonts w:hint="eastAsia" w:ascii="Times New Roman" w:hAnsi="Times New Roman" w:eastAsia="方正仿宋_GBK" w:cs="Times New Roman"/>
          <w:sz w:val="28"/>
          <w:szCs w:val="24"/>
          <w:lang w:val="en-US" w:eastAsia="zh-CN" w:bidi="ar-SA"/>
        </w:rPr>
        <w:t>755.53</w:t>
      </w:r>
      <w:r>
        <w:rPr>
          <w:rFonts w:hint="default" w:ascii="Times New Roman" w:hAnsi="Times New Roman" w:eastAsia="方正仿宋_GBK" w:cs="Times New Roman"/>
          <w:sz w:val="28"/>
          <w:szCs w:val="24"/>
          <w:lang w:val="en-US" w:eastAsia="zh-CN" w:bidi="ar-SA"/>
        </w:rPr>
        <w:t>万元，其中基本支出</w:t>
      </w:r>
      <w:r>
        <w:rPr>
          <w:rFonts w:hint="eastAsia" w:ascii="Times New Roman" w:hAnsi="Times New Roman" w:eastAsia="方正仿宋_GBK" w:cs="Times New Roman"/>
          <w:sz w:val="28"/>
          <w:szCs w:val="24"/>
          <w:lang w:val="en-US" w:eastAsia="zh-CN" w:bidi="ar-SA"/>
        </w:rPr>
        <w:t>530.53</w:t>
      </w:r>
      <w:r>
        <w:rPr>
          <w:rFonts w:hint="default" w:ascii="Times New Roman" w:hAnsi="Times New Roman" w:eastAsia="方正仿宋_GBK" w:cs="Times New Roman"/>
          <w:sz w:val="28"/>
          <w:szCs w:val="24"/>
          <w:lang w:val="en-US" w:eastAsia="zh-CN" w:bidi="ar-SA"/>
        </w:rPr>
        <w:t>万元，包括人员经费</w:t>
      </w:r>
      <w:r>
        <w:rPr>
          <w:rFonts w:hint="eastAsia" w:ascii="Times New Roman" w:hAnsi="Times New Roman" w:eastAsia="方正仿宋_GBK" w:cs="Times New Roman"/>
          <w:sz w:val="28"/>
          <w:szCs w:val="24"/>
          <w:lang w:val="en-US" w:eastAsia="zh-CN" w:bidi="ar-SA"/>
        </w:rPr>
        <w:t>497.55</w:t>
      </w:r>
      <w:r>
        <w:rPr>
          <w:rFonts w:hint="default" w:ascii="Times New Roman" w:hAnsi="Times New Roman" w:eastAsia="方正仿宋_GBK" w:cs="Times New Roman"/>
          <w:sz w:val="28"/>
          <w:szCs w:val="24"/>
          <w:lang w:val="en-US" w:eastAsia="zh-CN" w:bidi="ar-SA"/>
        </w:rPr>
        <w:t>万元和日常公用经费</w:t>
      </w:r>
      <w:r>
        <w:rPr>
          <w:rFonts w:hint="eastAsia" w:ascii="Times New Roman" w:hAnsi="Times New Roman" w:eastAsia="方正仿宋_GBK" w:cs="Times New Roman"/>
          <w:sz w:val="28"/>
          <w:szCs w:val="24"/>
          <w:lang w:val="en-US" w:eastAsia="zh-CN" w:bidi="ar-SA"/>
        </w:rPr>
        <w:t>32.98</w:t>
      </w:r>
      <w:r>
        <w:rPr>
          <w:rFonts w:hint="default" w:ascii="Times New Roman" w:hAnsi="Times New Roman" w:eastAsia="方正仿宋_GBK" w:cs="Times New Roman"/>
          <w:sz w:val="28"/>
          <w:szCs w:val="24"/>
          <w:lang w:val="en-US" w:eastAsia="zh-CN" w:bidi="ar-SA"/>
        </w:rPr>
        <w:t>万元；项目支出</w:t>
      </w:r>
      <w:r>
        <w:rPr>
          <w:rFonts w:hint="eastAsia" w:ascii="Times New Roman" w:hAnsi="Times New Roman" w:eastAsia="方正仿宋_GBK" w:cs="Times New Roman"/>
          <w:sz w:val="28"/>
          <w:szCs w:val="24"/>
          <w:lang w:val="en-US" w:eastAsia="zh-CN" w:bidi="ar-SA"/>
        </w:rPr>
        <w:t>225</w:t>
      </w:r>
      <w:r>
        <w:rPr>
          <w:rFonts w:hint="default" w:ascii="Times New Roman" w:hAnsi="Times New Roman" w:eastAsia="方正仿宋_GBK" w:cs="Times New Roman"/>
          <w:sz w:val="28"/>
          <w:szCs w:val="24"/>
          <w:lang w:val="en-US" w:eastAsia="zh-CN" w:bidi="ar-SA"/>
        </w:rPr>
        <w:t>万元，全部为本级支出</w:t>
      </w:r>
      <w:r>
        <w:rPr>
          <w:rFonts w:hint="eastAsia" w:ascii="Times New Roman" w:hAnsi="Times New Roman" w:eastAsia="方正仿宋_GBK" w:cs="Times New Roman"/>
          <w:sz w:val="28"/>
          <w:szCs w:val="24"/>
          <w:lang w:val="en-US" w:eastAsia="zh-CN" w:bidi="ar-SA"/>
        </w:rPr>
        <w:t>，主要为</w:t>
      </w:r>
      <w:r>
        <w:rPr>
          <w:rFonts w:hint="eastAsia" w:ascii="Times New Roman" w:hAnsi="Times New Roman" w:eastAsia="方正仿宋_GBK" w:cs="Times New Roman"/>
          <w:sz w:val="28"/>
          <w:szCs w:val="24"/>
          <w:lang w:val="en-US" w:eastAsia="uk-UA" w:bidi="ar-SA"/>
        </w:rPr>
        <w:t>旅游行业管理经费</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文化体育事务管理经费</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旅游文化体育发展专项资金（含游客中心运营费、冰雪运动项目资金）</w:t>
      </w:r>
      <w:r>
        <w:rPr>
          <w:rFonts w:hint="eastAsia" w:ascii="Times New Roman" w:hAnsi="Times New Roman" w:eastAsia="方正仿宋_GBK" w:cs="Times New Roman"/>
          <w:sz w:val="28"/>
          <w:szCs w:val="24"/>
          <w:lang w:val="en-US" w:eastAsia="zh-CN" w:bidi="ar-SA"/>
        </w:rPr>
        <w:t>项目</w:t>
      </w:r>
      <w:r>
        <w:rPr>
          <w:rFonts w:hint="default" w:ascii="Times New Roman" w:hAnsi="Times New Roman" w:eastAsia="方正仿宋_GBK" w:cs="Times New Roman"/>
          <w:sz w:val="28"/>
          <w:szCs w:val="24"/>
          <w:lang w:val="en-US" w:eastAsia="zh-CN" w:bidi="ar-SA"/>
        </w:rPr>
        <w:t>。</w:t>
      </w:r>
    </w:p>
    <w:p>
      <w:pPr>
        <w:pStyle w:val="15"/>
        <w:rPr>
          <w:rFonts w:hint="default"/>
        </w:rPr>
      </w:pPr>
      <w:r>
        <w:rPr>
          <w:rFonts w:hint="eastAsia"/>
          <w:lang w:eastAsia="zh-CN"/>
        </w:rPr>
        <w:t>（</w:t>
      </w:r>
      <w:r>
        <w:rPr>
          <w:rFonts w:hint="eastAsia"/>
          <w:lang w:val="en-US" w:eastAsia="zh-CN"/>
        </w:rPr>
        <w:t>三</w:t>
      </w:r>
      <w:r>
        <w:rPr>
          <w:rFonts w:hint="eastAsia"/>
          <w:lang w:eastAsia="zh-CN"/>
        </w:rPr>
        <w:t>）</w:t>
      </w:r>
      <w:r>
        <w:rPr>
          <w:rFonts w:hint="default"/>
        </w:rPr>
        <w:t>比上年增减情况</w:t>
      </w:r>
    </w:p>
    <w:p>
      <w:pPr>
        <w:pStyle w:val="15"/>
        <w:rPr>
          <w:rFonts w:hint="eastAsia" w:eastAsia="方正仿宋_GBK"/>
          <w:color w:val="FF0000"/>
          <w:lang w:eastAsia="zh-CN"/>
        </w:rPr>
      </w:pPr>
      <w:r>
        <w:rPr>
          <w:rFonts w:hint="eastAsia"/>
          <w:lang w:eastAsia="zh-CN"/>
        </w:rPr>
        <w:t>202</w:t>
      </w:r>
      <w:r>
        <w:rPr>
          <w:rFonts w:hint="eastAsia"/>
          <w:lang w:val="en-US" w:eastAsia="zh-CN"/>
        </w:rPr>
        <w:t>2</w:t>
      </w:r>
      <w:r>
        <w:rPr>
          <w:rFonts w:hint="eastAsia"/>
          <w:lang w:eastAsia="zh-CN"/>
        </w:rPr>
        <w:t>年</w:t>
      </w:r>
      <w:r>
        <w:rPr>
          <w:rFonts w:hint="eastAsia"/>
          <w:lang w:val="en-US" w:eastAsia="zh-CN"/>
        </w:rPr>
        <w:t>单位</w:t>
      </w:r>
      <w:r>
        <w:rPr>
          <w:rFonts w:hint="default"/>
        </w:rPr>
        <w:t>预算较20</w:t>
      </w:r>
      <w:r>
        <w:rPr>
          <w:rFonts w:hint="eastAsia"/>
          <w:lang w:val="en-US" w:eastAsia="zh-CN"/>
        </w:rPr>
        <w:t>21</w:t>
      </w:r>
      <w:r>
        <w:rPr>
          <w:rFonts w:hint="default"/>
        </w:rPr>
        <w:t>年</w:t>
      </w:r>
      <w:r>
        <w:rPr>
          <w:rFonts w:hint="eastAsia"/>
          <w:lang w:val="en-US" w:eastAsia="zh-CN"/>
        </w:rPr>
        <w:t>增加1154.64</w:t>
      </w:r>
      <w:r>
        <w:rPr>
          <w:rFonts w:hint="default"/>
        </w:rPr>
        <w:t>万元，其中基本支出</w:t>
      </w:r>
      <w:r>
        <w:rPr>
          <w:rFonts w:hint="eastAsia"/>
          <w:lang w:val="en-US" w:eastAsia="zh-CN"/>
        </w:rPr>
        <w:t>增加399.11</w:t>
      </w:r>
      <w:r>
        <w:rPr>
          <w:rFonts w:hint="default"/>
        </w:rPr>
        <w:t>万元</w:t>
      </w:r>
      <w:r>
        <w:rPr>
          <w:rFonts w:hint="eastAsia"/>
          <w:lang w:eastAsia="zh-CN"/>
        </w:rPr>
        <w:t>，</w:t>
      </w:r>
      <w:r>
        <w:rPr>
          <w:rFonts w:hint="eastAsia"/>
          <w:lang w:val="en-US" w:eastAsia="zh-CN"/>
        </w:rPr>
        <w:t>主要原因是</w:t>
      </w:r>
      <w:r>
        <w:rPr>
          <w:rFonts w:hint="eastAsia"/>
          <w:lang w:eastAsia="zh-CN"/>
        </w:rPr>
        <w:t>减少旅发大会项目支出。</w:t>
      </w: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highlight w:val="none"/>
        </w:rPr>
      </w:pPr>
      <w:r>
        <w:rPr>
          <w:rFonts w:ascii="黑体" w:hAnsi="黑体" w:eastAsia="黑体" w:cs="黑体"/>
          <w:color w:val="000000"/>
          <w:sz w:val="32"/>
          <w:highlight w:val="none"/>
        </w:rPr>
        <w:t>机关运行经费安排情况</w:t>
      </w:r>
    </w:p>
    <w:p>
      <w:pPr>
        <w:spacing w:before="0" w:after="0" w:line="500" w:lineRule="exact"/>
        <w:ind w:firstLine="560"/>
        <w:jc w:val="left"/>
        <w:outlineLvl w:val="9"/>
        <w:rPr>
          <w:rFonts w:ascii="黑体" w:hAnsi="黑体" w:eastAsia="黑体" w:cs="黑体"/>
          <w:color w:val="000000"/>
          <w:sz w:val="32"/>
          <w:highlight w:val="none"/>
        </w:rPr>
      </w:pPr>
      <w:r>
        <w:rPr>
          <w:rFonts w:ascii="Times New Roman" w:hAnsi="Times New Roman" w:eastAsia="方正仿宋_GBK" w:cs="Times New Roman"/>
          <w:color w:val="000000"/>
          <w:sz w:val="28"/>
          <w:highlight w:val="none"/>
        </w:rPr>
        <w:t>机关运行经费共计安排</w:t>
      </w:r>
      <w:r>
        <w:rPr>
          <w:rFonts w:hint="eastAsia" w:ascii="Times New Roman" w:hAnsi="Times New Roman" w:eastAsia="方正仿宋_GBK" w:cs="Times New Roman"/>
          <w:color w:val="000000"/>
          <w:sz w:val="28"/>
          <w:highlight w:val="none"/>
          <w:lang w:val="en-US" w:eastAsia="zh-CN"/>
        </w:rPr>
        <w:t>32.98</w:t>
      </w:r>
      <w:r>
        <w:rPr>
          <w:rFonts w:ascii="Times New Roman" w:hAnsi="Times New Roman" w:eastAsia="方正仿宋_GBK" w:cs="Times New Roman"/>
          <w:color w:val="000000"/>
          <w:sz w:val="28"/>
          <w:highlight w:val="none"/>
        </w:rPr>
        <w:t>万元，主要用于机关办公区的办公及印刷费、差旅费、会议费、培训费、公务用车运行维护费等日常运行支出。其中：办公费</w:t>
      </w:r>
      <w:r>
        <w:rPr>
          <w:rFonts w:hint="eastAsia" w:ascii="Times New Roman" w:hAnsi="Times New Roman" w:eastAsia="方正仿宋_GBK" w:cs="Times New Roman"/>
          <w:color w:val="000000"/>
          <w:sz w:val="28"/>
          <w:highlight w:val="none"/>
          <w:lang w:val="en-US" w:eastAsia="zh-CN"/>
        </w:rPr>
        <w:t>8.1</w:t>
      </w:r>
      <w:r>
        <w:rPr>
          <w:rFonts w:ascii="Times New Roman" w:hAnsi="Times New Roman" w:eastAsia="方正仿宋_GBK" w:cs="Times New Roman"/>
          <w:color w:val="000000"/>
          <w:sz w:val="28"/>
          <w:highlight w:val="none"/>
        </w:rPr>
        <w:t>万元，差旅费</w:t>
      </w:r>
      <w:r>
        <w:rPr>
          <w:rFonts w:hint="eastAsia" w:ascii="Times New Roman" w:hAnsi="Times New Roman" w:eastAsia="方正仿宋_GBK" w:cs="Times New Roman"/>
          <w:color w:val="000000"/>
          <w:sz w:val="28"/>
          <w:highlight w:val="none"/>
          <w:lang w:val="en-US" w:eastAsia="zh-CN"/>
        </w:rPr>
        <w:t>4.32</w:t>
      </w:r>
      <w:r>
        <w:rPr>
          <w:rFonts w:ascii="Times New Roman" w:hAnsi="Times New Roman" w:eastAsia="方正仿宋_GBK" w:cs="Times New Roman"/>
          <w:color w:val="000000"/>
          <w:sz w:val="28"/>
          <w:highlight w:val="none"/>
        </w:rPr>
        <w:t>元，会议费</w:t>
      </w:r>
      <w:r>
        <w:rPr>
          <w:rFonts w:hint="eastAsia" w:ascii="Times New Roman" w:hAnsi="Times New Roman" w:eastAsia="方正仿宋_GBK" w:cs="Times New Roman"/>
          <w:color w:val="000000"/>
          <w:sz w:val="28"/>
          <w:highlight w:val="none"/>
          <w:lang w:val="en-US" w:eastAsia="zh-CN"/>
        </w:rPr>
        <w:t>2.4</w:t>
      </w:r>
      <w:r>
        <w:rPr>
          <w:rFonts w:ascii="Times New Roman" w:hAnsi="Times New Roman" w:eastAsia="方正仿宋_GBK" w:cs="Times New Roman"/>
          <w:color w:val="000000"/>
          <w:sz w:val="28"/>
          <w:highlight w:val="none"/>
        </w:rPr>
        <w:t>万</w:t>
      </w:r>
      <w:r>
        <w:rPr>
          <w:rFonts w:hint="eastAsia" w:ascii="Times New Roman" w:hAnsi="Times New Roman" w:eastAsia="方正仿宋_GBK" w:cs="Times New Roman"/>
          <w:color w:val="000000"/>
          <w:sz w:val="28"/>
          <w:highlight w:val="none"/>
          <w:lang w:eastAsia="zh-CN"/>
        </w:rPr>
        <w:t>，</w:t>
      </w:r>
      <w:r>
        <w:rPr>
          <w:rFonts w:ascii="Times New Roman" w:hAnsi="Times New Roman" w:eastAsia="方正仿宋_GBK" w:cs="Times New Roman"/>
          <w:color w:val="000000"/>
          <w:sz w:val="28"/>
          <w:highlight w:val="none"/>
        </w:rPr>
        <w:t>办公设备购置费</w:t>
      </w:r>
      <w:r>
        <w:rPr>
          <w:rFonts w:hint="eastAsia" w:ascii="Times New Roman" w:hAnsi="Times New Roman" w:eastAsia="方正仿宋_GBK" w:cs="Times New Roman"/>
          <w:color w:val="000000"/>
          <w:sz w:val="28"/>
          <w:highlight w:val="none"/>
          <w:lang w:val="en-US" w:eastAsia="zh-CN"/>
        </w:rPr>
        <w:t>1.08</w:t>
      </w:r>
      <w:r>
        <w:rPr>
          <w:rFonts w:ascii="Times New Roman" w:hAnsi="Times New Roman" w:eastAsia="方正仿宋_GBK" w:cs="Times New Roman"/>
          <w:color w:val="000000"/>
          <w:sz w:val="28"/>
          <w:highlight w:val="none"/>
        </w:rPr>
        <w:t>万元，公务用车运行维护费</w:t>
      </w:r>
      <w:r>
        <w:rPr>
          <w:rFonts w:hint="eastAsia" w:ascii="Times New Roman" w:hAnsi="Times New Roman" w:eastAsia="方正仿宋_GBK" w:cs="Times New Roman"/>
          <w:color w:val="000000"/>
          <w:sz w:val="28"/>
          <w:highlight w:val="none"/>
          <w:lang w:val="en-US" w:eastAsia="zh-CN"/>
        </w:rPr>
        <w:t>2.3</w:t>
      </w:r>
      <w:r>
        <w:rPr>
          <w:rFonts w:ascii="Times New Roman" w:hAnsi="Times New Roman" w:eastAsia="方正仿宋_GBK" w:cs="Times New Roman"/>
          <w:color w:val="000000"/>
          <w:sz w:val="28"/>
          <w:highlight w:val="none"/>
        </w:rPr>
        <w:t>万元，公务交通补贴</w:t>
      </w:r>
      <w:r>
        <w:rPr>
          <w:rFonts w:hint="eastAsia" w:ascii="Times New Roman" w:hAnsi="Times New Roman" w:eastAsia="方正仿宋_GBK" w:cs="Times New Roman"/>
          <w:color w:val="000000"/>
          <w:sz w:val="28"/>
          <w:highlight w:val="none"/>
          <w:lang w:val="en-US" w:eastAsia="zh-CN"/>
        </w:rPr>
        <w:t>3.6</w:t>
      </w:r>
      <w:r>
        <w:rPr>
          <w:rFonts w:ascii="Times New Roman" w:hAnsi="Times New Roman" w:eastAsia="方正仿宋_GBK" w:cs="Times New Roman"/>
          <w:color w:val="000000"/>
          <w:sz w:val="28"/>
          <w:highlight w:val="none"/>
        </w:rPr>
        <w:t>万元，印刷费</w:t>
      </w:r>
      <w:r>
        <w:rPr>
          <w:rFonts w:hint="eastAsia" w:ascii="Times New Roman" w:hAnsi="Times New Roman" w:eastAsia="方正仿宋_GBK" w:cs="Times New Roman"/>
          <w:color w:val="000000"/>
          <w:sz w:val="28"/>
          <w:highlight w:val="none"/>
          <w:lang w:val="en-US" w:eastAsia="zh-CN"/>
        </w:rPr>
        <w:t>1.08</w:t>
      </w:r>
      <w:r>
        <w:rPr>
          <w:rFonts w:ascii="Times New Roman" w:hAnsi="Times New Roman" w:eastAsia="方正仿宋_GBK" w:cs="Times New Roman"/>
          <w:color w:val="000000"/>
          <w:sz w:val="28"/>
          <w:highlight w:val="none"/>
        </w:rPr>
        <w:t>万元，培训费</w:t>
      </w:r>
      <w:r>
        <w:rPr>
          <w:rFonts w:hint="eastAsia" w:ascii="Times New Roman" w:hAnsi="Times New Roman" w:eastAsia="方正仿宋_GBK" w:cs="Times New Roman"/>
          <w:color w:val="000000"/>
          <w:sz w:val="28"/>
          <w:highlight w:val="none"/>
          <w:lang w:val="en-US" w:eastAsia="zh-CN"/>
        </w:rPr>
        <w:t>2.93</w:t>
      </w:r>
      <w:r>
        <w:rPr>
          <w:rFonts w:ascii="Times New Roman" w:hAnsi="Times New Roman" w:eastAsia="方正仿宋_GBK" w:cs="Times New Roman"/>
          <w:color w:val="000000"/>
          <w:sz w:val="28"/>
          <w:highlight w:val="none"/>
        </w:rPr>
        <w:t>万元，公务接待费0.</w:t>
      </w:r>
      <w:r>
        <w:rPr>
          <w:rFonts w:hint="eastAsia" w:ascii="Times New Roman" w:hAnsi="Times New Roman" w:eastAsia="方正仿宋_GBK" w:cs="Times New Roman"/>
          <w:color w:val="000000"/>
          <w:sz w:val="28"/>
          <w:highlight w:val="none"/>
          <w:lang w:val="en-US" w:eastAsia="zh-CN"/>
        </w:rPr>
        <w:t>34</w:t>
      </w:r>
      <w:r>
        <w:rPr>
          <w:rFonts w:ascii="Times New Roman" w:hAnsi="Times New Roman" w:eastAsia="方正仿宋_GBK" w:cs="Times New Roman"/>
          <w:color w:val="000000"/>
          <w:sz w:val="28"/>
          <w:highlight w:val="none"/>
        </w:rPr>
        <w:t>万元，工会经费</w:t>
      </w:r>
      <w:r>
        <w:rPr>
          <w:rFonts w:hint="eastAsia" w:ascii="Times New Roman" w:hAnsi="Times New Roman" w:eastAsia="方正仿宋_GBK" w:cs="Times New Roman"/>
          <w:color w:val="000000"/>
          <w:sz w:val="28"/>
          <w:highlight w:val="none"/>
          <w:lang w:val="en-US" w:eastAsia="zh-CN"/>
        </w:rPr>
        <w:t>3.91</w:t>
      </w:r>
      <w:r>
        <w:rPr>
          <w:rFonts w:ascii="Times New Roman" w:hAnsi="Times New Roman" w:eastAsia="方正仿宋_GBK" w:cs="Times New Roman"/>
          <w:color w:val="000000"/>
          <w:sz w:val="28"/>
          <w:highlight w:val="none"/>
        </w:rPr>
        <w:t>元，福利费</w:t>
      </w:r>
      <w:r>
        <w:rPr>
          <w:rFonts w:hint="eastAsia" w:ascii="Times New Roman" w:hAnsi="Times New Roman" w:eastAsia="方正仿宋_GBK" w:cs="Times New Roman"/>
          <w:color w:val="000000"/>
          <w:sz w:val="28"/>
          <w:highlight w:val="none"/>
          <w:lang w:val="en-US" w:eastAsia="zh-CN"/>
        </w:rPr>
        <w:t>2.92</w:t>
      </w:r>
      <w:r>
        <w:rPr>
          <w:rFonts w:ascii="Times New Roman" w:hAnsi="Times New Roman" w:eastAsia="方正仿宋_GBK" w:cs="Times New Roman"/>
          <w:color w:val="000000"/>
          <w:sz w:val="28"/>
          <w:highlight w:val="none"/>
        </w:rPr>
        <w:t>万元。</w:t>
      </w:r>
    </w:p>
    <w:p>
      <w:pPr>
        <w:pStyle w:val="17"/>
        <w:rPr>
          <w:highlight w:val="none"/>
        </w:rPr>
      </w:pPr>
    </w:p>
    <w:p>
      <w:pPr>
        <w:numPr>
          <w:ilvl w:val="0"/>
          <w:numId w:val="1"/>
        </w:numPr>
        <w:spacing w:before="10" w:after="10" w:line="240" w:lineRule="auto"/>
        <w:ind w:left="0" w:leftChars="0" w:firstLine="640" w:firstLineChars="0"/>
        <w:jc w:val="left"/>
        <w:outlineLvl w:val="5"/>
        <w:rPr>
          <w:rFonts w:ascii="黑体" w:hAnsi="黑体" w:eastAsia="黑体" w:cs="黑体"/>
          <w:color w:val="000000"/>
          <w:sz w:val="32"/>
          <w:highlight w:val="none"/>
        </w:rPr>
      </w:pPr>
      <w:r>
        <w:rPr>
          <w:rFonts w:ascii="黑体" w:hAnsi="黑体" w:eastAsia="黑体" w:cs="黑体"/>
          <w:color w:val="000000"/>
          <w:sz w:val="32"/>
          <w:highlight w:val="none"/>
        </w:rPr>
        <w:t>财政拨款“三公”经费预算情况及增减变化原因</w:t>
      </w:r>
    </w:p>
    <w:p>
      <w:pPr>
        <w:spacing w:before="0" w:after="0" w:line="500" w:lineRule="exact"/>
        <w:ind w:firstLine="560"/>
        <w:jc w:val="left"/>
        <w:outlineLvl w:val="9"/>
      </w:pPr>
      <w:r>
        <w:rPr>
          <w:rFonts w:ascii="Times New Roman" w:hAnsi="Times New Roman" w:eastAsia="方正仿宋_GBK" w:cs="Times New Roman"/>
          <w:color w:val="000000"/>
          <w:sz w:val="28"/>
          <w:highlight w:val="none"/>
        </w:rPr>
        <w:t>20</w:t>
      </w:r>
      <w:r>
        <w:rPr>
          <w:rFonts w:hint="eastAsia" w:ascii="Times New Roman" w:hAnsi="Times New Roman" w:eastAsia="方正仿宋_GBK" w:cs="Times New Roman"/>
          <w:color w:val="000000"/>
          <w:sz w:val="28"/>
          <w:highlight w:val="none"/>
          <w:lang w:val="en-US" w:eastAsia="zh-CN"/>
        </w:rPr>
        <w:t>22</w:t>
      </w:r>
      <w:r>
        <w:rPr>
          <w:rFonts w:ascii="Times New Roman" w:hAnsi="Times New Roman" w:eastAsia="方正仿宋_GBK" w:cs="Times New Roman"/>
          <w:color w:val="000000"/>
          <w:sz w:val="28"/>
          <w:highlight w:val="none"/>
        </w:rPr>
        <w:t>年，秦皇岛北戴河新区旅游文化体育局</w:t>
      </w:r>
      <w:r>
        <w:rPr>
          <w:rFonts w:hint="eastAsia" w:ascii="Times New Roman" w:hAnsi="Times New Roman" w:eastAsia="方正仿宋_GBK" w:cs="Times New Roman"/>
          <w:color w:val="000000"/>
          <w:sz w:val="28"/>
          <w:highlight w:val="none"/>
          <w:lang w:val="en-US" w:eastAsia="zh-CN"/>
        </w:rPr>
        <w:t>单位</w:t>
      </w:r>
      <w:r>
        <w:rPr>
          <w:rFonts w:ascii="Times New Roman" w:hAnsi="Times New Roman" w:eastAsia="方正仿宋_GBK" w:cs="Times New Roman"/>
          <w:color w:val="000000"/>
          <w:sz w:val="28"/>
          <w:highlight w:val="none"/>
        </w:rPr>
        <w:t>财政拨款“三公”经费预</w:t>
      </w:r>
      <w:r>
        <w:rPr>
          <w:rFonts w:ascii="Times New Roman" w:hAnsi="Times New Roman" w:eastAsia="方正仿宋_GBK" w:cs="Times New Roman"/>
          <w:color w:val="000000"/>
          <w:sz w:val="28"/>
        </w:rPr>
        <w:t>算安排</w:t>
      </w:r>
      <w:r>
        <w:rPr>
          <w:rFonts w:hint="eastAsia" w:ascii="Times New Roman" w:hAnsi="Times New Roman" w:eastAsia="方正仿宋_GBK" w:cs="Times New Roman"/>
          <w:color w:val="000000"/>
          <w:sz w:val="28"/>
          <w:lang w:val="en-US" w:eastAsia="zh-CN"/>
        </w:rPr>
        <w:t>2.64</w:t>
      </w:r>
      <w:r>
        <w:rPr>
          <w:rFonts w:ascii="Times New Roman" w:hAnsi="Times New Roman" w:eastAsia="方正仿宋_GBK" w:cs="Times New Roman"/>
          <w:color w:val="000000"/>
          <w:sz w:val="28"/>
        </w:rPr>
        <w:t>万元，其中：因公出国（境）费0万元；公务用车购置及运行维护费</w:t>
      </w:r>
      <w:r>
        <w:rPr>
          <w:rFonts w:hint="eastAsia" w:ascii="Times New Roman" w:hAnsi="Times New Roman" w:eastAsia="方正仿宋_GBK" w:cs="Times New Roman"/>
          <w:color w:val="000000"/>
          <w:sz w:val="28"/>
          <w:lang w:val="en-US" w:eastAsia="zh-CN"/>
        </w:rPr>
        <w:t>2.3</w:t>
      </w:r>
      <w:r>
        <w:rPr>
          <w:rFonts w:ascii="Times New Roman" w:hAnsi="Times New Roman" w:eastAsia="方正仿宋_GBK" w:cs="Times New Roman"/>
          <w:color w:val="000000"/>
          <w:sz w:val="28"/>
        </w:rPr>
        <w:t>万元（其中：公务用车购置费为0，公务用车运行费</w:t>
      </w:r>
      <w:r>
        <w:rPr>
          <w:rFonts w:hint="eastAsia" w:ascii="Times New Roman" w:hAnsi="Times New Roman" w:eastAsia="方正仿宋_GBK" w:cs="Times New Roman"/>
          <w:color w:val="000000"/>
          <w:sz w:val="28"/>
          <w:lang w:val="en-US" w:eastAsia="zh-CN"/>
        </w:rPr>
        <w:t>2.3</w:t>
      </w:r>
      <w:r>
        <w:rPr>
          <w:rFonts w:ascii="Times New Roman" w:hAnsi="Times New Roman" w:eastAsia="方正仿宋_GBK" w:cs="Times New Roman"/>
          <w:color w:val="000000"/>
          <w:sz w:val="28"/>
        </w:rPr>
        <w:t>万元)；公务接待费</w:t>
      </w:r>
      <w:r>
        <w:rPr>
          <w:rFonts w:hint="eastAsia" w:ascii="Times New Roman" w:hAnsi="Times New Roman" w:eastAsia="方正仿宋_GBK" w:cs="Times New Roman"/>
          <w:color w:val="000000"/>
          <w:sz w:val="28"/>
          <w:lang w:val="en-US" w:eastAsia="zh-CN"/>
        </w:rPr>
        <w:t>0.34</w:t>
      </w:r>
      <w:r>
        <w:rPr>
          <w:rFonts w:ascii="Times New Roman" w:hAnsi="Times New Roman" w:eastAsia="方正仿宋_GBK" w:cs="Times New Roman"/>
          <w:color w:val="000000"/>
          <w:sz w:val="28"/>
        </w:rPr>
        <w:t>万元。较20</w:t>
      </w:r>
      <w:r>
        <w:rPr>
          <w:rFonts w:hint="eastAsia" w:ascii="Times New Roman" w:hAnsi="Times New Roman" w:eastAsia="方正仿宋_GBK" w:cs="Times New Roman"/>
          <w:color w:val="000000"/>
          <w:sz w:val="28"/>
          <w:lang w:val="en-US" w:eastAsia="zh-CN"/>
        </w:rPr>
        <w:t>21</w:t>
      </w:r>
      <w:r>
        <w:rPr>
          <w:rFonts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eastAsia="zh-CN"/>
        </w:rPr>
        <w:t>减少</w:t>
      </w:r>
      <w:r>
        <w:rPr>
          <w:rFonts w:ascii="Times New Roman" w:hAnsi="Times New Roman" w:eastAsia="方正仿宋_GBK" w:cs="Times New Roman"/>
          <w:color w:val="000000"/>
          <w:sz w:val="28"/>
        </w:rPr>
        <w:t>公务用车运行费</w:t>
      </w:r>
      <w:r>
        <w:rPr>
          <w:rFonts w:hint="eastAsia" w:ascii="Times New Roman" w:hAnsi="Times New Roman" w:eastAsia="方正仿宋_GBK" w:cs="Times New Roman"/>
          <w:color w:val="000000"/>
          <w:sz w:val="28"/>
          <w:lang w:val="en-US" w:eastAsia="zh-CN"/>
        </w:rPr>
        <w:t>0.3万元，公务接待费减少0.02元</w:t>
      </w:r>
      <w:r>
        <w:rPr>
          <w:rFonts w:ascii="Times New Roman" w:hAnsi="Times New Roman" w:eastAsia="方正仿宋_GBK" w:cs="Times New Roman"/>
          <w:color w:val="000000"/>
          <w:sz w:val="28"/>
        </w:rPr>
        <w:t>。</w:t>
      </w:r>
      <w:r>
        <w:rPr>
          <w:rFonts w:hint="eastAsia" w:eastAsia="方正仿宋_GBK" w:cs="Times New Roman"/>
          <w:color w:val="000000"/>
          <w:sz w:val="28"/>
          <w:lang w:eastAsia="zh-CN"/>
        </w:rPr>
        <w:t>原因为缩减三公经费。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1、旅游行业管理经费绩效目标表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1.通关开展旅游管理、服务、宣传、氛围营造等活动，促进旅游市场开发推广交流合作工作，吸引更多游客参观旅游，推动新区旅游文化体育事业的进一步开展。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开展旅游行业培训、应急演练</w:t>
            </w:r>
          </w:p>
        </w:tc>
        <w:tc>
          <w:tcPr>
            <w:tcW w:w="2835" w:type="dxa"/>
            <w:vAlign w:val="center"/>
          </w:tcPr>
          <w:p>
            <w:pPr>
              <w:pStyle w:val="10"/>
            </w:pPr>
            <w:r>
              <w:t>开展旅游行业培训和应急演练等活动次数</w:t>
            </w:r>
          </w:p>
        </w:tc>
        <w:tc>
          <w:tcPr>
            <w:tcW w:w="2551" w:type="dxa"/>
            <w:vAlign w:val="center"/>
          </w:tcPr>
          <w:p>
            <w:pPr>
              <w:pStyle w:val="10"/>
            </w:pPr>
            <w:r>
              <w:t>≥4次</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综合事务管理工作完成率</w:t>
            </w:r>
          </w:p>
        </w:tc>
        <w:tc>
          <w:tcPr>
            <w:tcW w:w="2835" w:type="dxa"/>
            <w:vAlign w:val="center"/>
          </w:tcPr>
          <w:p>
            <w:pPr>
              <w:pStyle w:val="10"/>
            </w:pPr>
            <w:r>
              <w:t>活动相关经费</w:t>
            </w:r>
          </w:p>
        </w:tc>
        <w:tc>
          <w:tcPr>
            <w:tcW w:w="2551" w:type="dxa"/>
            <w:vAlign w:val="center"/>
          </w:tcPr>
          <w:p>
            <w:pPr>
              <w:pStyle w:val="10"/>
            </w:pPr>
            <w:r>
              <w:t>≥95%</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项目完成时间</w:t>
            </w:r>
          </w:p>
          <w:p>
            <w:pPr>
              <w:pStyle w:val="10"/>
            </w:pPr>
          </w:p>
          <w:p>
            <w:pPr>
              <w:pStyle w:val="10"/>
            </w:pPr>
          </w:p>
        </w:tc>
        <w:tc>
          <w:tcPr>
            <w:tcW w:w="2835" w:type="dxa"/>
            <w:vAlign w:val="center"/>
          </w:tcPr>
          <w:p>
            <w:pPr>
              <w:pStyle w:val="10"/>
            </w:pPr>
            <w:r>
              <w:t>项目完成时间</w:t>
            </w:r>
          </w:p>
          <w:p>
            <w:pPr>
              <w:pStyle w:val="10"/>
            </w:pPr>
          </w:p>
          <w:p>
            <w:pPr>
              <w:pStyle w:val="10"/>
            </w:pPr>
          </w:p>
        </w:tc>
        <w:tc>
          <w:tcPr>
            <w:tcW w:w="2551" w:type="dxa"/>
            <w:vAlign w:val="center"/>
          </w:tcPr>
          <w:p>
            <w:pPr>
              <w:pStyle w:val="10"/>
            </w:pPr>
            <w:r>
              <w:t>2022年</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预算控制数</w:t>
            </w:r>
          </w:p>
        </w:tc>
        <w:tc>
          <w:tcPr>
            <w:tcW w:w="2835" w:type="dxa"/>
            <w:vAlign w:val="center"/>
          </w:tcPr>
          <w:p>
            <w:pPr>
              <w:pStyle w:val="10"/>
            </w:pPr>
            <w:r>
              <w:t>实际支出金额小于等于预算控制数</w:t>
            </w:r>
          </w:p>
        </w:tc>
        <w:tc>
          <w:tcPr>
            <w:tcW w:w="2551" w:type="dxa"/>
            <w:vAlign w:val="center"/>
          </w:tcPr>
          <w:p>
            <w:pPr>
              <w:pStyle w:val="10"/>
            </w:pPr>
            <w:r>
              <w:t>≤9万元</w:t>
            </w:r>
          </w:p>
        </w:tc>
        <w:tc>
          <w:tcPr>
            <w:tcW w:w="2268" w:type="dxa"/>
            <w:vAlign w:val="center"/>
          </w:tcPr>
          <w:p>
            <w:pPr>
              <w:pStyle w:val="10"/>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资金使用效益</w:t>
            </w:r>
          </w:p>
        </w:tc>
        <w:tc>
          <w:tcPr>
            <w:tcW w:w="2835" w:type="dxa"/>
            <w:vAlign w:val="center"/>
          </w:tcPr>
          <w:p>
            <w:pPr>
              <w:pStyle w:val="10"/>
            </w:pPr>
            <w:r>
              <w:t>项目的实施有助于提高新区旅游收益</w:t>
            </w:r>
          </w:p>
        </w:tc>
        <w:tc>
          <w:tcPr>
            <w:tcW w:w="2551" w:type="dxa"/>
            <w:vAlign w:val="center"/>
          </w:tcPr>
          <w:p>
            <w:pPr>
              <w:pStyle w:val="10"/>
            </w:pPr>
            <w:r>
              <w:t>效果显著</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吸引观众、游客数</w:t>
            </w:r>
          </w:p>
        </w:tc>
        <w:tc>
          <w:tcPr>
            <w:tcW w:w="2835" w:type="dxa"/>
            <w:vAlign w:val="center"/>
          </w:tcPr>
          <w:p>
            <w:pPr>
              <w:pStyle w:val="10"/>
            </w:pPr>
            <w:r>
              <w:t>项目的有效实施，对宣传新区旅游，多大新区知名度和影响力</w:t>
            </w:r>
          </w:p>
        </w:tc>
        <w:tc>
          <w:tcPr>
            <w:tcW w:w="2551" w:type="dxa"/>
            <w:vAlign w:val="center"/>
          </w:tcPr>
          <w:p>
            <w:pPr>
              <w:pStyle w:val="10"/>
            </w:pPr>
            <w:r>
              <w:t>效果显著</w:t>
            </w:r>
          </w:p>
        </w:tc>
        <w:tc>
          <w:tcPr>
            <w:tcW w:w="2268" w:type="dxa"/>
            <w:vAlign w:val="center"/>
          </w:tcPr>
          <w:p>
            <w:pPr>
              <w:pStyle w:val="10"/>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提升行业管理水平</w:t>
            </w:r>
          </w:p>
        </w:tc>
        <w:tc>
          <w:tcPr>
            <w:tcW w:w="2835" w:type="dxa"/>
            <w:vAlign w:val="center"/>
          </w:tcPr>
          <w:p>
            <w:pPr>
              <w:pStyle w:val="10"/>
            </w:pPr>
            <w:r>
              <w:t>提升行业管理水平</w:t>
            </w:r>
          </w:p>
        </w:tc>
        <w:tc>
          <w:tcPr>
            <w:tcW w:w="2551" w:type="dxa"/>
            <w:vAlign w:val="center"/>
          </w:tcPr>
          <w:p>
            <w:pPr>
              <w:pStyle w:val="10"/>
            </w:pPr>
            <w:r>
              <w:t>效果显著</w:t>
            </w:r>
          </w:p>
        </w:tc>
        <w:tc>
          <w:tcPr>
            <w:tcW w:w="2268" w:type="dxa"/>
            <w:vAlign w:val="center"/>
          </w:tcPr>
          <w:p>
            <w:pPr>
              <w:pStyle w:val="10"/>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反映旅游游客的满意度</w:t>
            </w:r>
          </w:p>
        </w:tc>
        <w:tc>
          <w:tcPr>
            <w:tcW w:w="2835" w:type="dxa"/>
            <w:vAlign w:val="center"/>
          </w:tcPr>
          <w:p>
            <w:pPr>
              <w:pStyle w:val="10"/>
            </w:pPr>
            <w:r>
              <w:t>透过抽查问卷的方式，满意和较满意对象占全部调研对象的比例</w:t>
            </w:r>
          </w:p>
        </w:tc>
        <w:tc>
          <w:tcPr>
            <w:tcW w:w="2551" w:type="dxa"/>
            <w:vAlign w:val="center"/>
          </w:tcPr>
          <w:p>
            <w:pPr>
              <w:pStyle w:val="10"/>
            </w:pPr>
            <w:r>
              <w:t>≥95%</w:t>
            </w:r>
          </w:p>
        </w:tc>
        <w:tc>
          <w:tcPr>
            <w:tcW w:w="2268" w:type="dxa"/>
            <w:vAlign w:val="center"/>
          </w:tcPr>
          <w:p>
            <w:pPr>
              <w:pStyle w:val="10"/>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服务对象满意度指标</w:t>
            </w:r>
          </w:p>
        </w:tc>
        <w:tc>
          <w:tcPr>
            <w:tcW w:w="2835" w:type="dxa"/>
            <w:vAlign w:val="center"/>
          </w:tcPr>
          <w:p>
            <w:pPr>
              <w:pStyle w:val="10"/>
            </w:pPr>
            <w:r>
              <w:t>反映经营者的满意度</w:t>
            </w:r>
          </w:p>
        </w:tc>
        <w:tc>
          <w:tcPr>
            <w:tcW w:w="2835" w:type="dxa"/>
            <w:vAlign w:val="center"/>
          </w:tcPr>
          <w:p>
            <w:pPr>
              <w:pStyle w:val="10"/>
            </w:pPr>
            <w:r>
              <w:t>透过抽查问卷的方式，满意和较满意对象占全部调研对象的比例</w:t>
            </w:r>
          </w:p>
        </w:tc>
        <w:tc>
          <w:tcPr>
            <w:tcW w:w="2551" w:type="dxa"/>
            <w:vAlign w:val="center"/>
          </w:tcPr>
          <w:p>
            <w:pPr>
              <w:pStyle w:val="10"/>
            </w:pPr>
            <w:r>
              <w:t>≥95%</w:t>
            </w:r>
          </w:p>
        </w:tc>
        <w:tc>
          <w:tcPr>
            <w:tcW w:w="2268" w:type="dxa"/>
            <w:vAlign w:val="center"/>
          </w:tcPr>
          <w:p>
            <w:pPr>
              <w:pStyle w:val="10"/>
            </w:pPr>
            <w:r>
              <w:t>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服务对象满意度指标</w:t>
            </w:r>
          </w:p>
        </w:tc>
        <w:tc>
          <w:tcPr>
            <w:tcW w:w="2835" w:type="dxa"/>
            <w:vAlign w:val="center"/>
          </w:tcPr>
          <w:p>
            <w:pPr>
              <w:pStyle w:val="10"/>
            </w:pPr>
            <w:r>
              <w:t>反映投诉游客的满意度</w:t>
            </w:r>
          </w:p>
        </w:tc>
        <w:tc>
          <w:tcPr>
            <w:tcW w:w="2835" w:type="dxa"/>
            <w:vAlign w:val="center"/>
          </w:tcPr>
          <w:p>
            <w:pPr>
              <w:pStyle w:val="10"/>
            </w:pPr>
            <w:r>
              <w:t>透过抽查问卷的方式，满意和较满意对象占全部调研对象的比例</w:t>
            </w:r>
          </w:p>
        </w:tc>
        <w:tc>
          <w:tcPr>
            <w:tcW w:w="2551" w:type="dxa"/>
            <w:vAlign w:val="center"/>
          </w:tcPr>
          <w:p>
            <w:pPr>
              <w:pStyle w:val="10"/>
            </w:pPr>
            <w:r>
              <w:t>≥95%</w:t>
            </w:r>
          </w:p>
        </w:tc>
        <w:tc>
          <w:tcPr>
            <w:tcW w:w="2268" w:type="dxa"/>
            <w:vAlign w:val="center"/>
          </w:tcPr>
          <w:p>
            <w:pPr>
              <w:pStyle w:val="10"/>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2、文化体育事务管理经费绩效目标表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1.公共文化服务体系建设，保障文化体育事务正常运行，确保文化体育工作顺利开展。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举办文体活动数量</w:t>
            </w:r>
          </w:p>
        </w:tc>
        <w:tc>
          <w:tcPr>
            <w:tcW w:w="2835" w:type="dxa"/>
            <w:vAlign w:val="center"/>
          </w:tcPr>
          <w:p>
            <w:pPr>
              <w:pStyle w:val="10"/>
            </w:pPr>
            <w:r>
              <w:t>开展文化体育活动次数</w:t>
            </w:r>
          </w:p>
        </w:tc>
        <w:tc>
          <w:tcPr>
            <w:tcW w:w="2551" w:type="dxa"/>
            <w:vAlign w:val="center"/>
          </w:tcPr>
          <w:p>
            <w:pPr>
              <w:pStyle w:val="10"/>
            </w:pPr>
            <w:r>
              <w:t>≥5次</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高质量且安全完成各项活动</w:t>
            </w:r>
          </w:p>
        </w:tc>
        <w:tc>
          <w:tcPr>
            <w:tcW w:w="2835" w:type="dxa"/>
            <w:vAlign w:val="center"/>
          </w:tcPr>
          <w:p>
            <w:pPr>
              <w:pStyle w:val="10"/>
            </w:pPr>
            <w:r>
              <w:t>活动内容丰富，质量高且安全举办</w:t>
            </w:r>
          </w:p>
        </w:tc>
        <w:tc>
          <w:tcPr>
            <w:tcW w:w="2551" w:type="dxa"/>
            <w:vAlign w:val="center"/>
          </w:tcPr>
          <w:p>
            <w:pPr>
              <w:pStyle w:val="10"/>
            </w:pPr>
            <w:r>
              <w:t>质量高且安全</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及时性</w:t>
            </w:r>
          </w:p>
        </w:tc>
        <w:tc>
          <w:tcPr>
            <w:tcW w:w="2835" w:type="dxa"/>
            <w:vAlign w:val="center"/>
          </w:tcPr>
          <w:p>
            <w:pPr>
              <w:pStyle w:val="10"/>
            </w:pPr>
            <w:r>
              <w:t>及时性</w:t>
            </w:r>
          </w:p>
        </w:tc>
        <w:tc>
          <w:tcPr>
            <w:tcW w:w="2551" w:type="dxa"/>
            <w:vAlign w:val="center"/>
          </w:tcPr>
          <w:p>
            <w:pPr>
              <w:pStyle w:val="10"/>
            </w:pPr>
            <w:r>
              <w:t>及时完成</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预算控制数</w:t>
            </w:r>
          </w:p>
        </w:tc>
        <w:tc>
          <w:tcPr>
            <w:tcW w:w="2835" w:type="dxa"/>
            <w:vAlign w:val="center"/>
          </w:tcPr>
          <w:p>
            <w:pPr>
              <w:pStyle w:val="10"/>
            </w:pPr>
            <w:r>
              <w:t>预算控制数</w:t>
            </w:r>
          </w:p>
        </w:tc>
        <w:tc>
          <w:tcPr>
            <w:tcW w:w="2551" w:type="dxa"/>
            <w:vAlign w:val="center"/>
          </w:tcPr>
          <w:p>
            <w:pPr>
              <w:pStyle w:val="10"/>
            </w:pPr>
            <w:r>
              <w:t>≤16万元</w:t>
            </w:r>
          </w:p>
        </w:tc>
        <w:tc>
          <w:tcPr>
            <w:tcW w:w="2268" w:type="dxa"/>
            <w:vAlign w:val="center"/>
          </w:tcPr>
          <w:p>
            <w:pPr>
              <w:pStyle w:val="10"/>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提升公共文化服务水平</w:t>
            </w:r>
          </w:p>
        </w:tc>
        <w:tc>
          <w:tcPr>
            <w:tcW w:w="2835" w:type="dxa"/>
            <w:vAlign w:val="center"/>
          </w:tcPr>
          <w:p>
            <w:pPr>
              <w:pStyle w:val="10"/>
            </w:pPr>
            <w:r>
              <w:t>提升公共文化服务水平</w:t>
            </w:r>
          </w:p>
        </w:tc>
        <w:tc>
          <w:tcPr>
            <w:tcW w:w="2551" w:type="dxa"/>
            <w:vAlign w:val="center"/>
          </w:tcPr>
          <w:p>
            <w:pPr>
              <w:pStyle w:val="10"/>
            </w:pPr>
            <w:r>
              <w:t>作用明显</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2835" w:type="dxa"/>
            <w:vAlign w:val="center"/>
          </w:tcPr>
          <w:p>
            <w:pPr>
              <w:pStyle w:val="10"/>
            </w:pPr>
            <w:r>
              <w:t>服务对象满意度指标</w:t>
            </w:r>
          </w:p>
        </w:tc>
        <w:tc>
          <w:tcPr>
            <w:tcW w:w="2551" w:type="dxa"/>
            <w:vAlign w:val="center"/>
          </w:tcPr>
          <w:p>
            <w:pPr>
              <w:pStyle w:val="10"/>
            </w:pPr>
            <w:r>
              <w:t>≥95%</w:t>
            </w:r>
          </w:p>
        </w:tc>
        <w:tc>
          <w:tcPr>
            <w:tcW w:w="2268" w:type="dxa"/>
            <w:vAlign w:val="center"/>
          </w:tcPr>
          <w:p>
            <w:pPr>
              <w:pStyle w:val="10"/>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3、旅游文化体育发展专项资金（含游客中心运营费、冰雪运动项目资金）绩效目标表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1.通过安排游客中心运营费，保证游客中心工作正常运转，更好地发挥游客中心的服务功能，提升新区旅游整体形象。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举办较有影响力的旅游文体活动</w:t>
            </w:r>
          </w:p>
        </w:tc>
        <w:tc>
          <w:tcPr>
            <w:tcW w:w="2835" w:type="dxa"/>
            <w:vAlign w:val="center"/>
          </w:tcPr>
          <w:p>
            <w:pPr>
              <w:pStyle w:val="10"/>
            </w:pPr>
            <w:r>
              <w:t>全民健身，帆船帆板水上运动、冰雪运动会等</w:t>
            </w:r>
          </w:p>
        </w:tc>
        <w:tc>
          <w:tcPr>
            <w:tcW w:w="2551" w:type="dxa"/>
            <w:vAlign w:val="center"/>
          </w:tcPr>
          <w:p>
            <w:pPr>
              <w:pStyle w:val="10"/>
            </w:pPr>
            <w:r>
              <w:t>≥3次</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游客中心正常运行合格率</w:t>
            </w:r>
          </w:p>
        </w:tc>
        <w:tc>
          <w:tcPr>
            <w:tcW w:w="2835" w:type="dxa"/>
            <w:vAlign w:val="center"/>
          </w:tcPr>
          <w:p>
            <w:pPr>
              <w:pStyle w:val="10"/>
            </w:pPr>
            <w:r>
              <w:t>更好发挥游客中心的功能</w:t>
            </w:r>
          </w:p>
        </w:tc>
        <w:tc>
          <w:tcPr>
            <w:tcW w:w="2551" w:type="dxa"/>
            <w:vAlign w:val="center"/>
          </w:tcPr>
          <w:p>
            <w:pPr>
              <w:pStyle w:val="10"/>
            </w:pPr>
            <w:r>
              <w:t>≥95%</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各个项目按时完成</w:t>
            </w:r>
          </w:p>
        </w:tc>
        <w:tc>
          <w:tcPr>
            <w:tcW w:w="2835" w:type="dxa"/>
            <w:vAlign w:val="center"/>
          </w:tcPr>
          <w:p>
            <w:pPr>
              <w:pStyle w:val="10"/>
            </w:pPr>
            <w:r>
              <w:t>项目按时完成</w:t>
            </w:r>
          </w:p>
        </w:tc>
        <w:tc>
          <w:tcPr>
            <w:tcW w:w="2551" w:type="dxa"/>
            <w:vAlign w:val="center"/>
          </w:tcPr>
          <w:p>
            <w:pPr>
              <w:pStyle w:val="10"/>
            </w:pPr>
            <w:r>
              <w:t>2022年</w:t>
            </w:r>
          </w:p>
        </w:tc>
        <w:tc>
          <w:tcPr>
            <w:tcW w:w="2268" w:type="dxa"/>
            <w:vAlign w:val="center"/>
          </w:tcPr>
          <w:p>
            <w:pPr>
              <w:pStyle w:val="10"/>
            </w:pPr>
            <w:r>
              <w:t>部门职责及工作计划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项目预算控制数</w:t>
            </w:r>
          </w:p>
        </w:tc>
        <w:tc>
          <w:tcPr>
            <w:tcW w:w="2835" w:type="dxa"/>
            <w:vAlign w:val="center"/>
          </w:tcPr>
          <w:p>
            <w:pPr>
              <w:pStyle w:val="10"/>
            </w:pPr>
            <w:r>
              <w:t>实际支出金额小于等于预算控制数</w:t>
            </w:r>
          </w:p>
        </w:tc>
        <w:tc>
          <w:tcPr>
            <w:tcW w:w="2551" w:type="dxa"/>
            <w:vAlign w:val="center"/>
          </w:tcPr>
          <w:p>
            <w:pPr>
              <w:pStyle w:val="10"/>
            </w:pPr>
            <w:r>
              <w:t>≤200万元</w:t>
            </w:r>
          </w:p>
        </w:tc>
        <w:tc>
          <w:tcPr>
            <w:tcW w:w="2268" w:type="dxa"/>
            <w:vAlign w:val="center"/>
          </w:tcPr>
          <w:p>
            <w:pPr>
              <w:pStyle w:val="10"/>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资金的使用效率</w:t>
            </w:r>
          </w:p>
        </w:tc>
        <w:tc>
          <w:tcPr>
            <w:tcW w:w="2835" w:type="dxa"/>
            <w:vAlign w:val="center"/>
          </w:tcPr>
          <w:p>
            <w:pPr>
              <w:pStyle w:val="10"/>
            </w:pPr>
            <w:r>
              <w:t>项目的实施有助于提高新区旅游收益</w:t>
            </w:r>
          </w:p>
        </w:tc>
        <w:tc>
          <w:tcPr>
            <w:tcW w:w="2551" w:type="dxa"/>
            <w:vAlign w:val="center"/>
          </w:tcPr>
          <w:p>
            <w:pPr>
              <w:pStyle w:val="10"/>
            </w:pPr>
            <w:r>
              <w:t>旅游收入大于历史数据</w:t>
            </w:r>
          </w:p>
        </w:tc>
        <w:tc>
          <w:tcPr>
            <w:tcW w:w="2268" w:type="dxa"/>
            <w:vAlign w:val="center"/>
          </w:tcPr>
          <w:p>
            <w:pPr>
              <w:pStyle w:val="10"/>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吸引观众、游客数</w:t>
            </w:r>
          </w:p>
        </w:tc>
        <w:tc>
          <w:tcPr>
            <w:tcW w:w="2835" w:type="dxa"/>
            <w:vAlign w:val="center"/>
          </w:tcPr>
          <w:p>
            <w:pPr>
              <w:pStyle w:val="10"/>
            </w:pPr>
            <w:r>
              <w:t>项目的有效实施，对宣传新区旅游文化体育，扩大新区知名度和影响力</w:t>
            </w:r>
          </w:p>
        </w:tc>
        <w:tc>
          <w:tcPr>
            <w:tcW w:w="2551" w:type="dxa"/>
            <w:vAlign w:val="center"/>
          </w:tcPr>
          <w:p>
            <w:pPr>
              <w:pStyle w:val="10"/>
            </w:pPr>
            <w:r>
              <w:t>效果显著</w:t>
            </w:r>
          </w:p>
        </w:tc>
        <w:tc>
          <w:tcPr>
            <w:tcW w:w="2268" w:type="dxa"/>
            <w:vAlign w:val="center"/>
          </w:tcPr>
          <w:p>
            <w:pPr>
              <w:pStyle w:val="10"/>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可持续影响指标</w:t>
            </w:r>
          </w:p>
        </w:tc>
        <w:tc>
          <w:tcPr>
            <w:tcW w:w="2835" w:type="dxa"/>
            <w:vAlign w:val="center"/>
          </w:tcPr>
          <w:p>
            <w:pPr>
              <w:pStyle w:val="10"/>
            </w:pPr>
            <w:r>
              <w:t>以各种形式经媒体公开发表的新闻</w:t>
            </w:r>
          </w:p>
        </w:tc>
        <w:tc>
          <w:tcPr>
            <w:tcW w:w="2835" w:type="dxa"/>
            <w:vAlign w:val="center"/>
          </w:tcPr>
          <w:p>
            <w:pPr>
              <w:pStyle w:val="10"/>
            </w:pPr>
            <w:r>
              <w:t>以各种形式经媒体公开发表的新闻报导总数</w:t>
            </w:r>
          </w:p>
        </w:tc>
        <w:tc>
          <w:tcPr>
            <w:tcW w:w="2551" w:type="dxa"/>
            <w:vAlign w:val="center"/>
          </w:tcPr>
          <w:p>
            <w:pPr>
              <w:pStyle w:val="10"/>
            </w:pPr>
            <w:r>
              <w:t>≥10篇</w:t>
            </w:r>
          </w:p>
        </w:tc>
        <w:tc>
          <w:tcPr>
            <w:tcW w:w="2268" w:type="dxa"/>
            <w:vAlign w:val="center"/>
          </w:tcPr>
          <w:p>
            <w:pPr>
              <w:pStyle w:val="10"/>
            </w:pPr>
            <w:r>
              <w:t>发文数量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反映旅游游客的满意度</w:t>
            </w:r>
          </w:p>
        </w:tc>
        <w:tc>
          <w:tcPr>
            <w:tcW w:w="2835" w:type="dxa"/>
            <w:vAlign w:val="center"/>
          </w:tcPr>
          <w:p>
            <w:pPr>
              <w:pStyle w:val="10"/>
            </w:pPr>
            <w:r>
              <w:t>通过抽查问卷的方式，满意和较满意对象占全部调研对象的比例</w:t>
            </w:r>
          </w:p>
        </w:tc>
        <w:tc>
          <w:tcPr>
            <w:tcW w:w="2551" w:type="dxa"/>
            <w:vAlign w:val="center"/>
          </w:tcPr>
          <w:p>
            <w:pPr>
              <w:pStyle w:val="10"/>
            </w:pPr>
            <w:r>
              <w:t>≥95%</w:t>
            </w:r>
          </w:p>
        </w:tc>
        <w:tc>
          <w:tcPr>
            <w:tcW w:w="2268" w:type="dxa"/>
            <w:vAlign w:val="center"/>
          </w:tcPr>
          <w:p>
            <w:pPr>
              <w:pStyle w:val="10"/>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2022年，秦皇岛北戴河新区旅游发展局本级安排政府采购预算194.00万元。具体内容见下表。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334001秦皇岛北戴河新区旅游发展局本级</w:t>
            </w:r>
          </w:p>
        </w:tc>
        <w:tc>
          <w:tcPr>
            <w:tcW w:w="8674" w:type="dxa"/>
            <w:gridSpan w:val="9"/>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194.00</w:t>
            </w:r>
          </w:p>
        </w:tc>
        <w:tc>
          <w:tcPr>
            <w:tcW w:w="964" w:type="dxa"/>
            <w:vAlign w:val="center"/>
          </w:tcPr>
          <w:p>
            <w:pPr>
              <w:pStyle w:val="13"/>
            </w:pPr>
            <w:r>
              <w:t>194.00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秦皇岛北戴河新区旅游发展局本级小计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194.00</w:t>
            </w:r>
          </w:p>
        </w:tc>
        <w:tc>
          <w:tcPr>
            <w:tcW w:w="964" w:type="dxa"/>
            <w:vAlign w:val="center"/>
          </w:tcPr>
          <w:p>
            <w:pPr>
              <w:pStyle w:val="13"/>
            </w:pPr>
            <w:r>
              <w:t>194.00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旅游文化体育发展专项资金（含游客中心运营费、冰雪运动项目资金）</w:t>
            </w:r>
          </w:p>
        </w:tc>
        <w:tc>
          <w:tcPr>
            <w:tcW w:w="964" w:type="dxa"/>
            <w:vAlign w:val="center"/>
          </w:tcPr>
          <w:p>
            <w:pPr>
              <w:pStyle w:val="11"/>
            </w:pPr>
            <w:r>
              <w:t>200.00</w:t>
            </w:r>
          </w:p>
        </w:tc>
        <w:tc>
          <w:tcPr>
            <w:tcW w:w="1134" w:type="dxa"/>
            <w:vAlign w:val="center"/>
          </w:tcPr>
          <w:p>
            <w:pPr>
              <w:pStyle w:val="10"/>
            </w:pPr>
            <w:r>
              <w:t>广播系统工程</w:t>
            </w:r>
          </w:p>
        </w:tc>
        <w:tc>
          <w:tcPr>
            <w:tcW w:w="1134" w:type="dxa"/>
            <w:vAlign w:val="center"/>
          </w:tcPr>
          <w:p>
            <w:pPr>
              <w:pStyle w:val="10"/>
            </w:pPr>
            <w:r>
              <w:t>B060207</w:t>
            </w:r>
          </w:p>
        </w:tc>
        <w:tc>
          <w:tcPr>
            <w:tcW w:w="709" w:type="dxa"/>
            <w:vAlign w:val="center"/>
          </w:tcPr>
          <w:p>
            <w:pPr>
              <w:pStyle w:val="9"/>
            </w:pPr>
            <w:r>
              <w:t>套</w:t>
            </w:r>
          </w:p>
        </w:tc>
        <w:tc>
          <w:tcPr>
            <w:tcW w:w="850" w:type="dxa"/>
            <w:vAlign w:val="center"/>
          </w:tcPr>
          <w:p>
            <w:pPr>
              <w:pStyle w:val="11"/>
            </w:pPr>
            <w:r>
              <w:t>1</w:t>
            </w:r>
          </w:p>
        </w:tc>
        <w:tc>
          <w:tcPr>
            <w:tcW w:w="850" w:type="dxa"/>
            <w:vAlign w:val="center"/>
          </w:tcPr>
          <w:p>
            <w:pPr>
              <w:pStyle w:val="11"/>
            </w:pPr>
            <w:r>
              <w:t>45.00</w:t>
            </w:r>
          </w:p>
        </w:tc>
        <w:tc>
          <w:tcPr>
            <w:tcW w:w="964" w:type="dxa"/>
            <w:vAlign w:val="center"/>
          </w:tcPr>
          <w:p>
            <w:pPr>
              <w:pStyle w:val="11"/>
            </w:pPr>
            <w:r>
              <w:t>45.00</w:t>
            </w:r>
          </w:p>
        </w:tc>
        <w:tc>
          <w:tcPr>
            <w:tcW w:w="964" w:type="dxa"/>
            <w:vAlign w:val="center"/>
          </w:tcPr>
          <w:p>
            <w:pPr>
              <w:pStyle w:val="11"/>
            </w:pPr>
            <w:r>
              <w:t>45.00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旅游文化体育发展专项资金（含游客中心运营费、冰雪运动项目资金）</w:t>
            </w:r>
          </w:p>
        </w:tc>
        <w:tc>
          <w:tcPr>
            <w:tcW w:w="964" w:type="dxa"/>
            <w:vAlign w:val="center"/>
          </w:tcPr>
          <w:p>
            <w:pPr>
              <w:pStyle w:val="11"/>
            </w:pPr>
            <w:r>
              <w:t>200.00</w:t>
            </w:r>
          </w:p>
        </w:tc>
        <w:tc>
          <w:tcPr>
            <w:tcW w:w="1134" w:type="dxa"/>
            <w:vAlign w:val="center"/>
          </w:tcPr>
          <w:p>
            <w:pPr>
              <w:pStyle w:val="10"/>
            </w:pPr>
            <w:r>
              <w:t>广播系统工程</w:t>
            </w:r>
          </w:p>
        </w:tc>
        <w:tc>
          <w:tcPr>
            <w:tcW w:w="1134" w:type="dxa"/>
            <w:vAlign w:val="center"/>
          </w:tcPr>
          <w:p>
            <w:pPr>
              <w:pStyle w:val="10"/>
            </w:pPr>
            <w:r>
              <w:t>B060207</w:t>
            </w:r>
          </w:p>
        </w:tc>
        <w:tc>
          <w:tcPr>
            <w:tcW w:w="709" w:type="dxa"/>
            <w:vAlign w:val="center"/>
          </w:tcPr>
          <w:p>
            <w:pPr>
              <w:pStyle w:val="9"/>
            </w:pPr>
            <w:r>
              <w:t>套</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旅游文化体育发展专项资金（含游客中心运营费、冰雪运动项目资金）</w:t>
            </w:r>
          </w:p>
        </w:tc>
        <w:tc>
          <w:tcPr>
            <w:tcW w:w="964" w:type="dxa"/>
            <w:vAlign w:val="center"/>
          </w:tcPr>
          <w:p>
            <w:pPr>
              <w:pStyle w:val="11"/>
            </w:pPr>
            <w:r>
              <w:t>200.00</w:t>
            </w:r>
          </w:p>
        </w:tc>
        <w:tc>
          <w:tcPr>
            <w:tcW w:w="1134" w:type="dxa"/>
            <w:vAlign w:val="center"/>
          </w:tcPr>
          <w:p>
            <w:pPr>
              <w:pStyle w:val="10"/>
            </w:pPr>
            <w:r>
              <w:t>广播系统工程</w:t>
            </w:r>
          </w:p>
        </w:tc>
        <w:tc>
          <w:tcPr>
            <w:tcW w:w="1134" w:type="dxa"/>
            <w:vAlign w:val="center"/>
          </w:tcPr>
          <w:p>
            <w:pPr>
              <w:pStyle w:val="10"/>
            </w:pPr>
            <w:r>
              <w:t>B060207</w:t>
            </w:r>
          </w:p>
        </w:tc>
        <w:tc>
          <w:tcPr>
            <w:tcW w:w="709" w:type="dxa"/>
            <w:vAlign w:val="center"/>
          </w:tcPr>
          <w:p>
            <w:pPr>
              <w:pStyle w:val="9"/>
            </w:pPr>
            <w:r>
              <w:t>套</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旅游文化体育发展专项资金（含游客中心运营费、冰雪运动项目资金）</w:t>
            </w:r>
          </w:p>
        </w:tc>
        <w:tc>
          <w:tcPr>
            <w:tcW w:w="964" w:type="dxa"/>
            <w:vAlign w:val="center"/>
          </w:tcPr>
          <w:p>
            <w:pPr>
              <w:pStyle w:val="11"/>
            </w:pPr>
            <w:r>
              <w:t>200.00</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9"/>
            </w:pPr>
            <w:r>
              <w:t>部</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CellMar>
            <w:top w:w="0" w:type="dxa"/>
            <w:left w:w="108" w:type="dxa"/>
            <w:bottom w:w="0" w:type="dxa"/>
            <w:right w:w="108" w:type="dxa"/>
          </w:tblCellMar>
        </w:tblPrEx>
        <w:trPr>
          <w:cantSplit/>
          <w:jc w:val="center"/>
        </w:trPr>
        <w:tc>
          <w:tcPr>
            <w:tcW w:w="1701" w:type="dxa"/>
            <w:vAlign w:val="center"/>
          </w:tcPr>
          <w:p>
            <w:pPr>
              <w:pStyle w:val="10"/>
            </w:pPr>
            <w:r>
              <w:t>旅游文化体育发展专项资金（含游客中心运营费、冰雪运动项目资金）</w:t>
            </w:r>
          </w:p>
        </w:tc>
        <w:tc>
          <w:tcPr>
            <w:tcW w:w="964" w:type="dxa"/>
            <w:vAlign w:val="center"/>
          </w:tcPr>
          <w:p>
            <w:pPr>
              <w:pStyle w:val="11"/>
            </w:pPr>
            <w:r>
              <w:t>200.00</w:t>
            </w:r>
          </w:p>
        </w:tc>
        <w:tc>
          <w:tcPr>
            <w:tcW w:w="1134" w:type="dxa"/>
            <w:vAlign w:val="center"/>
          </w:tcPr>
          <w:p>
            <w:pPr>
              <w:pStyle w:val="10"/>
            </w:pPr>
            <w:r>
              <w:t>其他服务</w:t>
            </w:r>
          </w:p>
        </w:tc>
        <w:tc>
          <w:tcPr>
            <w:tcW w:w="1134" w:type="dxa"/>
            <w:vAlign w:val="center"/>
          </w:tcPr>
          <w:p>
            <w:pPr>
              <w:pStyle w:val="10"/>
            </w:pPr>
            <w:r>
              <w:t>C99</w:t>
            </w:r>
          </w:p>
        </w:tc>
        <w:tc>
          <w:tcPr>
            <w:tcW w:w="709" w:type="dxa"/>
            <w:vAlign w:val="center"/>
          </w:tcPr>
          <w:p>
            <w:pPr>
              <w:pStyle w:val="9"/>
            </w:pPr>
            <w:r>
              <w:t>部</w:t>
            </w:r>
          </w:p>
        </w:tc>
        <w:tc>
          <w:tcPr>
            <w:tcW w:w="850" w:type="dxa"/>
            <w:vAlign w:val="center"/>
          </w:tcPr>
          <w:p>
            <w:pPr>
              <w:pStyle w:val="11"/>
            </w:pPr>
            <w:r>
              <w:t>1</w:t>
            </w:r>
          </w:p>
        </w:tc>
        <w:tc>
          <w:tcPr>
            <w:tcW w:w="850" w:type="dxa"/>
            <w:vAlign w:val="center"/>
          </w:tcPr>
          <w:p>
            <w:pPr>
              <w:pStyle w:val="11"/>
            </w:pPr>
            <w:r>
              <w:t>59.00</w:t>
            </w:r>
          </w:p>
        </w:tc>
        <w:tc>
          <w:tcPr>
            <w:tcW w:w="964" w:type="dxa"/>
            <w:vAlign w:val="center"/>
          </w:tcPr>
          <w:p>
            <w:pPr>
              <w:pStyle w:val="11"/>
            </w:pPr>
            <w:r>
              <w:t>59.00</w:t>
            </w:r>
          </w:p>
        </w:tc>
        <w:tc>
          <w:tcPr>
            <w:tcW w:w="964" w:type="dxa"/>
            <w:vAlign w:val="center"/>
          </w:tcPr>
          <w:p>
            <w:pPr>
              <w:pStyle w:val="11"/>
            </w:pPr>
            <w:r>
              <w:t>59.00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color w:val="000000" w:themeColor="text1"/>
          <w:highlight w:val="none"/>
          <w14:textFill>
            <w14:solidFill>
              <w14:schemeClr w14:val="tx1"/>
            </w14:solidFill>
          </w14:textFill>
        </w:rPr>
      </w:pPr>
      <w:r>
        <w:rPr>
          <w:rFonts w:ascii="黑体" w:hAnsi="黑体" w:eastAsia="黑体" w:cs="黑体"/>
          <w:color w:val="000000" w:themeColor="text1"/>
          <w:sz w:val="32"/>
          <w:highlight w:val="none"/>
          <w14:textFill>
            <w14:solidFill>
              <w14:schemeClr w14:val="tx1"/>
            </w14:solidFill>
          </w14:textFill>
        </w:rPr>
        <w:t>七、国有资产信息</w:t>
      </w:r>
    </w:p>
    <w:p>
      <w:pPr>
        <w:spacing w:before="0" w:after="0" w:line="500" w:lineRule="exact"/>
        <w:ind w:firstLine="560"/>
        <w:jc w:val="left"/>
        <w:outlineLvl w:val="9"/>
        <w:rPr>
          <w:color w:val="000000" w:themeColor="text1"/>
          <w:highlight w:val="none"/>
          <w14:textFill>
            <w14:solidFill>
              <w14:schemeClr w14:val="tx1"/>
            </w14:solidFill>
          </w14:textFill>
        </w:rPr>
      </w:pPr>
      <w:r>
        <w:rPr>
          <w:rFonts w:ascii="Times New Roman" w:hAnsi="Times New Roman" w:eastAsia="方正仿宋_GBK" w:cs="Times New Roman"/>
          <w:b w:val="0"/>
          <w:color w:val="000000" w:themeColor="text1"/>
          <w:sz w:val="28"/>
          <w:highlight w:val="none"/>
          <w14:textFill>
            <w14:solidFill>
              <w14:schemeClr w14:val="tx1"/>
            </w14:solidFill>
          </w14:textFill>
        </w:rPr>
        <w:t>秦皇岛北戴河新区旅游发展局本级上年末固定资产金额为</w:t>
      </w:r>
      <w:r>
        <w:rPr>
          <w:rFonts w:hint="eastAsia" w:eastAsia="方正仿宋_GBK" w:cs="Times New Roman"/>
          <w:b w:val="0"/>
          <w:color w:val="000000" w:themeColor="text1"/>
          <w:sz w:val="28"/>
          <w:highlight w:val="none"/>
          <w:lang w:val="en-US" w:eastAsia="zh-CN"/>
          <w14:textFill>
            <w14:solidFill>
              <w14:schemeClr w14:val="tx1"/>
            </w14:solidFill>
          </w14:textFill>
        </w:rPr>
        <w:t>232.35938</w:t>
      </w:r>
      <w:r>
        <w:rPr>
          <w:rFonts w:ascii="Times New Roman" w:hAnsi="Times New Roman" w:eastAsia="方正仿宋_GBK" w:cs="Times New Roman"/>
          <w:b w:val="0"/>
          <w:color w:val="000000" w:themeColor="text1"/>
          <w:sz w:val="28"/>
          <w:highlight w:val="none"/>
          <w14:textFill>
            <w14:solidFill>
              <w14:schemeClr w14:val="tx1"/>
            </w14:solidFill>
          </w14:textFill>
        </w:rPr>
        <w:t>万元（详见下表）。</w:t>
      </w:r>
      <w:bookmarkStart w:id="1" w:name="_GoBack"/>
      <w:bookmarkEnd w:id="1"/>
    </w:p>
    <w:p>
      <w:pPr>
        <w:spacing w:before="0" w:after="0" w:line="240" w:lineRule="auto"/>
        <w:ind w:firstLine="0"/>
        <w:jc w:val="center"/>
        <w:outlineLvl w:val="9"/>
        <w:rPr>
          <w:color w:val="000000" w:themeColor="text1"/>
          <w14:textFill>
            <w14:solidFill>
              <w14:schemeClr w14:val="tx1"/>
            </w14:solidFill>
          </w14:textFill>
        </w:rPr>
      </w:pPr>
      <w:r>
        <w:rPr>
          <w:rFonts w:ascii="方正小标宋_GBK" w:hAnsi="方正小标宋_GBK" w:eastAsia="方正小标宋_GBK" w:cs="方正小标宋_GBK"/>
          <w:color w:val="000000" w:themeColor="text1"/>
          <w:sz w:val="36"/>
          <w14:textFill>
            <w14:solidFill>
              <w14:schemeClr w14:val="tx1"/>
            </w14:solidFill>
          </w14:textFill>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5"/>
              <w:rPr>
                <w:color w:val="000000" w:themeColor="text1"/>
                <w14:textFill>
                  <w14:solidFill>
                    <w14:schemeClr w14:val="tx1"/>
                  </w14:solidFill>
                </w14:textFill>
              </w:rPr>
            </w:pPr>
            <w:r>
              <w:rPr>
                <w:color w:val="000000" w:themeColor="text1"/>
                <w14:textFill>
                  <w14:solidFill>
                    <w14:schemeClr w14:val="tx1"/>
                  </w14:solidFill>
                </w14:textFill>
              </w:rPr>
              <w:t>334001秦皇岛北戴河新区旅游发展局本级</w:t>
            </w:r>
          </w:p>
        </w:tc>
        <w:tc>
          <w:tcPr>
            <w:tcW w:w="9866" w:type="dxa"/>
            <w:gridSpan w:val="2"/>
            <w:tcBorders>
              <w:top w:val="single" w:color="FFFFFF" w:sz="6" w:space="0"/>
              <w:left w:val="single" w:color="FFFFFF" w:sz="6" w:space="0"/>
              <w:right w:val="single" w:color="FFFFFF" w:sz="6"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8"/>
              <w:rPr>
                <w:color w:val="000000" w:themeColor="text1"/>
                <w14:textFill>
                  <w14:solidFill>
                    <w14:schemeClr w14:val="tx1"/>
                  </w14:solidFill>
                </w14:textFill>
              </w:rPr>
            </w:pPr>
            <w:r>
              <w:rPr>
                <w:color w:val="000000" w:themeColor="text1"/>
                <w14:textFill>
                  <w14:solidFill>
                    <w14:schemeClr w14:val="tx1"/>
                  </w14:solidFill>
                </w14:textFill>
              </w:rPr>
              <w:t>项   目</w:t>
            </w:r>
          </w:p>
        </w:tc>
        <w:tc>
          <w:tcPr>
            <w:tcW w:w="4933" w:type="dxa"/>
            <w:vAlign w:val="center"/>
          </w:tcPr>
          <w:p>
            <w:pPr>
              <w:pStyle w:val="8"/>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4933" w:type="dxa"/>
            <w:vAlign w:val="center"/>
          </w:tcPr>
          <w:p>
            <w:pPr>
              <w:pStyle w:val="8"/>
              <w:rPr>
                <w:color w:val="000000" w:themeColor="text1"/>
                <w14:textFill>
                  <w14:solidFill>
                    <w14:schemeClr w14:val="tx1"/>
                  </w14:solidFill>
                </w14:textFill>
              </w:rPr>
            </w:pPr>
            <w:r>
              <w:rPr>
                <w:color w:val="000000" w:themeColor="text1"/>
                <w14:textFill>
                  <w14:solidFill>
                    <w14:schemeClr w14:val="tx1"/>
                  </w14:solidFill>
                </w14:textFill>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土地、房屋及构筑物</w:t>
            </w:r>
            <w:r>
              <w:rPr>
                <w:rFonts w:hint="eastAsia"/>
              </w:rPr>
              <w:tab/>
            </w:r>
            <w:r>
              <w:rPr>
                <w:rFonts w:hint="eastAsia"/>
              </w:rPr>
              <w:tab/>
            </w:r>
          </w:p>
        </w:tc>
        <w:tc>
          <w:tcPr>
            <w:tcW w:w="4933" w:type="dxa"/>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通用设备</w:t>
            </w:r>
          </w:p>
        </w:tc>
        <w:tc>
          <w:tcPr>
            <w:tcW w:w="0" w:type="auto"/>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108.70338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专用设备</w:t>
            </w:r>
          </w:p>
        </w:tc>
        <w:tc>
          <w:tcPr>
            <w:tcW w:w="0" w:type="auto"/>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文物和陈列品</w:t>
            </w:r>
          </w:p>
        </w:tc>
        <w:tc>
          <w:tcPr>
            <w:tcW w:w="0" w:type="auto"/>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图书、档案</w:t>
            </w:r>
          </w:p>
        </w:tc>
        <w:tc>
          <w:tcPr>
            <w:tcW w:w="0" w:type="auto"/>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家具、用具、装具及动植物</w:t>
            </w:r>
          </w:p>
        </w:tc>
        <w:tc>
          <w:tcPr>
            <w:tcW w:w="0" w:type="auto"/>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0"/>
              <w:ind w:firstLine="0" w:firstLineChars="0"/>
              <w:rPr>
                <w:rFonts w:ascii="方正书宋_GBK" w:hAnsi="方正书宋_GBK" w:eastAsia="方正书宋_GBK" w:cs="方正书宋_GBK"/>
                <w:sz w:val="21"/>
                <w:szCs w:val="24"/>
                <w:lang w:val="en-US" w:eastAsia="uk-UA" w:bidi="ar-SA"/>
              </w:rPr>
            </w:pPr>
            <w:r>
              <w:rPr>
                <w:rFonts w:hint="eastAsia"/>
              </w:rPr>
              <w:t>无形资产</w:t>
            </w:r>
          </w:p>
        </w:tc>
        <w:tc>
          <w:tcPr>
            <w:tcW w:w="0" w:type="auto"/>
            <w:vAlign w:val="center"/>
          </w:tcPr>
          <w:p>
            <w:pPr>
              <w:pStyle w:val="9"/>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F6414"/>
    <w:multiLevelType w:val="singleLevel"/>
    <w:tmpl w:val="A33F64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F1EFD"/>
    <w:rsid w:val="281F1EFD"/>
    <w:rsid w:val="6C53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2023-08-01T08:51:00Z</dcterms:created>
  <dc:creator>XQZW</dc:creator>
  <cp:lastModifiedBy>Alexa</cp:lastModifiedBy>
  <dcterms:modified xsi:type="dcterms:W3CDTF">2023-08-17T12:27:15Z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