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289.58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265.54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289.58</w:t>
            </w:r>
          </w:p>
        </w:tc>
        <w:tc>
          <w:tcPr>
            <w:tcW w:w="4535" w:type="dxa"/>
            <w:vAlign w:val="center"/>
          </w:tcPr>
          <w:p>
            <w:pPr>
              <w:pStyle w:val="16"/>
            </w:pPr>
            <w:r>
              <w:t>本年支出合计</w:t>
            </w:r>
          </w:p>
        </w:tc>
        <w:tc>
          <w:tcPr>
            <w:tcW w:w="2126" w:type="dxa"/>
            <w:vAlign w:val="center"/>
          </w:tcPr>
          <w:p>
            <w:pPr>
              <w:pStyle w:val="17"/>
            </w:pPr>
            <w:r>
              <w:t>289.58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289.58</w:t>
            </w:r>
          </w:p>
        </w:tc>
        <w:tc>
          <w:tcPr>
            <w:tcW w:w="4535" w:type="dxa"/>
            <w:vAlign w:val="center"/>
          </w:tcPr>
          <w:p>
            <w:pPr>
              <w:pStyle w:val="16"/>
            </w:pPr>
            <w:r>
              <w:t>支出总计</w:t>
            </w:r>
          </w:p>
        </w:tc>
        <w:tc>
          <w:tcPr>
            <w:tcW w:w="2126" w:type="dxa"/>
            <w:vAlign w:val="center"/>
          </w:tcPr>
          <w:p>
            <w:pPr>
              <w:pStyle w:val="17"/>
            </w:pPr>
            <w:r>
              <w:t>289.58</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901北戴河生命健康产业研究院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289.58</w:t>
            </w:r>
          </w:p>
        </w:tc>
        <w:tc>
          <w:tcPr>
            <w:tcW w:w="1134" w:type="dxa"/>
            <w:vAlign w:val="center"/>
          </w:tcPr>
          <w:p>
            <w:pPr>
              <w:pStyle w:val="17"/>
            </w:pPr>
            <w:r>
              <w:t>289.58</w:t>
            </w:r>
          </w:p>
        </w:tc>
        <w:tc>
          <w:tcPr>
            <w:tcW w:w="1134" w:type="dxa"/>
            <w:vAlign w:val="center"/>
          </w:tcPr>
          <w:p>
            <w:pPr>
              <w:pStyle w:val="17"/>
            </w:pPr>
            <w:r>
              <w:t>289.58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265.54</w:t>
            </w:r>
          </w:p>
        </w:tc>
        <w:tc>
          <w:tcPr>
            <w:tcW w:w="1134" w:type="dxa"/>
            <w:vAlign w:val="center"/>
          </w:tcPr>
          <w:p>
            <w:pPr>
              <w:pStyle w:val="13"/>
            </w:pPr>
            <w:r>
              <w:t>265.54</w:t>
            </w:r>
          </w:p>
        </w:tc>
        <w:tc>
          <w:tcPr>
            <w:tcW w:w="1134" w:type="dxa"/>
            <w:vAlign w:val="center"/>
          </w:tcPr>
          <w:p>
            <w:pPr>
              <w:pStyle w:val="13"/>
            </w:pPr>
            <w:r>
              <w:t>265.54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255.54</w:t>
            </w:r>
          </w:p>
        </w:tc>
        <w:tc>
          <w:tcPr>
            <w:tcW w:w="1134" w:type="dxa"/>
            <w:vAlign w:val="center"/>
          </w:tcPr>
          <w:p>
            <w:pPr>
              <w:pStyle w:val="13"/>
            </w:pPr>
            <w:r>
              <w:t>255.54</w:t>
            </w:r>
          </w:p>
        </w:tc>
        <w:tc>
          <w:tcPr>
            <w:tcW w:w="1134" w:type="dxa"/>
            <w:vAlign w:val="center"/>
          </w:tcPr>
          <w:p>
            <w:pPr>
              <w:pStyle w:val="13"/>
            </w:pPr>
            <w:r>
              <w:t>255.54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2060401</w:t>
            </w:r>
          </w:p>
        </w:tc>
        <w:tc>
          <w:tcPr>
            <w:tcW w:w="1559" w:type="dxa"/>
            <w:vAlign w:val="center"/>
          </w:tcPr>
          <w:p>
            <w:pPr>
              <w:pStyle w:val="14"/>
            </w:pPr>
            <w:r>
              <w:t>机构运行</w:t>
            </w:r>
          </w:p>
        </w:tc>
        <w:tc>
          <w:tcPr>
            <w:tcW w:w="1134" w:type="dxa"/>
            <w:vAlign w:val="center"/>
          </w:tcPr>
          <w:p>
            <w:pPr>
              <w:pStyle w:val="13"/>
            </w:pPr>
            <w:r>
              <w:t>70.54</w:t>
            </w:r>
          </w:p>
        </w:tc>
        <w:tc>
          <w:tcPr>
            <w:tcW w:w="1134" w:type="dxa"/>
            <w:vAlign w:val="center"/>
          </w:tcPr>
          <w:p>
            <w:pPr>
              <w:pStyle w:val="13"/>
            </w:pPr>
            <w:r>
              <w:t>70.54</w:t>
            </w:r>
          </w:p>
        </w:tc>
        <w:tc>
          <w:tcPr>
            <w:tcW w:w="1134" w:type="dxa"/>
            <w:vAlign w:val="center"/>
          </w:tcPr>
          <w:p>
            <w:pPr>
              <w:pStyle w:val="13"/>
            </w:pPr>
            <w:r>
              <w:t>70.54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2060404</w:t>
            </w:r>
          </w:p>
        </w:tc>
        <w:tc>
          <w:tcPr>
            <w:tcW w:w="1559" w:type="dxa"/>
            <w:vAlign w:val="center"/>
          </w:tcPr>
          <w:p>
            <w:pPr>
              <w:pStyle w:val="14"/>
            </w:pPr>
            <w:r>
              <w:t>科技成果转化与扩散</w:t>
            </w:r>
          </w:p>
        </w:tc>
        <w:tc>
          <w:tcPr>
            <w:tcW w:w="1134" w:type="dxa"/>
            <w:vAlign w:val="center"/>
          </w:tcPr>
          <w:p>
            <w:pPr>
              <w:pStyle w:val="13"/>
            </w:pPr>
            <w:r>
              <w:t>185.00</w:t>
            </w:r>
          </w:p>
        </w:tc>
        <w:tc>
          <w:tcPr>
            <w:tcW w:w="1134" w:type="dxa"/>
            <w:vAlign w:val="center"/>
          </w:tcPr>
          <w:p>
            <w:pPr>
              <w:pStyle w:val="13"/>
            </w:pPr>
            <w:r>
              <w:t>185.00</w:t>
            </w:r>
          </w:p>
        </w:tc>
        <w:tc>
          <w:tcPr>
            <w:tcW w:w="1134" w:type="dxa"/>
            <w:vAlign w:val="center"/>
          </w:tcPr>
          <w:p>
            <w:pPr>
              <w:pStyle w:val="13"/>
            </w:pPr>
            <w:r>
              <w:t>185.00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20608</w:t>
            </w:r>
          </w:p>
        </w:tc>
        <w:tc>
          <w:tcPr>
            <w:tcW w:w="1559" w:type="dxa"/>
            <w:vAlign w:val="center"/>
          </w:tcPr>
          <w:p>
            <w:pPr>
              <w:pStyle w:val="14"/>
            </w:pPr>
            <w:r>
              <w:t>科技交流与合作</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2060899</w:t>
            </w:r>
          </w:p>
        </w:tc>
        <w:tc>
          <w:tcPr>
            <w:tcW w:w="1559" w:type="dxa"/>
            <w:vAlign w:val="center"/>
          </w:tcPr>
          <w:p>
            <w:pPr>
              <w:pStyle w:val="14"/>
            </w:pPr>
            <w:r>
              <w:t>其他科技交流与合作支出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9.04</w:t>
            </w:r>
          </w:p>
        </w:tc>
        <w:tc>
          <w:tcPr>
            <w:tcW w:w="1134" w:type="dxa"/>
            <w:vAlign w:val="center"/>
          </w:tcPr>
          <w:p>
            <w:pPr>
              <w:pStyle w:val="13"/>
            </w:pPr>
            <w:r>
              <w:t>9.04</w:t>
            </w:r>
          </w:p>
        </w:tc>
        <w:tc>
          <w:tcPr>
            <w:tcW w:w="1134" w:type="dxa"/>
            <w:vAlign w:val="center"/>
          </w:tcPr>
          <w:p>
            <w:pPr>
              <w:pStyle w:val="13"/>
            </w:pPr>
            <w:r>
              <w:t>9.04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9.04</w:t>
            </w:r>
          </w:p>
        </w:tc>
        <w:tc>
          <w:tcPr>
            <w:tcW w:w="1134" w:type="dxa"/>
            <w:vAlign w:val="center"/>
          </w:tcPr>
          <w:p>
            <w:pPr>
              <w:pStyle w:val="13"/>
            </w:pPr>
            <w:r>
              <w:t>9.04</w:t>
            </w:r>
          </w:p>
        </w:tc>
        <w:tc>
          <w:tcPr>
            <w:tcW w:w="1134" w:type="dxa"/>
            <w:vAlign w:val="center"/>
          </w:tcPr>
          <w:p>
            <w:pPr>
              <w:pStyle w:val="13"/>
            </w:pPr>
            <w:r>
              <w:t>9.04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9.04</w:t>
            </w:r>
          </w:p>
        </w:tc>
        <w:tc>
          <w:tcPr>
            <w:tcW w:w="1134" w:type="dxa"/>
            <w:vAlign w:val="center"/>
          </w:tcPr>
          <w:p>
            <w:pPr>
              <w:pStyle w:val="13"/>
            </w:pPr>
            <w:r>
              <w:t>9.04</w:t>
            </w:r>
          </w:p>
        </w:tc>
        <w:tc>
          <w:tcPr>
            <w:tcW w:w="1134" w:type="dxa"/>
            <w:vAlign w:val="center"/>
          </w:tcPr>
          <w:p>
            <w:pPr>
              <w:pStyle w:val="13"/>
            </w:pPr>
            <w:r>
              <w:t>9.04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7.94</w:t>
            </w:r>
          </w:p>
        </w:tc>
        <w:tc>
          <w:tcPr>
            <w:tcW w:w="1134" w:type="dxa"/>
            <w:vAlign w:val="center"/>
          </w:tcPr>
          <w:p>
            <w:pPr>
              <w:pStyle w:val="13"/>
            </w:pPr>
            <w:r>
              <w:t>7.94</w:t>
            </w:r>
          </w:p>
        </w:tc>
        <w:tc>
          <w:tcPr>
            <w:tcW w:w="1134" w:type="dxa"/>
            <w:vAlign w:val="center"/>
          </w:tcPr>
          <w:p>
            <w:pPr>
              <w:pStyle w:val="13"/>
            </w:pPr>
            <w:r>
              <w:t>7.94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7.94</w:t>
            </w:r>
          </w:p>
        </w:tc>
        <w:tc>
          <w:tcPr>
            <w:tcW w:w="1134" w:type="dxa"/>
            <w:vAlign w:val="center"/>
          </w:tcPr>
          <w:p>
            <w:pPr>
              <w:pStyle w:val="13"/>
            </w:pPr>
            <w:r>
              <w:t>7.94</w:t>
            </w:r>
          </w:p>
        </w:tc>
        <w:tc>
          <w:tcPr>
            <w:tcW w:w="1134" w:type="dxa"/>
            <w:vAlign w:val="center"/>
          </w:tcPr>
          <w:p>
            <w:pPr>
              <w:pStyle w:val="13"/>
            </w:pPr>
            <w:r>
              <w:t>7.94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7.94</w:t>
            </w:r>
          </w:p>
        </w:tc>
        <w:tc>
          <w:tcPr>
            <w:tcW w:w="1134" w:type="dxa"/>
            <w:vAlign w:val="center"/>
          </w:tcPr>
          <w:p>
            <w:pPr>
              <w:pStyle w:val="13"/>
            </w:pPr>
            <w:r>
              <w:t>7.94</w:t>
            </w:r>
          </w:p>
        </w:tc>
        <w:tc>
          <w:tcPr>
            <w:tcW w:w="1134" w:type="dxa"/>
            <w:vAlign w:val="center"/>
          </w:tcPr>
          <w:p>
            <w:pPr>
              <w:pStyle w:val="13"/>
            </w:pPr>
            <w:r>
              <w:t>7.94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7.06</w:t>
            </w:r>
          </w:p>
        </w:tc>
        <w:tc>
          <w:tcPr>
            <w:tcW w:w="1134" w:type="dxa"/>
            <w:vAlign w:val="center"/>
          </w:tcPr>
          <w:p>
            <w:pPr>
              <w:pStyle w:val="13"/>
            </w:pPr>
            <w:r>
              <w:t>7.06</w:t>
            </w:r>
          </w:p>
        </w:tc>
        <w:tc>
          <w:tcPr>
            <w:tcW w:w="1134" w:type="dxa"/>
            <w:vAlign w:val="center"/>
          </w:tcPr>
          <w:p>
            <w:pPr>
              <w:pStyle w:val="13"/>
            </w:pPr>
            <w:r>
              <w:t>7.06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7.06</w:t>
            </w:r>
          </w:p>
        </w:tc>
        <w:tc>
          <w:tcPr>
            <w:tcW w:w="1134" w:type="dxa"/>
            <w:vAlign w:val="center"/>
          </w:tcPr>
          <w:p>
            <w:pPr>
              <w:pStyle w:val="13"/>
            </w:pPr>
            <w:r>
              <w:t>7.06</w:t>
            </w:r>
          </w:p>
        </w:tc>
        <w:tc>
          <w:tcPr>
            <w:tcW w:w="1134" w:type="dxa"/>
            <w:vAlign w:val="center"/>
          </w:tcPr>
          <w:p>
            <w:pPr>
              <w:pStyle w:val="13"/>
            </w:pPr>
            <w:r>
              <w:t>7.06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7.06</w:t>
            </w:r>
          </w:p>
        </w:tc>
        <w:tc>
          <w:tcPr>
            <w:tcW w:w="1134" w:type="dxa"/>
            <w:vAlign w:val="center"/>
          </w:tcPr>
          <w:p>
            <w:pPr>
              <w:pStyle w:val="13"/>
            </w:pPr>
            <w:r>
              <w:t>7.06</w:t>
            </w:r>
          </w:p>
        </w:tc>
        <w:tc>
          <w:tcPr>
            <w:tcW w:w="1134" w:type="dxa"/>
            <w:vAlign w:val="center"/>
          </w:tcPr>
          <w:p>
            <w:pPr>
              <w:pStyle w:val="13"/>
            </w:pPr>
            <w:r>
              <w:t>7.06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289.58</w:t>
            </w:r>
          </w:p>
        </w:tc>
        <w:tc>
          <w:tcPr>
            <w:tcW w:w="1361" w:type="dxa"/>
            <w:vAlign w:val="center"/>
          </w:tcPr>
          <w:p>
            <w:pPr>
              <w:pStyle w:val="17"/>
            </w:pPr>
            <w:r>
              <w:t>94.58</w:t>
            </w:r>
          </w:p>
        </w:tc>
        <w:tc>
          <w:tcPr>
            <w:tcW w:w="1361" w:type="dxa"/>
            <w:vAlign w:val="center"/>
          </w:tcPr>
          <w:p>
            <w:pPr>
              <w:pStyle w:val="17"/>
            </w:pPr>
            <w:r>
              <w:t>195.00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265.54</w:t>
            </w:r>
          </w:p>
        </w:tc>
        <w:tc>
          <w:tcPr>
            <w:tcW w:w="1361" w:type="dxa"/>
            <w:vAlign w:val="center"/>
          </w:tcPr>
          <w:p>
            <w:pPr>
              <w:pStyle w:val="13"/>
            </w:pPr>
            <w:r>
              <w:t>70.54</w:t>
            </w:r>
          </w:p>
        </w:tc>
        <w:tc>
          <w:tcPr>
            <w:tcW w:w="1361" w:type="dxa"/>
            <w:vAlign w:val="center"/>
          </w:tcPr>
          <w:p>
            <w:pPr>
              <w:pStyle w:val="13"/>
            </w:pPr>
            <w:r>
              <w:t>195.00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255.54</w:t>
            </w:r>
          </w:p>
        </w:tc>
        <w:tc>
          <w:tcPr>
            <w:tcW w:w="1361" w:type="dxa"/>
            <w:vAlign w:val="center"/>
          </w:tcPr>
          <w:p>
            <w:pPr>
              <w:pStyle w:val="13"/>
            </w:pPr>
            <w:r>
              <w:t>70.54</w:t>
            </w:r>
          </w:p>
        </w:tc>
        <w:tc>
          <w:tcPr>
            <w:tcW w:w="1361" w:type="dxa"/>
            <w:vAlign w:val="center"/>
          </w:tcPr>
          <w:p>
            <w:pPr>
              <w:pStyle w:val="13"/>
            </w:pPr>
            <w:r>
              <w:t>185.00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2060401</w:t>
            </w:r>
          </w:p>
        </w:tc>
        <w:tc>
          <w:tcPr>
            <w:tcW w:w="4535" w:type="dxa"/>
            <w:vAlign w:val="center"/>
          </w:tcPr>
          <w:p>
            <w:pPr>
              <w:pStyle w:val="14"/>
            </w:pPr>
            <w:r>
              <w:t>机构运行</w:t>
            </w:r>
          </w:p>
        </w:tc>
        <w:tc>
          <w:tcPr>
            <w:tcW w:w="1361" w:type="dxa"/>
            <w:vAlign w:val="center"/>
          </w:tcPr>
          <w:p>
            <w:pPr>
              <w:pStyle w:val="13"/>
            </w:pPr>
            <w:r>
              <w:t>70.54</w:t>
            </w:r>
          </w:p>
        </w:tc>
        <w:tc>
          <w:tcPr>
            <w:tcW w:w="1361" w:type="dxa"/>
            <w:vAlign w:val="center"/>
          </w:tcPr>
          <w:p>
            <w:pPr>
              <w:pStyle w:val="13"/>
            </w:pPr>
            <w:r>
              <w:t>70.54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2060404</w:t>
            </w:r>
          </w:p>
        </w:tc>
        <w:tc>
          <w:tcPr>
            <w:tcW w:w="4535" w:type="dxa"/>
            <w:vAlign w:val="center"/>
          </w:tcPr>
          <w:p>
            <w:pPr>
              <w:pStyle w:val="14"/>
            </w:pPr>
            <w:r>
              <w:t>科技成果转化与扩散</w:t>
            </w:r>
          </w:p>
        </w:tc>
        <w:tc>
          <w:tcPr>
            <w:tcW w:w="1361" w:type="dxa"/>
            <w:vAlign w:val="center"/>
          </w:tcPr>
          <w:p>
            <w:pPr>
              <w:pStyle w:val="13"/>
            </w:pPr>
            <w:r>
              <w:t>185.00</w:t>
            </w:r>
          </w:p>
        </w:tc>
        <w:tc>
          <w:tcPr>
            <w:tcW w:w="1361" w:type="dxa"/>
            <w:vAlign w:val="center"/>
          </w:tcPr>
          <w:p>
            <w:pPr>
              <w:pStyle w:val="13"/>
            </w:pPr>
          </w:p>
        </w:tc>
        <w:tc>
          <w:tcPr>
            <w:tcW w:w="1361" w:type="dxa"/>
            <w:vAlign w:val="center"/>
          </w:tcPr>
          <w:p>
            <w:pPr>
              <w:pStyle w:val="13"/>
            </w:pPr>
            <w:r>
              <w:t>185.00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20608</w:t>
            </w:r>
          </w:p>
        </w:tc>
        <w:tc>
          <w:tcPr>
            <w:tcW w:w="4535" w:type="dxa"/>
            <w:vAlign w:val="center"/>
          </w:tcPr>
          <w:p>
            <w:pPr>
              <w:pStyle w:val="14"/>
            </w:pPr>
            <w:r>
              <w:t>科技交流与合作</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2060899</w:t>
            </w:r>
          </w:p>
        </w:tc>
        <w:tc>
          <w:tcPr>
            <w:tcW w:w="4535" w:type="dxa"/>
            <w:vAlign w:val="center"/>
          </w:tcPr>
          <w:p>
            <w:pPr>
              <w:pStyle w:val="14"/>
            </w:pPr>
            <w:r>
              <w:t>其他科技交流与合作支出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9.04</w:t>
            </w:r>
          </w:p>
        </w:tc>
        <w:tc>
          <w:tcPr>
            <w:tcW w:w="1361" w:type="dxa"/>
            <w:vAlign w:val="center"/>
          </w:tcPr>
          <w:p>
            <w:pPr>
              <w:pStyle w:val="13"/>
            </w:pPr>
            <w:r>
              <w:t>9.04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9.04</w:t>
            </w:r>
          </w:p>
        </w:tc>
        <w:tc>
          <w:tcPr>
            <w:tcW w:w="1361" w:type="dxa"/>
            <w:vAlign w:val="center"/>
          </w:tcPr>
          <w:p>
            <w:pPr>
              <w:pStyle w:val="13"/>
            </w:pPr>
            <w:r>
              <w:t>9.04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9.04</w:t>
            </w:r>
          </w:p>
        </w:tc>
        <w:tc>
          <w:tcPr>
            <w:tcW w:w="1361" w:type="dxa"/>
            <w:vAlign w:val="center"/>
          </w:tcPr>
          <w:p>
            <w:pPr>
              <w:pStyle w:val="13"/>
            </w:pPr>
            <w:r>
              <w:t>9.04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7.94</w:t>
            </w:r>
          </w:p>
        </w:tc>
        <w:tc>
          <w:tcPr>
            <w:tcW w:w="1361" w:type="dxa"/>
            <w:vAlign w:val="center"/>
          </w:tcPr>
          <w:p>
            <w:pPr>
              <w:pStyle w:val="13"/>
            </w:pPr>
            <w:r>
              <w:t>7.94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7.94</w:t>
            </w:r>
          </w:p>
        </w:tc>
        <w:tc>
          <w:tcPr>
            <w:tcW w:w="1361" w:type="dxa"/>
            <w:vAlign w:val="center"/>
          </w:tcPr>
          <w:p>
            <w:pPr>
              <w:pStyle w:val="13"/>
            </w:pPr>
            <w:r>
              <w:t>7.94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7.94</w:t>
            </w:r>
          </w:p>
        </w:tc>
        <w:tc>
          <w:tcPr>
            <w:tcW w:w="1361" w:type="dxa"/>
            <w:vAlign w:val="center"/>
          </w:tcPr>
          <w:p>
            <w:pPr>
              <w:pStyle w:val="13"/>
            </w:pPr>
            <w:r>
              <w:t>7.94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7.06</w:t>
            </w:r>
          </w:p>
        </w:tc>
        <w:tc>
          <w:tcPr>
            <w:tcW w:w="1361" w:type="dxa"/>
            <w:vAlign w:val="center"/>
          </w:tcPr>
          <w:p>
            <w:pPr>
              <w:pStyle w:val="13"/>
            </w:pPr>
            <w:r>
              <w:t>7.06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7.06</w:t>
            </w:r>
          </w:p>
        </w:tc>
        <w:tc>
          <w:tcPr>
            <w:tcW w:w="1361" w:type="dxa"/>
            <w:vAlign w:val="center"/>
          </w:tcPr>
          <w:p>
            <w:pPr>
              <w:pStyle w:val="13"/>
            </w:pPr>
            <w:r>
              <w:t>7.06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7.06</w:t>
            </w:r>
          </w:p>
        </w:tc>
        <w:tc>
          <w:tcPr>
            <w:tcW w:w="1361" w:type="dxa"/>
            <w:vAlign w:val="center"/>
          </w:tcPr>
          <w:p>
            <w:pPr>
              <w:pStyle w:val="13"/>
            </w:pPr>
            <w:r>
              <w:t>7.06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289.58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265.54</w:t>
            </w:r>
          </w:p>
        </w:tc>
        <w:tc>
          <w:tcPr>
            <w:tcW w:w="1474" w:type="dxa"/>
            <w:vAlign w:val="center"/>
          </w:tcPr>
          <w:p>
            <w:pPr>
              <w:pStyle w:val="13"/>
            </w:pPr>
            <w:r>
              <w:t>265.54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9.04</w:t>
            </w:r>
          </w:p>
        </w:tc>
        <w:tc>
          <w:tcPr>
            <w:tcW w:w="1474" w:type="dxa"/>
            <w:vAlign w:val="center"/>
          </w:tcPr>
          <w:p>
            <w:pPr>
              <w:pStyle w:val="13"/>
            </w:pPr>
            <w:r>
              <w:t>9.04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7.94</w:t>
            </w:r>
          </w:p>
        </w:tc>
        <w:tc>
          <w:tcPr>
            <w:tcW w:w="1474" w:type="dxa"/>
            <w:vAlign w:val="center"/>
          </w:tcPr>
          <w:p>
            <w:pPr>
              <w:pStyle w:val="13"/>
            </w:pPr>
            <w:r>
              <w:t>7.94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7.06</w:t>
            </w:r>
          </w:p>
        </w:tc>
        <w:tc>
          <w:tcPr>
            <w:tcW w:w="1474" w:type="dxa"/>
            <w:vAlign w:val="center"/>
          </w:tcPr>
          <w:p>
            <w:pPr>
              <w:pStyle w:val="13"/>
            </w:pPr>
            <w:r>
              <w:t>7.06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289.58</w:t>
            </w:r>
          </w:p>
        </w:tc>
        <w:tc>
          <w:tcPr>
            <w:tcW w:w="3402" w:type="dxa"/>
            <w:vAlign w:val="center"/>
          </w:tcPr>
          <w:p>
            <w:pPr>
              <w:pStyle w:val="16"/>
            </w:pPr>
            <w:r>
              <w:t>本年支出合计</w:t>
            </w:r>
          </w:p>
        </w:tc>
        <w:tc>
          <w:tcPr>
            <w:tcW w:w="1474" w:type="dxa"/>
            <w:vAlign w:val="center"/>
          </w:tcPr>
          <w:p>
            <w:pPr>
              <w:pStyle w:val="17"/>
            </w:pPr>
            <w:r>
              <w:t>289.58</w:t>
            </w:r>
          </w:p>
        </w:tc>
        <w:tc>
          <w:tcPr>
            <w:tcW w:w="1474" w:type="dxa"/>
            <w:vAlign w:val="center"/>
          </w:tcPr>
          <w:p>
            <w:pPr>
              <w:pStyle w:val="17"/>
            </w:pPr>
            <w:r>
              <w:t>289.58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289.58</w:t>
            </w:r>
          </w:p>
        </w:tc>
        <w:tc>
          <w:tcPr>
            <w:tcW w:w="3402" w:type="dxa"/>
            <w:vAlign w:val="center"/>
          </w:tcPr>
          <w:p>
            <w:pPr>
              <w:pStyle w:val="16"/>
            </w:pPr>
            <w:r>
              <w:t>支出总计</w:t>
            </w:r>
          </w:p>
        </w:tc>
        <w:tc>
          <w:tcPr>
            <w:tcW w:w="1474" w:type="dxa"/>
            <w:vAlign w:val="center"/>
          </w:tcPr>
          <w:p>
            <w:pPr>
              <w:pStyle w:val="17"/>
            </w:pPr>
            <w:r>
              <w:t>289.58</w:t>
            </w:r>
          </w:p>
        </w:tc>
        <w:tc>
          <w:tcPr>
            <w:tcW w:w="1474" w:type="dxa"/>
            <w:vAlign w:val="center"/>
          </w:tcPr>
          <w:p>
            <w:pPr>
              <w:pStyle w:val="17"/>
            </w:pPr>
            <w:r>
              <w:t>289.58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289.58</w:t>
            </w:r>
          </w:p>
        </w:tc>
        <w:tc>
          <w:tcPr>
            <w:tcW w:w="2551" w:type="dxa"/>
            <w:vAlign w:val="center"/>
          </w:tcPr>
          <w:p>
            <w:pPr>
              <w:pStyle w:val="17"/>
            </w:pPr>
            <w:r>
              <w:t>94.58</w:t>
            </w:r>
          </w:p>
        </w:tc>
        <w:tc>
          <w:tcPr>
            <w:tcW w:w="2551" w:type="dxa"/>
            <w:vAlign w:val="center"/>
          </w:tcPr>
          <w:p>
            <w:pPr>
              <w:pStyle w:val="17"/>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265.54</w:t>
            </w:r>
          </w:p>
        </w:tc>
        <w:tc>
          <w:tcPr>
            <w:tcW w:w="2551" w:type="dxa"/>
            <w:vAlign w:val="center"/>
          </w:tcPr>
          <w:p>
            <w:pPr>
              <w:pStyle w:val="13"/>
            </w:pPr>
            <w:r>
              <w:t>70.54</w:t>
            </w:r>
          </w:p>
        </w:tc>
        <w:tc>
          <w:tcPr>
            <w:tcW w:w="2551" w:type="dxa"/>
            <w:vAlign w:val="center"/>
          </w:tcPr>
          <w:p>
            <w:pPr>
              <w:pStyle w:val="13"/>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255.54</w:t>
            </w:r>
          </w:p>
        </w:tc>
        <w:tc>
          <w:tcPr>
            <w:tcW w:w="2551" w:type="dxa"/>
            <w:vAlign w:val="center"/>
          </w:tcPr>
          <w:p>
            <w:pPr>
              <w:pStyle w:val="13"/>
            </w:pPr>
            <w:r>
              <w:t>70.54</w:t>
            </w:r>
          </w:p>
        </w:tc>
        <w:tc>
          <w:tcPr>
            <w:tcW w:w="2551" w:type="dxa"/>
            <w:vAlign w:val="center"/>
          </w:tcPr>
          <w:p>
            <w:pPr>
              <w:pStyle w:val="13"/>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2060401</w:t>
            </w:r>
          </w:p>
        </w:tc>
        <w:tc>
          <w:tcPr>
            <w:tcW w:w="4535" w:type="dxa"/>
            <w:vAlign w:val="center"/>
          </w:tcPr>
          <w:p>
            <w:pPr>
              <w:pStyle w:val="14"/>
            </w:pPr>
            <w:r>
              <w:t>机构运行</w:t>
            </w:r>
          </w:p>
        </w:tc>
        <w:tc>
          <w:tcPr>
            <w:tcW w:w="2551" w:type="dxa"/>
            <w:vAlign w:val="center"/>
          </w:tcPr>
          <w:p>
            <w:pPr>
              <w:pStyle w:val="13"/>
            </w:pPr>
            <w:r>
              <w:t>70.54</w:t>
            </w:r>
          </w:p>
        </w:tc>
        <w:tc>
          <w:tcPr>
            <w:tcW w:w="2551" w:type="dxa"/>
            <w:vAlign w:val="center"/>
          </w:tcPr>
          <w:p>
            <w:pPr>
              <w:pStyle w:val="13"/>
            </w:pPr>
            <w:r>
              <w:t>70.54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2060404</w:t>
            </w:r>
          </w:p>
        </w:tc>
        <w:tc>
          <w:tcPr>
            <w:tcW w:w="4535" w:type="dxa"/>
            <w:vAlign w:val="center"/>
          </w:tcPr>
          <w:p>
            <w:pPr>
              <w:pStyle w:val="14"/>
            </w:pPr>
            <w:r>
              <w:t>科技成果转化与扩散</w:t>
            </w:r>
          </w:p>
        </w:tc>
        <w:tc>
          <w:tcPr>
            <w:tcW w:w="2551" w:type="dxa"/>
            <w:vAlign w:val="center"/>
          </w:tcPr>
          <w:p>
            <w:pPr>
              <w:pStyle w:val="13"/>
            </w:pPr>
            <w:r>
              <w:t>185.00</w:t>
            </w:r>
          </w:p>
        </w:tc>
        <w:tc>
          <w:tcPr>
            <w:tcW w:w="2551" w:type="dxa"/>
            <w:vAlign w:val="center"/>
          </w:tcPr>
          <w:p>
            <w:pPr>
              <w:pStyle w:val="13"/>
            </w:pPr>
          </w:p>
        </w:tc>
        <w:tc>
          <w:tcPr>
            <w:tcW w:w="2551" w:type="dxa"/>
            <w:vAlign w:val="center"/>
          </w:tcPr>
          <w:p>
            <w:pPr>
              <w:pStyle w:val="13"/>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20608</w:t>
            </w:r>
          </w:p>
        </w:tc>
        <w:tc>
          <w:tcPr>
            <w:tcW w:w="4535" w:type="dxa"/>
            <w:vAlign w:val="center"/>
          </w:tcPr>
          <w:p>
            <w:pPr>
              <w:pStyle w:val="14"/>
            </w:pPr>
            <w:r>
              <w:t>科技交流与合作</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2060899</w:t>
            </w:r>
          </w:p>
        </w:tc>
        <w:tc>
          <w:tcPr>
            <w:tcW w:w="4535" w:type="dxa"/>
            <w:vAlign w:val="center"/>
          </w:tcPr>
          <w:p>
            <w:pPr>
              <w:pStyle w:val="14"/>
            </w:pPr>
            <w:r>
              <w:t>其他科技交流与合作支出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9.04</w:t>
            </w:r>
          </w:p>
        </w:tc>
        <w:tc>
          <w:tcPr>
            <w:tcW w:w="2551" w:type="dxa"/>
            <w:vAlign w:val="center"/>
          </w:tcPr>
          <w:p>
            <w:pPr>
              <w:pStyle w:val="13"/>
            </w:pPr>
            <w:r>
              <w:t>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9.04</w:t>
            </w:r>
          </w:p>
        </w:tc>
        <w:tc>
          <w:tcPr>
            <w:tcW w:w="2551" w:type="dxa"/>
            <w:vAlign w:val="center"/>
          </w:tcPr>
          <w:p>
            <w:pPr>
              <w:pStyle w:val="13"/>
            </w:pPr>
            <w:r>
              <w:t>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9.04</w:t>
            </w:r>
          </w:p>
        </w:tc>
        <w:tc>
          <w:tcPr>
            <w:tcW w:w="2551" w:type="dxa"/>
            <w:vAlign w:val="center"/>
          </w:tcPr>
          <w:p>
            <w:pPr>
              <w:pStyle w:val="13"/>
            </w:pPr>
            <w:r>
              <w:t>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7.94</w:t>
            </w:r>
          </w:p>
        </w:tc>
        <w:tc>
          <w:tcPr>
            <w:tcW w:w="2551" w:type="dxa"/>
            <w:vAlign w:val="center"/>
          </w:tcPr>
          <w:p>
            <w:pPr>
              <w:pStyle w:val="13"/>
            </w:pPr>
            <w:r>
              <w:t>7.94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7.94</w:t>
            </w:r>
          </w:p>
        </w:tc>
        <w:tc>
          <w:tcPr>
            <w:tcW w:w="2551" w:type="dxa"/>
            <w:vAlign w:val="center"/>
          </w:tcPr>
          <w:p>
            <w:pPr>
              <w:pStyle w:val="13"/>
            </w:pPr>
            <w:r>
              <w:t>7.94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7.94</w:t>
            </w:r>
          </w:p>
        </w:tc>
        <w:tc>
          <w:tcPr>
            <w:tcW w:w="2551" w:type="dxa"/>
            <w:vAlign w:val="center"/>
          </w:tcPr>
          <w:p>
            <w:pPr>
              <w:pStyle w:val="13"/>
            </w:pPr>
            <w:r>
              <w:t>7.94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7.06</w:t>
            </w:r>
          </w:p>
        </w:tc>
        <w:tc>
          <w:tcPr>
            <w:tcW w:w="2551" w:type="dxa"/>
            <w:vAlign w:val="center"/>
          </w:tcPr>
          <w:p>
            <w:pPr>
              <w:pStyle w:val="13"/>
            </w:pPr>
            <w:r>
              <w:t>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7.06</w:t>
            </w:r>
          </w:p>
        </w:tc>
        <w:tc>
          <w:tcPr>
            <w:tcW w:w="2551" w:type="dxa"/>
            <w:vAlign w:val="center"/>
          </w:tcPr>
          <w:p>
            <w:pPr>
              <w:pStyle w:val="13"/>
            </w:pPr>
            <w:r>
              <w:t>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7.06</w:t>
            </w:r>
          </w:p>
        </w:tc>
        <w:tc>
          <w:tcPr>
            <w:tcW w:w="2551" w:type="dxa"/>
            <w:vAlign w:val="center"/>
          </w:tcPr>
          <w:p>
            <w:pPr>
              <w:pStyle w:val="13"/>
            </w:pPr>
            <w:r>
              <w:t>7.06</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94.58</w:t>
            </w:r>
          </w:p>
        </w:tc>
        <w:tc>
          <w:tcPr>
            <w:tcW w:w="2551" w:type="dxa"/>
            <w:vAlign w:val="center"/>
          </w:tcPr>
          <w:p>
            <w:pPr>
              <w:pStyle w:val="17"/>
            </w:pPr>
            <w:r>
              <w:t>87.44</w:t>
            </w:r>
          </w:p>
        </w:tc>
        <w:tc>
          <w:tcPr>
            <w:tcW w:w="2551" w:type="dxa"/>
            <w:vAlign w:val="center"/>
          </w:tcPr>
          <w:p>
            <w:pPr>
              <w:pStyle w:val="17"/>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87.44</w:t>
            </w:r>
          </w:p>
        </w:tc>
        <w:tc>
          <w:tcPr>
            <w:tcW w:w="2551" w:type="dxa"/>
            <w:vAlign w:val="center"/>
          </w:tcPr>
          <w:p>
            <w:pPr>
              <w:pStyle w:val="13"/>
            </w:pPr>
            <w:r>
              <w:t>87.44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13.54</w:t>
            </w:r>
          </w:p>
        </w:tc>
        <w:tc>
          <w:tcPr>
            <w:tcW w:w="2551" w:type="dxa"/>
            <w:vAlign w:val="center"/>
          </w:tcPr>
          <w:p>
            <w:pPr>
              <w:pStyle w:val="13"/>
            </w:pPr>
            <w:r>
              <w:t>13.54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11.28</w:t>
            </w:r>
          </w:p>
        </w:tc>
        <w:tc>
          <w:tcPr>
            <w:tcW w:w="2551" w:type="dxa"/>
            <w:vAlign w:val="center"/>
          </w:tcPr>
          <w:p>
            <w:pPr>
              <w:pStyle w:val="13"/>
            </w:pPr>
            <w:r>
              <w:t>11.28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7.70</w:t>
            </w:r>
          </w:p>
        </w:tc>
        <w:tc>
          <w:tcPr>
            <w:tcW w:w="2551" w:type="dxa"/>
            <w:vAlign w:val="center"/>
          </w:tcPr>
          <w:p>
            <w:pPr>
              <w:pStyle w:val="13"/>
            </w:pPr>
            <w:r>
              <w:t>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30.30</w:t>
            </w:r>
          </w:p>
        </w:tc>
        <w:tc>
          <w:tcPr>
            <w:tcW w:w="2551" w:type="dxa"/>
            <w:vAlign w:val="center"/>
          </w:tcPr>
          <w:p>
            <w:pPr>
              <w:pStyle w:val="13"/>
            </w:pPr>
            <w:r>
              <w:t>30.30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9.04</w:t>
            </w:r>
          </w:p>
        </w:tc>
        <w:tc>
          <w:tcPr>
            <w:tcW w:w="2551" w:type="dxa"/>
            <w:vAlign w:val="center"/>
          </w:tcPr>
          <w:p>
            <w:pPr>
              <w:pStyle w:val="13"/>
            </w:pPr>
            <w:r>
              <w:t>9.04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7.94</w:t>
            </w:r>
          </w:p>
        </w:tc>
        <w:tc>
          <w:tcPr>
            <w:tcW w:w="2551" w:type="dxa"/>
            <w:vAlign w:val="center"/>
          </w:tcPr>
          <w:p>
            <w:pPr>
              <w:pStyle w:val="13"/>
            </w:pPr>
            <w:r>
              <w:t>7.94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0.58</w:t>
            </w:r>
          </w:p>
        </w:tc>
        <w:tc>
          <w:tcPr>
            <w:tcW w:w="2551" w:type="dxa"/>
            <w:vAlign w:val="center"/>
          </w:tcPr>
          <w:p>
            <w:pPr>
              <w:pStyle w:val="13"/>
            </w:pPr>
            <w:r>
              <w:t>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7.06</w:t>
            </w:r>
          </w:p>
        </w:tc>
        <w:tc>
          <w:tcPr>
            <w:tcW w:w="2551" w:type="dxa"/>
            <w:vAlign w:val="center"/>
          </w:tcPr>
          <w:p>
            <w:pPr>
              <w:pStyle w:val="13"/>
            </w:pPr>
            <w:r>
              <w:t>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7.02</w:t>
            </w:r>
          </w:p>
        </w:tc>
        <w:tc>
          <w:tcPr>
            <w:tcW w:w="2551" w:type="dxa"/>
            <w:vAlign w:val="center"/>
          </w:tcPr>
          <w:p>
            <w:pPr>
              <w:pStyle w:val="13"/>
            </w:pPr>
          </w:p>
        </w:tc>
        <w:tc>
          <w:tcPr>
            <w:tcW w:w="2551" w:type="dxa"/>
            <w:vAlign w:val="center"/>
          </w:tcPr>
          <w:p>
            <w:pPr>
              <w:pStyle w:val="13"/>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0.48</w:t>
            </w:r>
          </w:p>
        </w:tc>
        <w:tc>
          <w:tcPr>
            <w:tcW w:w="2551" w:type="dxa"/>
            <w:vAlign w:val="center"/>
          </w:tcPr>
          <w:p>
            <w:pPr>
              <w:pStyle w:val="13"/>
            </w:pPr>
          </w:p>
        </w:tc>
        <w:tc>
          <w:tcPr>
            <w:tcW w:w="2551"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0.48</w:t>
            </w:r>
          </w:p>
        </w:tc>
        <w:tc>
          <w:tcPr>
            <w:tcW w:w="2551" w:type="dxa"/>
            <w:vAlign w:val="center"/>
          </w:tcPr>
          <w:p>
            <w:pPr>
              <w:pStyle w:val="13"/>
            </w:pPr>
          </w:p>
        </w:tc>
        <w:tc>
          <w:tcPr>
            <w:tcW w:w="2551"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0.35</w:t>
            </w:r>
          </w:p>
        </w:tc>
        <w:tc>
          <w:tcPr>
            <w:tcW w:w="2551" w:type="dxa"/>
            <w:vAlign w:val="center"/>
          </w:tcPr>
          <w:p>
            <w:pPr>
              <w:pStyle w:val="13"/>
            </w:pPr>
          </w:p>
        </w:tc>
        <w:tc>
          <w:tcPr>
            <w:tcW w:w="2551"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1.86</w:t>
            </w:r>
          </w:p>
        </w:tc>
        <w:tc>
          <w:tcPr>
            <w:tcW w:w="2551" w:type="dxa"/>
            <w:vAlign w:val="center"/>
          </w:tcPr>
          <w:p>
            <w:pPr>
              <w:pStyle w:val="13"/>
            </w:pPr>
          </w:p>
        </w:tc>
        <w:tc>
          <w:tcPr>
            <w:tcW w:w="2551" w:type="dxa"/>
            <w:vAlign w:val="center"/>
          </w:tcPr>
          <w:p>
            <w:pPr>
              <w:pStyle w:val="13"/>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2525"/>
        <w:gridCol w:w="108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Merge w:val="restart"/>
            <w:vAlign w:val="center"/>
          </w:tcPr>
          <w:p>
            <w:pPr>
              <w:pStyle w:val="12"/>
            </w:pPr>
            <w:r>
              <w:t>序号</w:t>
            </w:r>
          </w:p>
        </w:tc>
        <w:tc>
          <w:tcPr>
            <w:tcW w:w="2525" w:type="dxa"/>
            <w:vMerge w:val="restart"/>
            <w:vAlign w:val="center"/>
          </w:tcPr>
          <w:p>
            <w:pPr>
              <w:pStyle w:val="12"/>
            </w:pPr>
            <w:r>
              <w:t>项  目</w:t>
            </w:r>
          </w:p>
        </w:tc>
        <w:tc>
          <w:tcPr>
            <w:tcW w:w="601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23" w:type="dxa"/>
            <w:vMerge w:val="continue"/>
          </w:tcPr>
          <w:p/>
        </w:tc>
        <w:tc>
          <w:tcPr>
            <w:tcW w:w="2525" w:type="dxa"/>
            <w:vMerge w:val="continue"/>
          </w:tcPr>
          <w:p/>
        </w:tc>
        <w:tc>
          <w:tcPr>
            <w:tcW w:w="1081"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23" w:type="dxa"/>
            <w:vAlign w:val="center"/>
          </w:tcPr>
          <w:p>
            <w:pPr>
              <w:pStyle w:val="12"/>
            </w:pPr>
            <w:r>
              <w:t>栏次</w:t>
            </w:r>
          </w:p>
        </w:tc>
        <w:tc>
          <w:tcPr>
            <w:tcW w:w="2525" w:type="dxa"/>
            <w:vAlign w:val="center"/>
          </w:tcPr>
          <w:p>
            <w:pPr>
              <w:pStyle w:val="12"/>
            </w:pPr>
            <w:r>
              <w:t>1</w:t>
            </w:r>
          </w:p>
        </w:tc>
        <w:tc>
          <w:tcPr>
            <w:tcW w:w="108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23" w:type="dxa"/>
            <w:vAlign w:val="center"/>
          </w:tcPr>
          <w:p>
            <w:pPr>
              <w:pStyle w:val="15"/>
            </w:pPr>
            <w:r>
              <w:t>1</w:t>
            </w:r>
          </w:p>
        </w:tc>
        <w:tc>
          <w:tcPr>
            <w:tcW w:w="2525" w:type="dxa"/>
            <w:vAlign w:val="center"/>
          </w:tcPr>
          <w:p>
            <w:pPr>
              <w:pStyle w:val="16"/>
            </w:pPr>
            <w:r>
              <w:t>合计</w:t>
            </w:r>
          </w:p>
        </w:tc>
        <w:tc>
          <w:tcPr>
            <w:tcW w:w="1081" w:type="dxa"/>
            <w:vAlign w:val="center"/>
          </w:tcPr>
          <w:p>
            <w:pPr>
              <w:pStyle w:val="17"/>
            </w:pPr>
            <w:r>
              <w:t>0.08</w:t>
            </w:r>
          </w:p>
        </w:tc>
        <w:tc>
          <w:tcPr>
            <w:tcW w:w="1643" w:type="dxa"/>
            <w:vAlign w:val="center"/>
          </w:tcPr>
          <w:p>
            <w:pPr>
              <w:pStyle w:val="17"/>
            </w:pPr>
            <w:r>
              <w:t>0.08</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23" w:type="dxa"/>
            <w:vAlign w:val="center"/>
          </w:tcPr>
          <w:p>
            <w:pPr>
              <w:pStyle w:val="15"/>
            </w:pPr>
            <w:r>
              <w:t>2</w:t>
            </w:r>
          </w:p>
        </w:tc>
        <w:tc>
          <w:tcPr>
            <w:tcW w:w="2525" w:type="dxa"/>
            <w:vAlign w:val="center"/>
          </w:tcPr>
          <w:p>
            <w:pPr>
              <w:pStyle w:val="14"/>
            </w:pPr>
            <w:r>
              <w:t>“三公”经费小计</w:t>
            </w:r>
          </w:p>
        </w:tc>
        <w:tc>
          <w:tcPr>
            <w:tcW w:w="1081" w:type="dxa"/>
            <w:vAlign w:val="center"/>
          </w:tcPr>
          <w:p>
            <w:pPr>
              <w:pStyle w:val="13"/>
            </w:pPr>
            <w:r>
              <w:t>0.08</w:t>
            </w:r>
          </w:p>
        </w:tc>
        <w:tc>
          <w:tcPr>
            <w:tcW w:w="1643" w:type="dxa"/>
            <w:vAlign w:val="center"/>
          </w:tcPr>
          <w:p>
            <w:pPr>
              <w:pStyle w:val="13"/>
            </w:pPr>
            <w:r>
              <w:t>0.08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23" w:type="dxa"/>
            <w:vAlign w:val="center"/>
          </w:tcPr>
          <w:p>
            <w:pPr>
              <w:pStyle w:val="15"/>
            </w:pPr>
            <w:r>
              <w:t>3</w:t>
            </w:r>
          </w:p>
        </w:tc>
        <w:tc>
          <w:tcPr>
            <w:tcW w:w="2525" w:type="dxa"/>
            <w:vAlign w:val="center"/>
          </w:tcPr>
          <w:p>
            <w:pPr>
              <w:pStyle w:val="14"/>
            </w:pPr>
            <w:r>
              <w:t>一、因公出国（境）费</w:t>
            </w:r>
          </w:p>
        </w:tc>
        <w:tc>
          <w:tcPr>
            <w:tcW w:w="10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23" w:type="dxa"/>
            <w:vAlign w:val="center"/>
          </w:tcPr>
          <w:p>
            <w:pPr>
              <w:pStyle w:val="15"/>
            </w:pPr>
            <w:r>
              <w:t>4</w:t>
            </w:r>
          </w:p>
        </w:tc>
        <w:tc>
          <w:tcPr>
            <w:tcW w:w="2525" w:type="dxa"/>
            <w:vAlign w:val="center"/>
          </w:tcPr>
          <w:p>
            <w:pPr>
              <w:pStyle w:val="14"/>
            </w:pPr>
            <w:r>
              <w:t xml:space="preserve">    其中：教学科研人员因公出国（境）费</w:t>
            </w:r>
          </w:p>
        </w:tc>
        <w:tc>
          <w:tcPr>
            <w:tcW w:w="10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23" w:type="dxa"/>
            <w:vAlign w:val="center"/>
          </w:tcPr>
          <w:p>
            <w:pPr>
              <w:pStyle w:val="15"/>
            </w:pPr>
            <w:r>
              <w:t>5</w:t>
            </w:r>
          </w:p>
        </w:tc>
        <w:tc>
          <w:tcPr>
            <w:tcW w:w="2525" w:type="dxa"/>
            <w:vAlign w:val="center"/>
          </w:tcPr>
          <w:p>
            <w:pPr>
              <w:pStyle w:val="14"/>
            </w:pPr>
            <w:r>
              <w:t xml:space="preserve">          其他因公出国（境）费</w:t>
            </w:r>
          </w:p>
        </w:tc>
        <w:tc>
          <w:tcPr>
            <w:tcW w:w="10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23" w:type="dxa"/>
            <w:vAlign w:val="center"/>
          </w:tcPr>
          <w:p>
            <w:pPr>
              <w:pStyle w:val="15"/>
            </w:pPr>
            <w:r>
              <w:t>6</w:t>
            </w:r>
          </w:p>
        </w:tc>
        <w:tc>
          <w:tcPr>
            <w:tcW w:w="2525" w:type="dxa"/>
            <w:vAlign w:val="center"/>
          </w:tcPr>
          <w:p>
            <w:pPr>
              <w:pStyle w:val="14"/>
            </w:pPr>
            <w:r>
              <w:t>二、公务用车购置及运维费</w:t>
            </w:r>
          </w:p>
        </w:tc>
        <w:tc>
          <w:tcPr>
            <w:tcW w:w="10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23" w:type="dxa"/>
            <w:vAlign w:val="center"/>
          </w:tcPr>
          <w:p>
            <w:pPr>
              <w:pStyle w:val="15"/>
            </w:pPr>
            <w:r>
              <w:t>7</w:t>
            </w:r>
          </w:p>
        </w:tc>
        <w:tc>
          <w:tcPr>
            <w:tcW w:w="2525" w:type="dxa"/>
            <w:vAlign w:val="center"/>
          </w:tcPr>
          <w:p>
            <w:pPr>
              <w:pStyle w:val="14"/>
            </w:pPr>
            <w:r>
              <w:t xml:space="preserve">    其中：公务用车购置费</w:t>
            </w:r>
          </w:p>
        </w:tc>
        <w:tc>
          <w:tcPr>
            <w:tcW w:w="10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23" w:type="dxa"/>
            <w:vAlign w:val="center"/>
          </w:tcPr>
          <w:p>
            <w:pPr>
              <w:pStyle w:val="15"/>
            </w:pPr>
            <w:r>
              <w:t>8</w:t>
            </w:r>
          </w:p>
        </w:tc>
        <w:tc>
          <w:tcPr>
            <w:tcW w:w="2525" w:type="dxa"/>
            <w:vAlign w:val="center"/>
          </w:tcPr>
          <w:p>
            <w:pPr>
              <w:pStyle w:val="14"/>
            </w:pPr>
            <w:r>
              <w:t xml:space="preserve">          公务用车运行维护费</w:t>
            </w:r>
          </w:p>
        </w:tc>
        <w:tc>
          <w:tcPr>
            <w:tcW w:w="10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23" w:type="dxa"/>
            <w:vAlign w:val="center"/>
          </w:tcPr>
          <w:p>
            <w:pPr>
              <w:pStyle w:val="15"/>
            </w:pPr>
            <w:r>
              <w:t>9</w:t>
            </w:r>
          </w:p>
        </w:tc>
        <w:tc>
          <w:tcPr>
            <w:tcW w:w="2525" w:type="dxa"/>
            <w:vAlign w:val="center"/>
          </w:tcPr>
          <w:p>
            <w:pPr>
              <w:pStyle w:val="14"/>
            </w:pPr>
            <w:r>
              <w:t>三、公务接待费</w:t>
            </w:r>
          </w:p>
        </w:tc>
        <w:tc>
          <w:tcPr>
            <w:tcW w:w="1081" w:type="dxa"/>
            <w:vAlign w:val="center"/>
          </w:tcPr>
          <w:p>
            <w:pPr>
              <w:pStyle w:val="13"/>
            </w:pPr>
            <w:r>
              <w:t>0.08</w:t>
            </w:r>
          </w:p>
        </w:tc>
        <w:tc>
          <w:tcPr>
            <w:tcW w:w="1643" w:type="dxa"/>
            <w:vAlign w:val="center"/>
          </w:tcPr>
          <w:p>
            <w:pPr>
              <w:pStyle w:val="13"/>
            </w:pPr>
            <w:r>
              <w:t>0.08</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北戴河生命健康产业研究院2022年部门预算信息公开情况说明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按照《预算法》、《地方预决算公开操作规程》和《关于进一步推进预算公开工作的实施意见》规定，现将北戴河生命健康产业研究院2022年部门预算公开如下：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1.针对示范区生命健康产业发展中的难点、热点问题提供咨询建议。</w:t>
      </w:r>
    </w:p>
    <w:p>
      <w:pPr>
        <w:pStyle w:val="19"/>
      </w:pPr>
      <w:r>
        <w:t>2.研究制定示范区支持政策，对接省直相关部门、国家有关部委，全力争取示范区在国家政策层面改革创新、先行先试，持续获得国家政策支持，构建示范区政策支撑体系。</w:t>
      </w:r>
    </w:p>
    <w:p>
      <w:pPr>
        <w:pStyle w:val="19"/>
      </w:pPr>
      <w:r>
        <w:t>3.组织专家咨询委员会参与研究论证示范区发展战略的顶层设计，根据示范区发展需要，对示范区的战略定位、目标任务、实施路径、保障措施等进行系统深入研究，提出科学性、前瞻性兼具的解决方案，为工管委的科学决策提供有益参考，充分发挥对经济社会的引领作用。</w:t>
      </w:r>
    </w:p>
    <w:p>
      <w:pPr>
        <w:pStyle w:val="19"/>
      </w:pPr>
      <w:r>
        <w:t>4.承办新区工管委交办其他事项；负责研究院日常工作运行，负责文件收发、新闻宣传、档案保管等工作；负责会议组织、会务服务、值班管理等工作；负责研究院财务、后勤保障工作。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北戴河生命健康产业研究院本级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rPr>
          <w:color w:val="auto"/>
        </w:rPr>
      </w:pPr>
      <w:bookmarkStart w:id="10" w:name="_Toc_3_3_0000000011"/>
      <w:r>
        <w:rPr>
          <w:rFonts w:ascii="黑体" w:hAnsi="黑体" w:eastAsia="黑体" w:cs="黑体"/>
          <w:color w:val="auto"/>
          <w:sz w:val="32"/>
        </w:rPr>
        <w:t>二、部门预算安排的总体情况</w:t>
      </w:r>
      <w:bookmarkEnd w:id="10"/>
    </w:p>
    <w:p>
      <w:pPr>
        <w:spacing w:before="0" w:after="0" w:line="500" w:lineRule="exact"/>
        <w:ind w:firstLine="560"/>
        <w:jc w:val="left"/>
        <w:outlineLvl w:val="9"/>
        <w:rPr>
          <w:rFonts w:hint="eastAsia" w:eastAsia="方正仿宋_GBK" w:cs="Times New Roman"/>
          <w:color w:val="auto"/>
          <w:sz w:val="28"/>
          <w:lang w:eastAsia="zh-CN"/>
        </w:rPr>
      </w:pPr>
      <w:r>
        <w:rPr>
          <w:rFonts w:ascii="Times New Roman" w:hAnsi="Times New Roman" w:eastAsia="方正仿宋_GBK" w:cs="Times New Roman"/>
          <w:color w:val="auto"/>
          <w:sz w:val="28"/>
        </w:rPr>
        <w:t>按照预算管理有关规定，目前我部门预算的编制实行综合预算管理，即全部收入和支出都反映在预算中。北戴河生命健康产业研究院机关及所属事业单位的收支包含在部门预算中</w:t>
      </w:r>
      <w:r>
        <w:rPr>
          <w:rFonts w:hint="eastAsia" w:eastAsia="方正仿宋_GBK" w:cs="Times New Roman"/>
          <w:color w:val="auto"/>
          <w:sz w:val="28"/>
          <w:lang w:eastAsia="zh-CN"/>
        </w:rPr>
        <w:t>。</w:t>
      </w:r>
    </w:p>
    <w:p>
      <w:pPr>
        <w:spacing w:before="0" w:after="0" w:line="500" w:lineRule="exact"/>
        <w:ind w:firstLine="560"/>
        <w:jc w:val="left"/>
        <w:outlineLvl w:val="9"/>
        <w:rPr>
          <w:rFonts w:hint="eastAsia" w:eastAsia="方正仿宋_GBK" w:cs="Times New Roman"/>
          <w:color w:val="auto"/>
          <w:sz w:val="28"/>
          <w:lang w:eastAsia="zh-CN"/>
        </w:rPr>
      </w:pPr>
      <w:r>
        <w:rPr>
          <w:rFonts w:hint="eastAsia" w:eastAsia="方正仿宋_GBK" w:cs="Times New Roman"/>
          <w:color w:val="auto"/>
          <w:sz w:val="28"/>
          <w:lang w:eastAsia="zh-CN"/>
        </w:rPr>
        <w:t>（一）收入说明</w:t>
      </w:r>
    </w:p>
    <w:p>
      <w:pPr>
        <w:spacing w:before="0" w:after="0" w:line="500" w:lineRule="exact"/>
        <w:ind w:firstLine="560"/>
        <w:jc w:val="left"/>
        <w:outlineLvl w:val="9"/>
        <w:rPr>
          <w:rFonts w:hint="eastAsia" w:ascii="Times New Roman" w:hAnsi="Times New Roman" w:eastAsia="方正仿宋_GBK" w:cs="Times New Roman"/>
          <w:color w:val="auto"/>
          <w:sz w:val="28"/>
          <w:lang w:eastAsia="zh-CN"/>
        </w:rPr>
      </w:pP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部门</w:t>
      </w:r>
      <w:r>
        <w:rPr>
          <w:rFonts w:ascii="Times New Roman" w:hAnsi="Times New Roman" w:eastAsia="方正仿宋_GBK" w:cs="Times New Roman"/>
          <w:color w:val="auto"/>
          <w:sz w:val="28"/>
        </w:rPr>
        <w:t>当年全部收入。</w:t>
      </w:r>
      <w:r>
        <w:rPr>
          <w:rFonts w:hint="eastAsia" w:ascii="Times New Roman" w:hAnsi="Times New Roman" w:eastAsia="方正仿宋_GBK" w:cs="Times New Roman"/>
          <w:color w:val="auto"/>
          <w:sz w:val="28"/>
          <w:lang w:eastAsia="zh-CN"/>
        </w:rPr>
        <w:t>2022年预算收入</w:t>
      </w:r>
      <w:r>
        <w:rPr>
          <w:rFonts w:hint="eastAsia" w:ascii="Times New Roman" w:hAnsi="Times New Roman" w:eastAsia="方正仿宋_GBK" w:cs="Times New Roman"/>
          <w:color w:val="auto"/>
          <w:sz w:val="28"/>
          <w:lang w:val="en-US" w:eastAsia="zh-CN"/>
        </w:rPr>
        <w:t>289.58</w:t>
      </w:r>
      <w:r>
        <w:rPr>
          <w:rFonts w:hint="eastAsia" w:ascii="Times New Roman" w:hAnsi="Times New Roman" w:eastAsia="方正仿宋_GBK" w:cs="Times New Roman"/>
          <w:color w:val="auto"/>
          <w:sz w:val="28"/>
          <w:lang w:eastAsia="zh-CN"/>
        </w:rPr>
        <w:t>万元，一般公共预算拨款</w:t>
      </w:r>
      <w:r>
        <w:rPr>
          <w:rFonts w:hint="eastAsia" w:ascii="Times New Roman" w:hAnsi="Times New Roman" w:eastAsia="方正仿宋_GBK" w:cs="Times New Roman"/>
          <w:color w:val="auto"/>
          <w:sz w:val="28"/>
          <w:lang w:val="en-US" w:eastAsia="zh-CN"/>
        </w:rPr>
        <w:t>289.58</w:t>
      </w:r>
      <w:r>
        <w:rPr>
          <w:rFonts w:hint="eastAsia" w:ascii="Times New Roman" w:hAnsi="Times New Roman" w:eastAsia="方正仿宋_GBK" w:cs="Times New Roman"/>
          <w:color w:val="auto"/>
          <w:sz w:val="28"/>
          <w:lang w:eastAsia="zh-CN"/>
        </w:rPr>
        <w:t>万元。</w:t>
      </w:r>
    </w:p>
    <w:p>
      <w:pPr>
        <w:spacing w:before="0" w:after="0" w:line="500" w:lineRule="exact"/>
        <w:ind w:firstLine="560"/>
        <w:jc w:val="left"/>
        <w:outlineLvl w:val="9"/>
        <w:rPr>
          <w:rFonts w:hint="eastAsia" w:eastAsia="方正仿宋_GBK" w:cs="Times New Roman"/>
          <w:color w:val="auto"/>
          <w:sz w:val="28"/>
          <w:lang w:eastAsia="zh-CN"/>
        </w:rPr>
      </w:pPr>
      <w:r>
        <w:rPr>
          <w:rFonts w:hint="eastAsia" w:eastAsia="方正仿宋_GBK" w:cs="Times New Roman"/>
          <w:color w:val="auto"/>
          <w:sz w:val="28"/>
          <w:lang w:eastAsia="zh-CN"/>
        </w:rPr>
        <w:t>（二）支出说明</w:t>
      </w:r>
    </w:p>
    <w:p>
      <w:pPr>
        <w:ind w:firstLine="560" w:firstLineChars="200"/>
        <w:rPr>
          <w:rFonts w:hint="eastAsia" w:ascii="Times New Roman" w:hAnsi="Times New Roman" w:eastAsia="方正仿宋_GBK" w:cs="Times New Roman"/>
          <w:color w:val="auto"/>
          <w:sz w:val="28"/>
          <w:lang w:eastAsia="zh-CN"/>
        </w:rPr>
      </w:pP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部门</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eastAsia" w:eastAsia="方正仿宋_GBK" w:cs="Times New Roman"/>
          <w:color w:val="auto"/>
          <w:sz w:val="28"/>
          <w:lang w:eastAsia="zh-CN"/>
        </w:rPr>
        <w:t>2022年部门支出预算为</w:t>
      </w:r>
      <w:r>
        <w:rPr>
          <w:rFonts w:hint="eastAsia" w:eastAsia="方正仿宋_GBK" w:cs="Times New Roman"/>
          <w:color w:val="auto"/>
          <w:sz w:val="28"/>
          <w:lang w:val="en-US" w:eastAsia="zh-CN"/>
        </w:rPr>
        <w:t>289.58</w:t>
      </w:r>
      <w:r>
        <w:rPr>
          <w:rFonts w:hint="eastAsia" w:eastAsia="方正仿宋_GBK" w:cs="Times New Roman"/>
          <w:color w:val="auto"/>
          <w:sz w:val="28"/>
          <w:lang w:eastAsia="zh-CN"/>
        </w:rPr>
        <w:t>万元，其中基本支出</w:t>
      </w:r>
      <w:r>
        <w:rPr>
          <w:rFonts w:hint="eastAsia" w:eastAsia="方正仿宋_GBK" w:cs="Times New Roman"/>
          <w:color w:val="auto"/>
          <w:sz w:val="28"/>
          <w:lang w:val="en-US" w:eastAsia="zh-CN"/>
        </w:rPr>
        <w:t>94.58</w:t>
      </w:r>
      <w:r>
        <w:rPr>
          <w:rFonts w:hint="eastAsia" w:eastAsia="方正仿宋_GBK" w:cs="Times New Roman"/>
          <w:color w:val="auto"/>
          <w:sz w:val="28"/>
          <w:lang w:eastAsia="zh-CN"/>
        </w:rPr>
        <w:t>万元，包括人员经费</w:t>
      </w:r>
      <w:r>
        <w:rPr>
          <w:rFonts w:hint="eastAsia" w:eastAsia="方正仿宋_GBK" w:cs="Times New Roman"/>
          <w:color w:val="auto"/>
          <w:sz w:val="28"/>
          <w:lang w:val="en-US" w:eastAsia="zh-CN"/>
        </w:rPr>
        <w:t>87.44</w:t>
      </w:r>
      <w:r>
        <w:rPr>
          <w:rFonts w:hint="eastAsia" w:eastAsia="方正仿宋_GBK" w:cs="Times New Roman"/>
          <w:color w:val="auto"/>
          <w:sz w:val="28"/>
          <w:lang w:eastAsia="zh-CN"/>
        </w:rPr>
        <w:t>万元和日常公用经费</w:t>
      </w:r>
      <w:r>
        <w:rPr>
          <w:rFonts w:hint="eastAsia" w:eastAsia="方正仿宋_GBK" w:cs="Times New Roman"/>
          <w:color w:val="auto"/>
          <w:sz w:val="28"/>
          <w:lang w:val="en-US" w:eastAsia="zh-CN"/>
        </w:rPr>
        <w:t>7.14</w:t>
      </w:r>
      <w:r>
        <w:rPr>
          <w:rFonts w:hint="eastAsia" w:eastAsia="方正仿宋_GBK" w:cs="Times New Roman"/>
          <w:color w:val="auto"/>
          <w:sz w:val="28"/>
          <w:lang w:eastAsia="zh-CN"/>
        </w:rPr>
        <w:t>万元；项目支出</w:t>
      </w:r>
      <w:r>
        <w:rPr>
          <w:rFonts w:hint="eastAsia" w:eastAsia="方正仿宋_GBK" w:cs="Times New Roman"/>
          <w:color w:val="auto"/>
          <w:sz w:val="28"/>
          <w:lang w:val="en-US" w:eastAsia="zh-CN"/>
        </w:rPr>
        <w:t>195</w:t>
      </w:r>
      <w:r>
        <w:rPr>
          <w:rFonts w:hint="eastAsia" w:eastAsia="方正仿宋_GBK" w:cs="Times New Roman"/>
          <w:color w:val="auto"/>
          <w:sz w:val="28"/>
          <w:lang w:eastAsia="zh-CN"/>
        </w:rPr>
        <w:t>万元，全部为本级支出，</w:t>
      </w:r>
      <w:r>
        <w:rPr>
          <w:rFonts w:hint="eastAsia" w:eastAsia="方正仿宋_GBK" w:cs="Times New Roman"/>
          <w:color w:val="auto"/>
          <w:sz w:val="28"/>
          <w:lang w:val="en-US" w:eastAsia="zh-CN"/>
        </w:rPr>
        <w:t>主</w:t>
      </w:r>
      <w:r>
        <w:rPr>
          <w:rFonts w:hint="eastAsia" w:ascii="Times New Roman" w:hAnsi="Times New Roman" w:eastAsia="方正仿宋_GBK" w:cs="Times New Roman"/>
          <w:color w:val="auto"/>
          <w:sz w:val="28"/>
          <w:lang w:val="en-US" w:eastAsia="zh-CN"/>
        </w:rPr>
        <w:t>要为</w:t>
      </w:r>
      <w:r>
        <w:rPr>
          <w:rFonts w:ascii="Times New Roman" w:hAnsi="Times New Roman" w:eastAsia="方正仿宋_GBK" w:cs="Times New Roman"/>
          <w:color w:val="auto"/>
          <w:sz w:val="28"/>
        </w:rPr>
        <w:t>创新发展研究工作经费</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全国大健康产业园共同体经费</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示范区重大政策申报争取工作经费</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示范区专家咨询经费</w:t>
      </w:r>
      <w:r>
        <w:rPr>
          <w:rFonts w:hint="eastAsia" w:ascii="Times New Roman" w:hAnsi="Times New Roman" w:eastAsia="方正仿宋_GBK" w:cs="Times New Roman"/>
          <w:color w:val="auto"/>
          <w:sz w:val="28"/>
          <w:lang w:eastAsia="zh-CN"/>
        </w:rPr>
        <w:t>。</w:t>
      </w:r>
    </w:p>
    <w:p>
      <w:pPr>
        <w:spacing w:before="0" w:after="0" w:line="500" w:lineRule="exact"/>
        <w:ind w:firstLine="560"/>
        <w:jc w:val="left"/>
        <w:outlineLvl w:val="9"/>
        <w:rPr>
          <w:rFonts w:hint="eastAsia" w:eastAsia="方正仿宋_GBK" w:cs="Times New Roman"/>
          <w:color w:val="auto"/>
          <w:sz w:val="28"/>
          <w:lang w:eastAsia="zh-CN"/>
        </w:rPr>
      </w:pPr>
      <w:r>
        <w:rPr>
          <w:rFonts w:hint="eastAsia" w:eastAsia="方正仿宋_GBK" w:cs="Times New Roman"/>
          <w:color w:val="auto"/>
          <w:sz w:val="28"/>
          <w:lang w:eastAsia="zh-CN"/>
        </w:rPr>
        <w:t>（三）比上年增减情况</w:t>
      </w:r>
    </w:p>
    <w:p>
      <w:pPr>
        <w:spacing w:before="0" w:after="0" w:line="500" w:lineRule="exact"/>
        <w:ind w:firstLine="560"/>
        <w:jc w:val="left"/>
        <w:outlineLvl w:val="9"/>
        <w:rPr>
          <w:rFonts w:hint="eastAsia" w:eastAsia="方正仿宋_GBK" w:cs="Times New Roman"/>
          <w:color w:val="auto"/>
          <w:sz w:val="28"/>
          <w:lang w:eastAsia="zh-CN"/>
        </w:rPr>
      </w:pPr>
      <w:r>
        <w:rPr>
          <w:rFonts w:hint="eastAsia" w:eastAsia="方正仿宋_GBK" w:cs="Times New Roman"/>
          <w:color w:val="auto"/>
          <w:sz w:val="28"/>
          <w:lang w:eastAsia="zh-CN"/>
        </w:rPr>
        <w:t>2022年部门预算较2021年增加</w:t>
      </w:r>
      <w:r>
        <w:rPr>
          <w:rFonts w:hint="eastAsia" w:eastAsia="方正仿宋_GBK" w:cs="Times New Roman"/>
          <w:color w:val="auto"/>
          <w:sz w:val="28"/>
          <w:lang w:val="en-US" w:eastAsia="zh-CN"/>
        </w:rPr>
        <w:t>55.75</w:t>
      </w:r>
      <w:r>
        <w:rPr>
          <w:rFonts w:hint="eastAsia" w:eastAsia="方正仿宋_GBK" w:cs="Times New Roman"/>
          <w:color w:val="auto"/>
          <w:sz w:val="28"/>
          <w:lang w:eastAsia="zh-CN"/>
        </w:rPr>
        <w:t>万元，其中基本支出增加</w:t>
      </w:r>
      <w:r>
        <w:rPr>
          <w:rFonts w:hint="eastAsia" w:eastAsia="方正仿宋_GBK" w:cs="Times New Roman"/>
          <w:color w:val="auto"/>
          <w:sz w:val="28"/>
          <w:lang w:val="en-US" w:eastAsia="zh-CN"/>
        </w:rPr>
        <w:t>18.75</w:t>
      </w:r>
      <w:r>
        <w:rPr>
          <w:rFonts w:hint="eastAsia" w:eastAsia="方正仿宋_GBK" w:cs="Times New Roman"/>
          <w:color w:val="auto"/>
          <w:sz w:val="28"/>
          <w:lang w:eastAsia="zh-CN"/>
        </w:rPr>
        <w:t>万元，</w:t>
      </w:r>
      <w:r>
        <w:rPr>
          <w:rFonts w:hint="eastAsia" w:eastAsia="方正仿宋_GBK" w:cs="Times New Roman"/>
          <w:color w:val="auto"/>
          <w:sz w:val="28"/>
          <w:lang w:val="en-US" w:eastAsia="zh-CN"/>
        </w:rPr>
        <w:t>人员经费增加19.23万元，</w:t>
      </w:r>
      <w:r>
        <w:rPr>
          <w:rFonts w:hint="eastAsia" w:eastAsia="方正仿宋_GBK" w:cs="Times New Roman"/>
          <w:color w:val="auto"/>
          <w:sz w:val="28"/>
          <w:lang w:eastAsia="zh-CN"/>
        </w:rPr>
        <w:t>日常公用经费</w:t>
      </w:r>
      <w:r>
        <w:rPr>
          <w:rFonts w:hint="eastAsia" w:eastAsia="方正仿宋_GBK" w:cs="Times New Roman"/>
          <w:color w:val="auto"/>
          <w:sz w:val="28"/>
          <w:lang w:val="en-US" w:eastAsia="zh-CN"/>
        </w:rPr>
        <w:t>减少0.48万元</w:t>
      </w:r>
      <w:r>
        <w:rPr>
          <w:rFonts w:hint="eastAsia" w:eastAsia="方正仿宋_GBK" w:cs="Times New Roman"/>
          <w:color w:val="auto"/>
          <w:sz w:val="28"/>
          <w:lang w:eastAsia="zh-CN"/>
        </w:rPr>
        <w:t>；项目支出增加</w:t>
      </w:r>
      <w:r>
        <w:rPr>
          <w:rFonts w:hint="eastAsia" w:eastAsia="方正仿宋_GBK" w:cs="Times New Roman"/>
          <w:color w:val="auto"/>
          <w:sz w:val="28"/>
          <w:lang w:val="en-US" w:eastAsia="zh-CN"/>
        </w:rPr>
        <w:t>37</w:t>
      </w:r>
      <w:r>
        <w:rPr>
          <w:rFonts w:hint="eastAsia" w:eastAsia="方正仿宋_GBK" w:cs="Times New Roman"/>
          <w:color w:val="auto"/>
          <w:sz w:val="28"/>
          <w:lang w:eastAsia="zh-CN"/>
        </w:rPr>
        <w:t>万元，主要是增加基本支出和项目支出。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hint="default" w:eastAsia="方正仿宋_GBK"/>
          <w:lang w:val="en-US" w:eastAsia="zh-CN"/>
        </w:rPr>
      </w:pPr>
      <w:r>
        <w:rPr>
          <w:rFonts w:hint="eastAsia"/>
          <w:lang w:eastAsia="zh-CN"/>
        </w:rPr>
        <w:t>机关运行经费共计安排</w:t>
      </w:r>
      <w:r>
        <w:rPr>
          <w:rFonts w:hint="eastAsia"/>
          <w:lang w:val="en-US" w:eastAsia="zh-CN"/>
        </w:rPr>
        <w:t>7.14万元，主要用于保证机关正常运转支出的办公费、印刷费、差旅费、会议费、福利费等支出。</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jc w:val="left"/>
        <w:outlineLvl w:val="2"/>
        <w:rPr>
          <w:rFonts w:hint="eastAsia" w:ascii="Times New Roman" w:hAnsi="Times New Roman" w:eastAsia="方正仿宋_GBK" w:cs="Times New Roman"/>
          <w:sz w:val="28"/>
          <w:szCs w:val="24"/>
          <w:lang w:val="en-US" w:eastAsia="zh-CN" w:bidi="ar-SA"/>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 xml:space="preserve"> 2022年，财政拨款“三公”经费预算安排0.08万元，其中因公出国（境）费0万元，公务用车购置及运维费0万元，公务接待费0.08万元，三公经费</w:t>
      </w:r>
      <w:r>
        <w:rPr>
          <w:rFonts w:hint="eastAsia" w:eastAsia="方正仿宋_GBK" w:cs="Times New Roman"/>
          <w:sz w:val="28"/>
          <w:szCs w:val="24"/>
          <w:lang w:val="en-US" w:eastAsia="zh-CN" w:bidi="ar-SA"/>
        </w:rPr>
        <w:t>与去年持平，无增减变化。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w:t>
      </w:r>
      <w:r>
        <w:rPr>
          <w:rFonts w:hint="eastAsia"/>
          <w:lang w:val="en-US" w:eastAsia="zh-CN"/>
        </w:rPr>
        <w:t>2</w:t>
      </w:r>
      <w:r>
        <w:t>年，是示范区抢抓机遇、迎难而上，绘制“十四五”规划蓝图的重要之年，打造一流国际康养旅游度假目的地见实效攻坚之年。北戴河生命健康产业研究院将坚持以习近平新时代中国特色社会主义思想为指导，贯彻落实党的十九大和十九届五中全会精神，紧紧围绕“健康中国”战略，发挥北戴河生命健康产业创业示范区及其周边地区资源优势，深入研究“医、药、养、健、游”等大健康产业，为实现示范区健康产业快速集聚，城市组团迅速崛起起到了积极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（一）加强规划编制，全力推进健康产业提质增效。</w:t>
      </w:r>
    </w:p>
    <w:p>
      <w:pPr>
        <w:pStyle w:val="24"/>
      </w:pPr>
      <w:r>
        <w:t>绩效目标：立足《示范区发展总体规划》，深入研究“医、药、养、健、游”产业细分方向，结合示范区的生态条件及北戴河区国家疗养胜地的政治优势，综合考量北京高端医疗资源的辐射带动作用，深度把脉与雄安、上海、深圳等地的竞争格局，寻求错位竞争、差异化发展。</w:t>
      </w:r>
    </w:p>
    <w:p>
      <w:pPr>
        <w:pStyle w:val="24"/>
      </w:pPr>
      <w:r>
        <w:t>绩效指标：高标准规划设计，修改和完善《北戴河生命健康产业创新示范区产业规划》，保证规划设计达标率100%。加大示范区核心区建设步伐，积极培育生命科学园、阿那亚、远洋蔚蓝海岸等一批康养品牌。</w:t>
      </w:r>
    </w:p>
    <w:p>
      <w:pPr>
        <w:pStyle w:val="24"/>
      </w:pPr>
      <w:r>
        <w:t>（二）强化政策支撑，推动医疗服务与旅游融合发展</w:t>
      </w:r>
    </w:p>
    <w:p>
      <w:pPr>
        <w:pStyle w:val="24"/>
      </w:pPr>
      <w:r>
        <w:t>绩效目标：围绕破解阻碍生命健康产业的发展掣肘，加大政策创新力度。努力实现示范区内药品、器械、医疗技术与国外先进水平“三同步”，切实实现“高端、高新、高级”。</w:t>
      </w:r>
    </w:p>
    <w:p>
      <w:pPr>
        <w:pStyle w:val="24"/>
      </w:pPr>
      <w:r>
        <w:t>绩效指标：1.一方面要继续围绕国家区域医疗中心建设，争取新药、新器械、新技术与国外先进水平同步。另一方面要着眼示范区目前发展现状，研究制定支持和促进旅游、康养等产业发展政策措施，以推动现有旅游康养产业提档升级，实现经济快速增长。</w:t>
      </w:r>
    </w:p>
    <w:p>
      <w:pPr>
        <w:pStyle w:val="24"/>
      </w:pPr>
      <w:r>
        <w:t>2.研究制定政策文章篇数大于3篇。</w:t>
      </w:r>
    </w:p>
    <w:p>
      <w:pPr>
        <w:pStyle w:val="24"/>
      </w:pPr>
      <w:r>
        <w:t>3.借助政策优势引入企业、项目数量大于2个。</w:t>
      </w:r>
    </w:p>
    <w:p>
      <w:pPr>
        <w:pStyle w:val="24"/>
      </w:pPr>
      <w:r>
        <w:t>（三）全力推进课题调研，明确发展路径，提出对策建议。（创新发展研究工作）</w:t>
      </w:r>
    </w:p>
    <w:p>
      <w:pPr>
        <w:pStyle w:val="24"/>
      </w:pPr>
      <w:r>
        <w:t>绩效目标：紧盯新区相关产业发展动态，围绕新区重点产业及新产业、新业态开展调查研究，针对重点课题撰写调研报告，剖析产业实际、提出发展目标、明确发展路径，努力做新区产业发展的“说明书”、“明白卡”，发挥参谋助手作用。</w:t>
      </w:r>
    </w:p>
    <w:p>
      <w:pPr>
        <w:pStyle w:val="24"/>
      </w:pPr>
      <w:r>
        <w:t>绩效指标：1.完成专题课题研究大于8个。</w:t>
      </w:r>
    </w:p>
    <w:p>
      <w:pPr>
        <w:pStyle w:val="24"/>
      </w:pPr>
      <w:r>
        <w:t>2.参与决策咨询活动次数大于20次。</w:t>
      </w:r>
    </w:p>
    <w:p>
      <w:pPr>
        <w:pStyle w:val="24"/>
      </w:pPr>
      <w:r>
        <w:t>（四）加强与与省发改委社会的交流合作</w:t>
      </w:r>
    </w:p>
    <w:p>
      <w:pPr>
        <w:pStyle w:val="24"/>
      </w:pPr>
      <w:r>
        <w:t>绩效目标：保障省领导小组办公室正常运转，建立政策跑办争取绿色通道，推动省级层面对示范区建设工作的支持。</w:t>
      </w:r>
    </w:p>
    <w:p>
      <w:pPr>
        <w:pStyle w:val="24"/>
      </w:pPr>
      <w:r>
        <w:t>绩效指标：印发文件数量大于1篇。</w:t>
      </w:r>
    </w:p>
    <w:p>
      <w:pPr>
        <w:pStyle w:val="24"/>
      </w:pPr>
      <w:r>
        <w:t>（五）推动北戴河生命健康产业创新示范区专家咨询委员会各项工作</w:t>
      </w:r>
    </w:p>
    <w:p>
      <w:pPr>
        <w:pStyle w:val="24"/>
      </w:pPr>
      <w:r>
        <w:t>绩效目标：通过建立开放式的合作交流平台，与国内外有关智库机构建立对接联系，开展合作研究、交流互访。</w:t>
      </w:r>
    </w:p>
    <w:p>
      <w:pPr>
        <w:pStyle w:val="24"/>
      </w:pPr>
      <w:r>
        <w:t>绩效指标：1.专家委员发表的研究课题数量大于14篇。</w:t>
      </w:r>
    </w:p>
    <w:p>
      <w:pPr>
        <w:pStyle w:val="24"/>
      </w:pPr>
      <w:r>
        <w:t>2.邀请专家到示范区组织培训和召开座谈会次数不少于2次。</w:t>
      </w:r>
    </w:p>
    <w:p>
      <w:pPr>
        <w:pStyle w:val="24"/>
      </w:pPr>
      <w:r>
        <w:t xml:space="preserve">3.与专家沟通联络咨询活动次数大于20次。      </w:t>
      </w:r>
    </w:p>
    <w:p>
      <w:pPr>
        <w:pStyle w:val="24"/>
      </w:pPr>
      <w:r>
        <w:t>（六）示范区发展相关政策研究工作</w:t>
      </w:r>
    </w:p>
    <w:p>
      <w:pPr>
        <w:pStyle w:val="24"/>
      </w:pPr>
      <w:r>
        <w:t>绩效目标：为深入研究医疗机构设置运营监管以及社会办医医保、税收、筹融资等方面政策，谋划制定相关政策支持示范区医疗、康养等产业发展。与国家卫健委卫生发展研究中心就示范区发展相关政策课题研究建立合作关系，保障示范区发展相关政策研究顺利开展。</w:t>
      </w:r>
    </w:p>
    <w:p>
      <w:pPr>
        <w:pStyle w:val="24"/>
      </w:pPr>
      <w:r>
        <w:t>绩效指标：协助制定示范区医疗、旅游、康养等方面政策措施，借助国家智库力量，加速推动示范区快速健康发展。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一）加强组织领导，明确工作责任。</w:t>
      </w:r>
    </w:p>
    <w:p>
      <w:pPr>
        <w:pStyle w:val="25"/>
      </w:pPr>
      <w:r>
        <w:t>高度重视预算绩效各项工作，切实加强领导，增强责任意识，召开专题会议精心谋划，周密部署，明确责任分工，重点工作成立工作专班，扎实推动，确保落实。</w:t>
      </w:r>
    </w:p>
    <w:p>
      <w:pPr>
        <w:pStyle w:val="25"/>
      </w:pPr>
      <w:r>
        <w:t>（二）完善制度建设</w:t>
      </w:r>
    </w:p>
    <w:p>
      <w:pPr>
        <w:pStyle w:val="25"/>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5"/>
      </w:pPr>
      <w:r>
        <w:t>（三）加强支出管理</w:t>
      </w:r>
    </w:p>
    <w:p>
      <w:pPr>
        <w:pStyle w:val="25"/>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5"/>
      </w:pPr>
      <w:r>
        <w:t>（四）加强绩效运行监控</w:t>
      </w:r>
    </w:p>
    <w:p>
      <w:pPr>
        <w:pStyle w:val="25"/>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5"/>
      </w:pPr>
      <w:r>
        <w:t>（五）做好绩效自评</w:t>
      </w:r>
    </w:p>
    <w:p>
      <w:pPr>
        <w:pStyle w:val="25"/>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5"/>
      </w:pPr>
      <w:r>
        <w:t>（六）规范财务资产管理</w:t>
      </w:r>
    </w:p>
    <w:p>
      <w:pPr>
        <w:pStyle w:val="25"/>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5"/>
      </w:pPr>
      <w:r>
        <w:t>（七）加强内部监督</w:t>
      </w:r>
    </w:p>
    <w:p>
      <w:pPr>
        <w:pStyle w:val="25"/>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5"/>
      </w:pPr>
      <w:r>
        <w:t>（八）加强宣传培训调研等</w:t>
      </w:r>
    </w:p>
    <w:p>
      <w:pPr>
        <w:pStyle w:val="25"/>
      </w:pPr>
      <w:r>
        <w:t xml:space="preserve">强化信息宣传，营造良好氛围。进一步加大发改领域信息宣传工作力度，扩大宣传范围，创新宣传方式，让各项制度简单明了、人人掌握，确保业务工作顺利进行。最大限度地争取社会各界对发改领域法规政策的理解和支持，树立发改部门良好的社会形象。 </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第二部分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1、创新发展研究工作经费绩效目标表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紧盯我区相关产业动态发展，围绕我区重点产业及新产业、新业态开展调查研究，针对重点课题撰写调研报告，剖析产业实际、提出发展目标、明确发展路径，努力做我区发展的说明书、明白卡、发挥参谋助手作用。</w:t>
            </w:r>
          </w:p>
          <w:p>
            <w:pPr>
              <w:pStyle w:val="28"/>
            </w:pPr>
            <w:r>
              <w:t>2.保障研究院日常办公需要。</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完成专题课题研究</w:t>
            </w:r>
          </w:p>
        </w:tc>
        <w:tc>
          <w:tcPr>
            <w:tcW w:w="2835" w:type="dxa"/>
            <w:vAlign w:val="center"/>
          </w:tcPr>
          <w:p>
            <w:pPr>
              <w:pStyle w:val="28"/>
            </w:pPr>
            <w:r>
              <w:t>形成调研报告数量</w:t>
            </w:r>
          </w:p>
        </w:tc>
        <w:tc>
          <w:tcPr>
            <w:tcW w:w="2551" w:type="dxa"/>
            <w:vAlign w:val="center"/>
          </w:tcPr>
          <w:p>
            <w:pPr>
              <w:pStyle w:val="28"/>
            </w:pPr>
            <w:r>
              <w:t>≥8个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高水平调研</w:t>
            </w:r>
          </w:p>
        </w:tc>
        <w:tc>
          <w:tcPr>
            <w:tcW w:w="2835" w:type="dxa"/>
            <w:vAlign w:val="center"/>
          </w:tcPr>
          <w:p>
            <w:pPr>
              <w:pStyle w:val="28"/>
            </w:pPr>
            <w:r>
              <w:t>针对重点课题撰写调研报告，剖析产业实际、提出发展目标、明确发展路径、努力做我区产业发展的说明书。</w:t>
            </w:r>
          </w:p>
        </w:tc>
        <w:tc>
          <w:tcPr>
            <w:tcW w:w="2551" w:type="dxa"/>
            <w:vAlign w:val="center"/>
          </w:tcPr>
          <w:p>
            <w:pPr>
              <w:pStyle w:val="28"/>
            </w:pPr>
            <w:r>
              <w:t>确保完成工管委交办的各项调研任务。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参与决策咨询活动</w:t>
            </w:r>
          </w:p>
        </w:tc>
        <w:tc>
          <w:tcPr>
            <w:tcW w:w="2835" w:type="dxa"/>
            <w:vAlign w:val="center"/>
          </w:tcPr>
          <w:p>
            <w:pPr>
              <w:pStyle w:val="28"/>
            </w:pPr>
            <w:r>
              <w:t>参与决策咨询活动次数</w:t>
            </w:r>
          </w:p>
        </w:tc>
        <w:tc>
          <w:tcPr>
            <w:tcW w:w="2551" w:type="dxa"/>
            <w:vAlign w:val="center"/>
          </w:tcPr>
          <w:p>
            <w:pPr>
              <w:pStyle w:val="28"/>
            </w:pPr>
            <w:r>
              <w:t>≥10次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全力推进课题调研</w:t>
            </w:r>
          </w:p>
        </w:tc>
        <w:tc>
          <w:tcPr>
            <w:tcW w:w="2835" w:type="dxa"/>
            <w:vAlign w:val="center"/>
          </w:tcPr>
          <w:p>
            <w:pPr>
              <w:pStyle w:val="28"/>
            </w:pPr>
            <w:r>
              <w:t>全力推进课题调研，明确发展路径，提出对策建议。</w:t>
            </w:r>
          </w:p>
        </w:tc>
        <w:tc>
          <w:tcPr>
            <w:tcW w:w="2551" w:type="dxa"/>
            <w:vAlign w:val="center"/>
          </w:tcPr>
          <w:p>
            <w:pPr>
              <w:pStyle w:val="28"/>
            </w:pPr>
            <w:r>
              <w:t>确保研究院工作正常运行</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促进生态发展</w:t>
            </w:r>
          </w:p>
        </w:tc>
        <w:tc>
          <w:tcPr>
            <w:tcW w:w="2835" w:type="dxa"/>
            <w:vAlign w:val="center"/>
          </w:tcPr>
          <w:p>
            <w:pPr>
              <w:pStyle w:val="28"/>
            </w:pPr>
            <w:r>
              <w:t>促进生态发展</w:t>
            </w:r>
          </w:p>
        </w:tc>
        <w:tc>
          <w:tcPr>
            <w:tcW w:w="2551" w:type="dxa"/>
            <w:vAlign w:val="center"/>
          </w:tcPr>
          <w:p>
            <w:pPr>
              <w:pStyle w:val="28"/>
            </w:pPr>
            <w:r>
              <w:t>促进生态发展</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促进社会发展</w:t>
            </w:r>
          </w:p>
        </w:tc>
        <w:tc>
          <w:tcPr>
            <w:tcW w:w="2835" w:type="dxa"/>
            <w:vAlign w:val="center"/>
          </w:tcPr>
          <w:p>
            <w:pPr>
              <w:pStyle w:val="28"/>
            </w:pPr>
            <w:r>
              <w:t>促进社会发展</w:t>
            </w:r>
          </w:p>
        </w:tc>
        <w:tc>
          <w:tcPr>
            <w:tcW w:w="2551" w:type="dxa"/>
            <w:vAlign w:val="center"/>
          </w:tcPr>
          <w:p>
            <w:pPr>
              <w:pStyle w:val="28"/>
            </w:pPr>
            <w:r>
              <w:t>促进社会发展</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满意程度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2、全国大健康产业园共同体经费绩效目标表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1.发布《全国大健康产业园共同体发展蓝皮书》</w:t>
            </w:r>
          </w:p>
          <w:p>
            <w:pPr>
              <w:pStyle w:val="28"/>
            </w:pPr>
            <w:r>
              <w:t>2.举办全国大健康产业园共同体会议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论文调研报告数量</w:t>
            </w:r>
          </w:p>
        </w:tc>
        <w:tc>
          <w:tcPr>
            <w:tcW w:w="2835" w:type="dxa"/>
            <w:vAlign w:val="center"/>
          </w:tcPr>
          <w:p>
            <w:pPr>
              <w:pStyle w:val="28"/>
            </w:pPr>
            <w:r>
              <w:t>发布《全国大健康产业园共同体发展蓝皮书》</w:t>
            </w:r>
          </w:p>
        </w:tc>
        <w:tc>
          <w:tcPr>
            <w:tcW w:w="2551" w:type="dxa"/>
            <w:vAlign w:val="center"/>
          </w:tcPr>
          <w:p>
            <w:pPr>
              <w:pStyle w:val="28"/>
            </w:pPr>
            <w:r>
              <w:t>≥1个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论文调研报告质量</w:t>
            </w:r>
          </w:p>
        </w:tc>
        <w:tc>
          <w:tcPr>
            <w:tcW w:w="2835" w:type="dxa"/>
            <w:vAlign w:val="center"/>
          </w:tcPr>
          <w:p>
            <w:pPr>
              <w:pStyle w:val="28"/>
            </w:pPr>
            <w:r>
              <w:t>蓝皮书质量</w:t>
            </w:r>
          </w:p>
        </w:tc>
        <w:tc>
          <w:tcPr>
            <w:tcW w:w="2551" w:type="dxa"/>
            <w:vAlign w:val="center"/>
          </w:tcPr>
          <w:p>
            <w:pPr>
              <w:pStyle w:val="28"/>
            </w:pPr>
            <w:r>
              <w:t>≥2个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与专家沟通联络</w:t>
            </w:r>
          </w:p>
        </w:tc>
        <w:tc>
          <w:tcPr>
            <w:tcW w:w="2835" w:type="dxa"/>
            <w:vAlign w:val="center"/>
          </w:tcPr>
          <w:p>
            <w:pPr>
              <w:pStyle w:val="28"/>
            </w:pPr>
            <w:r>
              <w:t>沟通联络次数</w:t>
            </w:r>
          </w:p>
        </w:tc>
        <w:tc>
          <w:tcPr>
            <w:tcW w:w="2551" w:type="dxa"/>
            <w:vAlign w:val="center"/>
          </w:tcPr>
          <w:p>
            <w:pPr>
              <w:pStyle w:val="28"/>
            </w:pPr>
            <w:r>
              <w:t>≥10次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研究制定调研课题</w:t>
            </w:r>
          </w:p>
        </w:tc>
        <w:tc>
          <w:tcPr>
            <w:tcW w:w="2835" w:type="dxa"/>
            <w:vAlign w:val="center"/>
          </w:tcPr>
          <w:p>
            <w:pPr>
              <w:pStyle w:val="28"/>
            </w:pPr>
            <w:r>
              <w:t>形成调研报告数量</w:t>
            </w:r>
          </w:p>
        </w:tc>
        <w:tc>
          <w:tcPr>
            <w:tcW w:w="2551" w:type="dxa"/>
            <w:vAlign w:val="center"/>
          </w:tcPr>
          <w:p>
            <w:pPr>
              <w:pStyle w:val="28"/>
            </w:pPr>
            <w:r>
              <w:t>≥5个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示范带动作用</w:t>
            </w:r>
          </w:p>
        </w:tc>
        <w:tc>
          <w:tcPr>
            <w:tcW w:w="2835" w:type="dxa"/>
            <w:vAlign w:val="center"/>
          </w:tcPr>
          <w:p>
            <w:pPr>
              <w:pStyle w:val="28"/>
            </w:pPr>
            <w:r>
              <w:t>通过专家影响力，提升示范区知名度</w:t>
            </w:r>
          </w:p>
        </w:tc>
        <w:tc>
          <w:tcPr>
            <w:tcW w:w="2551" w:type="dxa"/>
            <w:vAlign w:val="center"/>
          </w:tcPr>
          <w:p>
            <w:pPr>
              <w:pStyle w:val="28"/>
            </w:pPr>
            <w:r>
              <w:t>宣传支持示范区建设</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搭建沟通平台</w:t>
            </w:r>
          </w:p>
        </w:tc>
        <w:tc>
          <w:tcPr>
            <w:tcW w:w="2835" w:type="dxa"/>
            <w:vAlign w:val="center"/>
          </w:tcPr>
          <w:p>
            <w:pPr>
              <w:pStyle w:val="28"/>
            </w:pPr>
            <w:r>
              <w:t>参与决策咨询活动次数</w:t>
            </w:r>
          </w:p>
        </w:tc>
        <w:tc>
          <w:tcPr>
            <w:tcW w:w="2551" w:type="dxa"/>
            <w:vAlign w:val="center"/>
          </w:tcPr>
          <w:p>
            <w:pPr>
              <w:pStyle w:val="28"/>
            </w:pPr>
            <w:r>
              <w:t>≥10次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满意程度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3、示范区重大政策申报争取工作经费绩效目标表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1.研究制定示范区支持政策，对接省直相关部门、国家有关部委，全力争取示范区在国家政策层面改革创新、先行先试，持续获得国家政策支持，构建示范区政策支撑体系。</w:t>
            </w:r>
          </w:p>
          <w:p>
            <w:pPr>
              <w:pStyle w:val="28"/>
            </w:pPr>
            <w:r>
              <w:t>2.围绕破解阻碍生命健康产业的发展掣肘，加大政策创新力度。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论文、研究报告数量</w:t>
            </w:r>
          </w:p>
        </w:tc>
        <w:tc>
          <w:tcPr>
            <w:tcW w:w="2835" w:type="dxa"/>
            <w:vAlign w:val="center"/>
          </w:tcPr>
          <w:p>
            <w:pPr>
              <w:pStyle w:val="28"/>
            </w:pPr>
            <w:r>
              <w:t>研究制定争取政策数量</w:t>
            </w:r>
          </w:p>
        </w:tc>
        <w:tc>
          <w:tcPr>
            <w:tcW w:w="2551" w:type="dxa"/>
            <w:vAlign w:val="center"/>
          </w:tcPr>
          <w:p>
            <w:pPr>
              <w:pStyle w:val="28"/>
            </w:pPr>
            <w:r>
              <w:t>≥3个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争取各种支持示范区建设的政策</w:t>
            </w:r>
          </w:p>
        </w:tc>
        <w:tc>
          <w:tcPr>
            <w:tcW w:w="2835" w:type="dxa"/>
            <w:vAlign w:val="center"/>
          </w:tcPr>
          <w:p>
            <w:pPr>
              <w:pStyle w:val="28"/>
            </w:pPr>
            <w:r>
              <w:t>着眼于示范区目前发展现状，研究制定支持和促进旅游、康养等产业发展政策措施，</w:t>
            </w:r>
          </w:p>
        </w:tc>
        <w:tc>
          <w:tcPr>
            <w:tcW w:w="2551" w:type="dxa"/>
            <w:vAlign w:val="center"/>
          </w:tcPr>
          <w:p>
            <w:pPr>
              <w:pStyle w:val="28"/>
            </w:pPr>
            <w:r>
              <w:t>持续获得国家政策支持，构建示范区政策支撑体系</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争取相关政策</w:t>
            </w:r>
          </w:p>
        </w:tc>
        <w:tc>
          <w:tcPr>
            <w:tcW w:w="2835" w:type="dxa"/>
            <w:vAlign w:val="center"/>
          </w:tcPr>
          <w:p>
            <w:pPr>
              <w:pStyle w:val="28"/>
            </w:pPr>
            <w:r>
              <w:t>借助政策优势引入企业、项目数量</w:t>
            </w:r>
          </w:p>
        </w:tc>
        <w:tc>
          <w:tcPr>
            <w:tcW w:w="2551" w:type="dxa"/>
            <w:vAlign w:val="center"/>
          </w:tcPr>
          <w:p>
            <w:pPr>
              <w:pStyle w:val="28"/>
            </w:pPr>
            <w:r>
              <w:t>加大政策创新力度</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调研成本</w:t>
            </w:r>
          </w:p>
        </w:tc>
        <w:tc>
          <w:tcPr>
            <w:tcW w:w="2835" w:type="dxa"/>
            <w:vAlign w:val="center"/>
          </w:tcPr>
          <w:p>
            <w:pPr>
              <w:pStyle w:val="28"/>
            </w:pPr>
            <w:r>
              <w:t>形成调研报告</w:t>
            </w:r>
          </w:p>
        </w:tc>
        <w:tc>
          <w:tcPr>
            <w:tcW w:w="2551" w:type="dxa"/>
            <w:vAlign w:val="center"/>
          </w:tcPr>
          <w:p>
            <w:pPr>
              <w:pStyle w:val="28"/>
            </w:pPr>
            <w:r>
              <w:t>≥2个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推动现有旅游康养产业提档省级，实现经济快速增长</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促进生态发展</w:t>
            </w:r>
          </w:p>
        </w:tc>
        <w:tc>
          <w:tcPr>
            <w:tcW w:w="2835" w:type="dxa"/>
            <w:vAlign w:val="center"/>
          </w:tcPr>
          <w:p>
            <w:pPr>
              <w:pStyle w:val="28"/>
            </w:pPr>
            <w:r>
              <w:t>促进生态发展</w:t>
            </w:r>
          </w:p>
        </w:tc>
        <w:tc>
          <w:tcPr>
            <w:tcW w:w="2551" w:type="dxa"/>
            <w:vAlign w:val="center"/>
          </w:tcPr>
          <w:p>
            <w:pPr>
              <w:pStyle w:val="28"/>
            </w:pPr>
            <w:r>
              <w:t>促进生态发展</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推动现有旅游康养产业提档省级，实现经济快速增长</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通过政策优势引进项目</w:t>
            </w:r>
          </w:p>
        </w:tc>
        <w:tc>
          <w:tcPr>
            <w:tcW w:w="2835" w:type="dxa"/>
            <w:vAlign w:val="center"/>
          </w:tcPr>
          <w:p>
            <w:pPr>
              <w:pStyle w:val="28"/>
            </w:pPr>
            <w:r>
              <w:t>加大政策创新力度，借助政策优势引进优质项目</w:t>
            </w:r>
          </w:p>
        </w:tc>
        <w:tc>
          <w:tcPr>
            <w:tcW w:w="2551" w:type="dxa"/>
            <w:vAlign w:val="center"/>
          </w:tcPr>
          <w:p>
            <w:pPr>
              <w:pStyle w:val="28"/>
            </w:pPr>
            <w:r>
              <w:t>推动现有旅游康养产业提档省级，实现经济快速增长</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工作计划</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4、示范区专家咨询经费绩效目标表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1.北戴河生命健康产业创新示范区专家咨询委员会专家委员基本咨询费和专项咨询费，为示范区建设建言献策。</w:t>
            </w:r>
            <w:r>
              <w:tab/>
            </w:r>
            <w:r>
              <w:tab/>
            </w:r>
            <w:r>
              <w:tab/>
            </w:r>
          </w:p>
          <w:p>
            <w:pPr>
              <w:pStyle w:val="28"/>
            </w:pPr>
            <w:r>
              <w:t>2.建立开放式的创新交流平台，与国内外有关智库机构建立对接关系，开展合作研究、交流互访等活动。</w:t>
            </w:r>
            <w:r>
              <w:tab/>
            </w:r>
            <w:r>
              <w:tab/>
            </w:r>
            <w:r>
              <w:tab/>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论文、研究报告数量</w:t>
            </w:r>
          </w:p>
        </w:tc>
        <w:tc>
          <w:tcPr>
            <w:tcW w:w="2835" w:type="dxa"/>
            <w:vAlign w:val="center"/>
          </w:tcPr>
          <w:p>
            <w:pPr>
              <w:pStyle w:val="28"/>
            </w:pPr>
            <w:r>
              <w:t>撰写调研报告数量</w:t>
            </w:r>
          </w:p>
        </w:tc>
        <w:tc>
          <w:tcPr>
            <w:tcW w:w="2551" w:type="dxa"/>
            <w:vAlign w:val="center"/>
          </w:tcPr>
          <w:p>
            <w:pPr>
              <w:pStyle w:val="28"/>
            </w:pPr>
            <w:r>
              <w:t>≥3个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提出方案、措施等数量</w:t>
            </w:r>
          </w:p>
        </w:tc>
        <w:tc>
          <w:tcPr>
            <w:tcW w:w="2835" w:type="dxa"/>
            <w:vAlign w:val="center"/>
          </w:tcPr>
          <w:p>
            <w:pPr>
              <w:pStyle w:val="28"/>
            </w:pPr>
            <w:r>
              <w:t>针对示范区发展遇到的问题、需要支持的事项提供解决方案</w:t>
            </w:r>
          </w:p>
        </w:tc>
        <w:tc>
          <w:tcPr>
            <w:tcW w:w="2551" w:type="dxa"/>
            <w:vAlign w:val="center"/>
          </w:tcPr>
          <w:p>
            <w:pPr>
              <w:pStyle w:val="28"/>
            </w:pPr>
            <w:r>
              <w:t>持续获得国家政策支持，构建示范区政策支撑体系</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办会数量</w:t>
            </w:r>
          </w:p>
        </w:tc>
        <w:tc>
          <w:tcPr>
            <w:tcW w:w="2835" w:type="dxa"/>
            <w:vAlign w:val="center"/>
          </w:tcPr>
          <w:p>
            <w:pPr>
              <w:pStyle w:val="28"/>
            </w:pPr>
            <w:r>
              <w:t>邀请专家到示范区举办培训会、交流会等次数</w:t>
            </w:r>
          </w:p>
        </w:tc>
        <w:tc>
          <w:tcPr>
            <w:tcW w:w="2551" w:type="dxa"/>
            <w:vAlign w:val="center"/>
          </w:tcPr>
          <w:p>
            <w:pPr>
              <w:pStyle w:val="28"/>
            </w:pPr>
            <w:r>
              <w:t>加大政策创新力度</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建立交流平台</w:t>
            </w:r>
          </w:p>
        </w:tc>
        <w:tc>
          <w:tcPr>
            <w:tcW w:w="2835" w:type="dxa"/>
            <w:vAlign w:val="center"/>
          </w:tcPr>
          <w:p>
            <w:pPr>
              <w:pStyle w:val="28"/>
            </w:pPr>
            <w:r>
              <w:t>支付专家咨询委员会专家委员基本咨询费和专项咨询费</w:t>
            </w:r>
          </w:p>
        </w:tc>
        <w:tc>
          <w:tcPr>
            <w:tcW w:w="2551" w:type="dxa"/>
            <w:vAlign w:val="center"/>
          </w:tcPr>
          <w:p>
            <w:pPr>
              <w:pStyle w:val="28"/>
            </w:pPr>
            <w:r>
              <w:t>≥2个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推动现有旅游康养产业提档省级，实现经济快速增长</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促进生态发展</w:t>
            </w:r>
          </w:p>
        </w:tc>
        <w:tc>
          <w:tcPr>
            <w:tcW w:w="2835" w:type="dxa"/>
            <w:vAlign w:val="center"/>
          </w:tcPr>
          <w:p>
            <w:pPr>
              <w:pStyle w:val="28"/>
            </w:pPr>
            <w:r>
              <w:t>促进生态发展</w:t>
            </w:r>
          </w:p>
        </w:tc>
        <w:tc>
          <w:tcPr>
            <w:tcW w:w="2551" w:type="dxa"/>
            <w:vAlign w:val="center"/>
          </w:tcPr>
          <w:p>
            <w:pPr>
              <w:pStyle w:val="28"/>
            </w:pPr>
            <w:r>
              <w:t>促进生态发展</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推动现有旅游康养产业提档省级，实现经济快速增长</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通过政策优势引进项目</w:t>
            </w:r>
          </w:p>
        </w:tc>
        <w:tc>
          <w:tcPr>
            <w:tcW w:w="2835" w:type="dxa"/>
            <w:vAlign w:val="center"/>
          </w:tcPr>
          <w:p>
            <w:pPr>
              <w:pStyle w:val="28"/>
            </w:pPr>
            <w:r>
              <w:t>加大政策创新力度，借助政策优势引进优质项目</w:t>
            </w:r>
          </w:p>
        </w:tc>
        <w:tc>
          <w:tcPr>
            <w:tcW w:w="2551" w:type="dxa"/>
            <w:vAlign w:val="center"/>
          </w:tcPr>
          <w:p>
            <w:pPr>
              <w:pStyle w:val="28"/>
            </w:pPr>
            <w:r>
              <w:t>推动现有旅游康养产业提档省级，实现经济快速增长</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工作计划</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5、示范区专家咨询委员会秘书处经费绩效目标表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1.做好示范区专家咨询委员会秘书处各项工作。</w:t>
            </w:r>
          </w:p>
          <w:p>
            <w:pPr>
              <w:pStyle w:val="28"/>
            </w:pPr>
            <w:r>
              <w:t>2.做好示范区专家咨询委员会委员的日常协调和服务工作。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论文调研报告数量</w:t>
            </w:r>
          </w:p>
        </w:tc>
        <w:tc>
          <w:tcPr>
            <w:tcW w:w="2835" w:type="dxa"/>
            <w:vAlign w:val="center"/>
          </w:tcPr>
          <w:p>
            <w:pPr>
              <w:pStyle w:val="28"/>
            </w:pPr>
            <w:r>
              <w:t>专家委员发表的研究课题数量</w:t>
            </w:r>
          </w:p>
        </w:tc>
        <w:tc>
          <w:tcPr>
            <w:tcW w:w="2551" w:type="dxa"/>
            <w:vAlign w:val="center"/>
          </w:tcPr>
          <w:p>
            <w:pPr>
              <w:pStyle w:val="28"/>
            </w:pPr>
            <w:r>
              <w:t>≥5个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形成可行性调研报告数量</w:t>
            </w:r>
          </w:p>
        </w:tc>
        <w:tc>
          <w:tcPr>
            <w:tcW w:w="2835" w:type="dxa"/>
            <w:vAlign w:val="center"/>
          </w:tcPr>
          <w:p>
            <w:pPr>
              <w:pStyle w:val="28"/>
            </w:pPr>
            <w:r>
              <w:t>专家委员对示范区发展提出的可行性报告</w:t>
            </w:r>
          </w:p>
        </w:tc>
        <w:tc>
          <w:tcPr>
            <w:tcW w:w="2551" w:type="dxa"/>
            <w:vAlign w:val="center"/>
          </w:tcPr>
          <w:p>
            <w:pPr>
              <w:pStyle w:val="28"/>
            </w:pPr>
            <w:r>
              <w:t>≥2个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加强与专家的沟通联络</w:t>
            </w:r>
          </w:p>
        </w:tc>
        <w:tc>
          <w:tcPr>
            <w:tcW w:w="2835" w:type="dxa"/>
            <w:vAlign w:val="center"/>
          </w:tcPr>
          <w:p>
            <w:pPr>
              <w:pStyle w:val="28"/>
            </w:pPr>
            <w:r>
              <w:t>参与决策咨询活动次数</w:t>
            </w:r>
          </w:p>
        </w:tc>
        <w:tc>
          <w:tcPr>
            <w:tcW w:w="2551" w:type="dxa"/>
            <w:vAlign w:val="center"/>
          </w:tcPr>
          <w:p>
            <w:pPr>
              <w:pStyle w:val="28"/>
            </w:pPr>
            <w:r>
              <w:t>≥10次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研究制定调研课题</w:t>
            </w:r>
          </w:p>
        </w:tc>
        <w:tc>
          <w:tcPr>
            <w:tcW w:w="2835" w:type="dxa"/>
            <w:vAlign w:val="center"/>
          </w:tcPr>
          <w:p>
            <w:pPr>
              <w:pStyle w:val="28"/>
            </w:pPr>
            <w:r>
              <w:t>形成调研报告数量</w:t>
            </w:r>
          </w:p>
        </w:tc>
        <w:tc>
          <w:tcPr>
            <w:tcW w:w="2551" w:type="dxa"/>
            <w:vAlign w:val="center"/>
          </w:tcPr>
          <w:p>
            <w:pPr>
              <w:pStyle w:val="28"/>
            </w:pPr>
            <w:r>
              <w:t>≥5个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通过专家影响力，提升示范区知名度</w:t>
            </w:r>
          </w:p>
        </w:tc>
        <w:tc>
          <w:tcPr>
            <w:tcW w:w="2551" w:type="dxa"/>
            <w:vAlign w:val="center"/>
          </w:tcPr>
          <w:p>
            <w:pPr>
              <w:pStyle w:val="28"/>
            </w:pPr>
            <w:r>
              <w:t>宣传支持示范区建设</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搭建沟通平台</w:t>
            </w:r>
          </w:p>
        </w:tc>
        <w:tc>
          <w:tcPr>
            <w:tcW w:w="2835" w:type="dxa"/>
            <w:vAlign w:val="center"/>
          </w:tcPr>
          <w:p>
            <w:pPr>
              <w:pStyle w:val="28"/>
            </w:pPr>
            <w:r>
              <w:t>参与决策咨询活动次数</w:t>
            </w:r>
          </w:p>
        </w:tc>
        <w:tc>
          <w:tcPr>
            <w:tcW w:w="2551" w:type="dxa"/>
            <w:vAlign w:val="center"/>
          </w:tcPr>
          <w:p>
            <w:pPr>
              <w:pStyle w:val="28"/>
            </w:pPr>
            <w:r>
              <w:t>≥10次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满意程度</w:t>
            </w:r>
          </w:p>
        </w:tc>
      </w:tr>
    </w:tbl>
    <w:p>
      <w:pPr>
        <w:pStyle w:val="26"/>
        <w:sectPr>
          <w:pgSz w:w="16840" w:h="11900" w:orient="landscape"/>
          <w:pgMar w:top="1361" w:right="1020" w:bottom="1361"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2022年，北戴河生命健康产业研究院安排政府采购预算0.00万元。具体内容见下表。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901北戴河生命健康产业研究院</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北戴河生命健康产业研究院（含所属单位）上年末固定资产金额为</w:t>
      </w:r>
      <w:r>
        <w:rPr>
          <w:rFonts w:hint="eastAsia" w:eastAsia="方正仿宋_GBK" w:cs="Times New Roman"/>
          <w:b w:val="0"/>
          <w:color w:val="000000"/>
          <w:sz w:val="28"/>
          <w:lang w:val="en-US" w:eastAsia="zh-CN"/>
        </w:rPr>
        <w:t>7.89</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901北戴河生命健康产业研究院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eastAsia" w:eastAsia="方正书宋_GBK"/>
                <w:lang w:val="en-US" w:eastAsia="zh-CN"/>
              </w:rPr>
            </w:pPr>
            <w:r>
              <w:rPr>
                <w:rFonts w:hint="eastAsia"/>
                <w:lang w:val="en-US" w:eastAsia="zh-CN"/>
              </w:rPr>
              <w:t>合计</w:t>
            </w:r>
          </w:p>
        </w:tc>
        <w:tc>
          <w:tcPr>
            <w:tcW w:w="2835" w:type="dxa"/>
            <w:vAlign w:val="center"/>
          </w:tcPr>
          <w:p>
            <w:pPr>
              <w:pStyle w:val="12"/>
            </w:pPr>
          </w:p>
        </w:tc>
        <w:tc>
          <w:tcPr>
            <w:tcW w:w="2835" w:type="dxa"/>
            <w:vAlign w:val="center"/>
          </w:tcPr>
          <w:p>
            <w:pPr>
              <w:pStyle w:val="12"/>
            </w:pPr>
            <w:r>
              <w:rPr>
                <w:rFonts w:hint="eastAsia"/>
                <w:lang w:val="en-US" w:eastAsia="zh-CN"/>
              </w:rPr>
              <w:t>7.89</w:t>
            </w:r>
            <w:bookmarkStart w:id="18" w:name="_GoBack"/>
            <w:bookmarkEnd w:id="1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7.89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0C986"/>
    <w:multiLevelType w:val="singleLevel"/>
    <w:tmpl w:val="8680C98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B007A"/>
    <w:rsid w:val="1AB0029E"/>
    <w:rsid w:val="20FB6877"/>
    <w:rsid w:val="2A7952B5"/>
    <w:rsid w:val="36422670"/>
    <w:rsid w:val="3A9F533A"/>
    <w:rsid w:val="51741539"/>
    <w:rsid w:val="5B8D2FD5"/>
    <w:rsid w:val="5FF17D71"/>
    <w:rsid w:val="600E47F4"/>
    <w:rsid w:val="62FB47A6"/>
    <w:rsid w:val="63AC0E01"/>
    <w:rsid w:val="66525D53"/>
    <w:rsid w:val="6D0F401C"/>
    <w:rsid w:val="6E712ECE"/>
    <w:rsid w:val="70726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482a3bc6-9b24-4ac7-975d-4eea748ff74b"/>
    <w:qFormat/>
    <w:uiPriority w:val="0"/>
    <w:rPr>
      <w:rFonts w:ascii="Times New Roman" w:hAnsi="Times New Roman" w:eastAsia="Times New Roman" w:cstheme="minorBidi"/>
      <w:sz w:val="24"/>
      <w:szCs w:val="24"/>
      <w:lang w:val="en-US" w:eastAsia="uk-UA" w:bidi="ar-SA"/>
    </w:rPr>
  </w:style>
  <w:style w:type="paragraph" w:customStyle="1" w:styleId="27">
    <w:name w:val="单元格样式1_1adcd56b-8066-4514-9d97-d0324b91154e"/>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6123e965-2c7b-4c1a-aebd-0b85749f66ae"/>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b64a79df-d9e6-454c-9425-7c2380ff5db6"/>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2022-02-17T14:28:32Z</dcterms:created>
  <dcterms:modified xsi:type="dcterms:W3CDTF">2022-02-17T06:28:32Z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2022-02-17T14:28:31Z</dcterms:created>
  <dcterms:modified xsi:type="dcterms:W3CDTF">2022-02-17T06:28:31Z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2022-02-17T14:28:29Z</dcterms:created>
  <dcterms:modified xsi:type="dcterms:W3CDTF">2022-02-17T06:28:29Z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2022-02-17T14:28:28Z</dcterms:created>
  <dcterms:modified xsi:type="dcterms:W3CDTF">2022-02-17T06:28:28Z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f9a2f-21c4-40cb-9674-b2d3c6f58745}">
  <ds:schemaRefs/>
</ds:datastoreItem>
</file>

<file path=customXml/itemProps3.xml><?xml version="1.0" encoding="utf-8"?>
<ds:datastoreItem xmlns:ds="http://schemas.openxmlformats.org/officeDocument/2006/customXml" ds:itemID="{24462ed5-59d9-4cbb-8f74-c5f4abe136fa}">
  <ds:schemaRefs/>
</ds:datastoreItem>
</file>

<file path=customXml/itemProps4.xml><?xml version="1.0" encoding="utf-8"?>
<ds:datastoreItem xmlns:ds="http://schemas.openxmlformats.org/officeDocument/2006/customXml" ds:itemID="{1f637891-59a8-45f3-8f15-2a6b01494327}">
  <ds:schemaRefs/>
</ds:datastoreItem>
</file>

<file path=customXml/itemProps5.xml><?xml version="1.0" encoding="utf-8"?>
<ds:datastoreItem xmlns:ds="http://schemas.openxmlformats.org/officeDocument/2006/customXml" ds:itemID="{c49c1f67-5833-40bb-a023-c84742b3c755}">
  <ds:schemaRefs/>
</ds:datastoreItem>
</file>

<file path=customXml/itemProps6.xml><?xml version="1.0" encoding="utf-8"?>
<ds:datastoreItem xmlns:ds="http://schemas.openxmlformats.org/officeDocument/2006/customXml" ds:itemID="{843139e4-5fe5-45cb-82cc-a4bdb1605b08}">
  <ds:schemaRefs/>
</ds:datastoreItem>
</file>

<file path=customXml/itemProps7.xml><?xml version="1.0" encoding="utf-8"?>
<ds:datastoreItem xmlns:ds="http://schemas.openxmlformats.org/officeDocument/2006/customXml" ds:itemID="{4ab5bfa6-3a0d-4dd8-a1cf-c058208cad0e}">
  <ds:schemaRefs/>
</ds:datastoreItem>
</file>

<file path=customXml/itemProps8.xml><?xml version="1.0" encoding="utf-8"?>
<ds:datastoreItem xmlns:ds="http://schemas.openxmlformats.org/officeDocument/2006/customXml" ds:itemID="{1608b204-62b5-41a7-805e-aef4fee4b9bd}">
  <ds:schemaRefs/>
</ds:datastoreItem>
</file>

<file path=customXml/itemProps9.xml><?xml version="1.0" encoding="utf-8"?>
<ds:datastoreItem xmlns:ds="http://schemas.openxmlformats.org/officeDocument/2006/customXml" ds:itemID="{1d56090a-8bf0-4c04-90cc-6e279b1cac0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2022-02-17T14:28:00Z</dcterms:created>
  <dc:creator>1</dc:creator>
  <cp:lastModifiedBy>Alexa</cp:lastModifiedBy>
  <dcterms:modified xsi:type="dcterms:W3CDTF">2023-08-17T14:22:24Z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