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12</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pPr>
        <w:rPr>
          <w:rFonts w:hint="eastAsia" w:eastAsia="宋体"/>
          <w:lang w:val="en-US" w:eastAsia="zh-CN"/>
        </w:rPr>
      </w:pPr>
      <w:r>
        <w:fldChar w:fldCharType="end"/>
      </w:r>
      <w:r>
        <w:rPr>
          <w:rFonts w:hint="eastAsia" w:eastAsia="宋体"/>
          <w:lang w:val="en-US" w:eastAsia="zh-CN"/>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9</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151秦皇岛北戴河新区人民检察院</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727.09</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r>
              <w:t>662.23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24.97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20.49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727.09</w:t>
            </w:r>
          </w:p>
        </w:tc>
        <w:tc>
          <w:tcPr>
            <w:tcW w:w="1971" w:type="dxa"/>
            <w:vAlign w:val="center"/>
          </w:tcPr>
          <w:p>
            <w:pPr>
              <w:pStyle w:val="16"/>
            </w:pPr>
            <w:r>
              <w:t>本年支出合计</w:t>
            </w:r>
          </w:p>
        </w:tc>
        <w:tc>
          <w:tcPr>
            <w:tcW w:w="1971" w:type="dxa"/>
            <w:vAlign w:val="center"/>
          </w:tcPr>
          <w:p>
            <w:pPr>
              <w:pStyle w:val="17"/>
            </w:pPr>
            <w:r>
              <w:t>727.09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727.09</w:t>
            </w:r>
          </w:p>
        </w:tc>
        <w:tc>
          <w:tcPr>
            <w:tcW w:w="1971" w:type="dxa"/>
            <w:vAlign w:val="center"/>
          </w:tcPr>
          <w:p>
            <w:pPr>
              <w:pStyle w:val="16"/>
            </w:pPr>
            <w:r>
              <w:t>支出总计</w:t>
            </w:r>
          </w:p>
        </w:tc>
        <w:tc>
          <w:tcPr>
            <w:tcW w:w="1971" w:type="dxa"/>
            <w:vAlign w:val="center"/>
          </w:tcPr>
          <w:p>
            <w:pPr>
              <w:pStyle w:val="17"/>
            </w:pPr>
            <w:r>
              <w:t>727.09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3"/>
        <w:gridCol w:w="1061"/>
        <w:gridCol w:w="647"/>
        <w:gridCol w:w="910"/>
        <w:gridCol w:w="910"/>
        <w:gridCol w:w="910"/>
        <w:gridCol w:w="591"/>
        <w:gridCol w:w="592"/>
        <w:gridCol w:w="592"/>
        <w:gridCol w:w="592"/>
        <w:gridCol w:w="765"/>
        <w:gridCol w:w="765"/>
        <w:gridCol w:w="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84" w:type="dxa"/>
            <w:gridSpan w:val="5"/>
            <w:tcBorders>
              <w:top w:val="single" w:color="FFFFFF" w:sz="6" w:space="0"/>
              <w:left w:val="single" w:color="FFFFFF" w:sz="6" w:space="0"/>
              <w:right w:val="single" w:color="FFFFFF" w:sz="6" w:space="0"/>
            </w:tcBorders>
            <w:tcFitText/>
            <w:vAlign w:val="center"/>
          </w:tcPr>
          <w:p>
            <w:pPr>
              <w:pStyle w:val="11"/>
              <w:rPr>
                <w:spacing w:val="0"/>
              </w:rPr>
            </w:pPr>
            <w:r>
              <w:rPr>
                <w:spacing w:val="14"/>
              </w:rPr>
              <w:t>151秦皇岛北戴河新区人民检察</w:t>
            </w:r>
            <w:r>
              <w:rPr>
                <w:spacing w:val="0"/>
              </w:rPr>
              <w:t>院</w:t>
            </w:r>
          </w:p>
        </w:tc>
        <w:tc>
          <w:tcPr>
            <w:tcW w:w="2244" w:type="dxa"/>
            <w:gridSpan w:val="3"/>
            <w:tcBorders>
              <w:top w:val="single" w:color="FFFFFF" w:sz="6" w:space="0"/>
              <w:left w:val="single" w:color="FFFFFF" w:sz="6" w:space="0"/>
              <w:right w:val="single" w:color="FFFFFF" w:sz="6" w:space="0"/>
            </w:tcBorders>
            <w:tcFitText/>
            <w:vAlign w:val="center"/>
          </w:tcPr>
          <w:p>
            <w:pPr>
              <w:pStyle w:val="10"/>
              <w:rPr>
                <w:spacing w:val="0"/>
              </w:rPr>
            </w:pPr>
            <w:r>
              <w:rPr>
                <w:spacing w:val="42"/>
              </w:rPr>
              <w:t>预算年度：202</w:t>
            </w:r>
            <w:r>
              <w:rPr>
                <w:spacing w:val="0"/>
              </w:rPr>
              <w:t>2</w:t>
            </w:r>
          </w:p>
        </w:tc>
        <w:tc>
          <w:tcPr>
            <w:tcW w:w="3626" w:type="dxa"/>
            <w:gridSpan w:val="5"/>
            <w:tcBorders>
              <w:top w:val="single" w:color="FFFFFF" w:sz="6" w:space="0"/>
              <w:left w:val="single" w:color="FFFFFF" w:sz="6" w:space="0"/>
              <w:right w:val="single" w:color="FFFFFF" w:sz="6" w:space="0"/>
            </w:tcBorders>
            <w:tcFitText/>
            <w:vAlign w:val="center"/>
          </w:tcPr>
          <w:p>
            <w:pPr>
              <w:pStyle w:val="9"/>
              <w:rPr>
                <w:spacing w:val="0"/>
              </w:rPr>
            </w:pPr>
            <w:r>
              <w:rPr>
                <w:spacing w:val="550"/>
              </w:rPr>
              <w:t>单位：万</w:t>
            </w:r>
            <w:r>
              <w:rPr>
                <w:spacing w:val="0"/>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restart"/>
            <w:tcFitText/>
            <w:vAlign w:val="center"/>
          </w:tcPr>
          <w:p>
            <w:pPr>
              <w:pStyle w:val="12"/>
              <w:rPr>
                <w:spacing w:val="0"/>
              </w:rPr>
            </w:pPr>
            <w:r>
              <w:rPr>
                <w:spacing w:val="77"/>
              </w:rPr>
              <w:t>序</w:t>
            </w:r>
            <w:r>
              <w:rPr>
                <w:spacing w:val="0"/>
              </w:rPr>
              <w:t>号</w:t>
            </w:r>
          </w:p>
        </w:tc>
        <w:tc>
          <w:tcPr>
            <w:tcW w:w="1671" w:type="dxa"/>
            <w:gridSpan w:val="2"/>
            <w:tcFitText/>
            <w:vAlign w:val="center"/>
          </w:tcPr>
          <w:p>
            <w:pPr>
              <w:pStyle w:val="12"/>
              <w:rPr>
                <w:spacing w:val="0"/>
              </w:rPr>
            </w:pPr>
            <w:r>
              <w:rPr>
                <w:spacing w:val="36"/>
              </w:rPr>
              <w:t>功能分类科</w:t>
            </w:r>
            <w:r>
              <w:rPr>
                <w:spacing w:val="0"/>
              </w:rPr>
              <w:t>目</w:t>
            </w:r>
          </w:p>
        </w:tc>
        <w:tc>
          <w:tcPr>
            <w:tcW w:w="794" w:type="dxa"/>
            <w:vMerge w:val="restart"/>
            <w:tcFitText/>
            <w:vAlign w:val="center"/>
          </w:tcPr>
          <w:p>
            <w:pPr>
              <w:pStyle w:val="12"/>
              <w:rPr>
                <w:spacing w:val="0"/>
              </w:rPr>
            </w:pPr>
            <w:r>
              <w:rPr>
                <w:spacing w:val="146"/>
              </w:rPr>
              <w:t>合</w:t>
            </w:r>
            <w:r>
              <w:rPr>
                <w:spacing w:val="0"/>
              </w:rPr>
              <w:t>计</w:t>
            </w:r>
          </w:p>
        </w:tc>
        <w:tc>
          <w:tcPr>
            <w:tcW w:w="5938" w:type="dxa"/>
            <w:gridSpan w:val="8"/>
            <w:tcFitText/>
            <w:vAlign w:val="center"/>
          </w:tcPr>
          <w:p>
            <w:pPr>
              <w:pStyle w:val="12"/>
              <w:rPr>
                <w:spacing w:val="0"/>
              </w:rPr>
            </w:pPr>
            <w:r>
              <w:rPr>
                <w:spacing w:val="1622"/>
              </w:rPr>
              <w:t>本年收</w:t>
            </w:r>
            <w:r>
              <w:rPr>
                <w:spacing w:val="0"/>
              </w:rPr>
              <w:t>入</w:t>
            </w:r>
          </w:p>
        </w:tc>
        <w:tc>
          <w:tcPr>
            <w:tcW w:w="726" w:type="dxa"/>
            <w:vMerge w:val="restart"/>
            <w:tcFitText/>
            <w:vAlign w:val="center"/>
          </w:tcPr>
          <w:p>
            <w:pPr>
              <w:pStyle w:val="12"/>
              <w:rPr>
                <w:spacing w:val="0"/>
              </w:rPr>
            </w:pPr>
            <w:r>
              <w:rPr>
                <w:spacing w:val="0"/>
                <w:w w:val="59"/>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continue"/>
            <w:tcFitText/>
          </w:tcPr>
          <w:p/>
        </w:tc>
        <w:tc>
          <w:tcPr>
            <w:tcW w:w="946" w:type="dxa"/>
            <w:tcFitText/>
            <w:vAlign w:val="center"/>
          </w:tcPr>
          <w:p>
            <w:pPr>
              <w:pStyle w:val="12"/>
              <w:rPr>
                <w:spacing w:val="0"/>
              </w:rPr>
            </w:pPr>
            <w:r>
              <w:rPr>
                <w:spacing w:val="0"/>
                <w:w w:val="68"/>
              </w:rPr>
              <w:t>科目    编码</w:t>
            </w:r>
          </w:p>
        </w:tc>
        <w:tc>
          <w:tcPr>
            <w:tcW w:w="725" w:type="dxa"/>
            <w:tcFitText/>
            <w:vAlign w:val="center"/>
          </w:tcPr>
          <w:p>
            <w:pPr>
              <w:pStyle w:val="12"/>
              <w:rPr>
                <w:spacing w:val="0"/>
              </w:rPr>
            </w:pPr>
            <w:r>
              <w:rPr>
                <w:spacing w:val="0"/>
                <w:w w:val="59"/>
              </w:rPr>
              <w:t>科目名称</w:t>
            </w:r>
          </w:p>
        </w:tc>
        <w:tc>
          <w:tcPr>
            <w:tcW w:w="794" w:type="dxa"/>
            <w:vMerge w:val="continue"/>
            <w:tcFitText/>
          </w:tcPr>
          <w:p/>
        </w:tc>
        <w:tc>
          <w:tcPr>
            <w:tcW w:w="794" w:type="dxa"/>
            <w:tcFitText/>
            <w:vAlign w:val="center"/>
          </w:tcPr>
          <w:p>
            <w:pPr>
              <w:pStyle w:val="12"/>
              <w:rPr>
                <w:spacing w:val="0"/>
              </w:rPr>
            </w:pPr>
            <w:r>
              <w:rPr>
                <w:spacing w:val="146"/>
              </w:rPr>
              <w:t>小</w:t>
            </w:r>
            <w:r>
              <w:rPr>
                <w:spacing w:val="0"/>
              </w:rPr>
              <w:t>计</w:t>
            </w:r>
          </w:p>
        </w:tc>
        <w:tc>
          <w:tcPr>
            <w:tcW w:w="794" w:type="dxa"/>
            <w:tcFitText/>
            <w:vAlign w:val="center"/>
          </w:tcPr>
          <w:p>
            <w:pPr>
              <w:pStyle w:val="12"/>
              <w:rPr>
                <w:spacing w:val="0"/>
              </w:rPr>
            </w:pPr>
            <w:r>
              <w:rPr>
                <w:w w:val="43"/>
              </w:rPr>
              <w:t>财政拨款 收入</w:t>
            </w:r>
          </w:p>
        </w:tc>
        <w:tc>
          <w:tcPr>
            <w:tcW w:w="725" w:type="dxa"/>
            <w:tcFitText/>
            <w:vAlign w:val="center"/>
          </w:tcPr>
          <w:p>
            <w:pPr>
              <w:pStyle w:val="12"/>
              <w:rPr>
                <w:spacing w:val="0"/>
              </w:rPr>
            </w:pPr>
            <w:r>
              <w:rPr>
                <w:spacing w:val="2"/>
                <w:w w:val="37"/>
              </w:rPr>
              <w:t>财政专户 收</w:t>
            </w:r>
            <w:r>
              <w:rPr>
                <w:spacing w:val="0"/>
                <w:w w:val="37"/>
              </w:rPr>
              <w:t>入</w:t>
            </w:r>
          </w:p>
        </w:tc>
        <w:tc>
          <w:tcPr>
            <w:tcW w:w="725" w:type="dxa"/>
            <w:tcFitText/>
            <w:vAlign w:val="center"/>
          </w:tcPr>
          <w:p>
            <w:pPr>
              <w:pStyle w:val="12"/>
              <w:rPr>
                <w:spacing w:val="0"/>
              </w:rPr>
            </w:pPr>
            <w:r>
              <w:rPr>
                <w:spacing w:val="0"/>
                <w:w w:val="59"/>
              </w:rPr>
              <w:t>事业收入</w:t>
            </w:r>
          </w:p>
        </w:tc>
        <w:tc>
          <w:tcPr>
            <w:tcW w:w="725" w:type="dxa"/>
            <w:tcFitText/>
            <w:vAlign w:val="center"/>
          </w:tcPr>
          <w:p>
            <w:pPr>
              <w:pStyle w:val="12"/>
              <w:rPr>
                <w:spacing w:val="0"/>
              </w:rPr>
            </w:pPr>
            <w:r>
              <w:rPr>
                <w:spacing w:val="0"/>
                <w:w w:val="59"/>
              </w:rPr>
              <w:t>经营收入</w:t>
            </w:r>
          </w:p>
        </w:tc>
        <w:tc>
          <w:tcPr>
            <w:tcW w:w="725" w:type="dxa"/>
            <w:tcFitText/>
            <w:vAlign w:val="center"/>
          </w:tcPr>
          <w:p>
            <w:pPr>
              <w:pStyle w:val="12"/>
              <w:rPr>
                <w:spacing w:val="0"/>
              </w:rPr>
            </w:pPr>
            <w:r>
              <w:rPr>
                <w:spacing w:val="0"/>
                <w:w w:val="39"/>
              </w:rPr>
              <w:t>上级补助收入</w:t>
            </w:r>
          </w:p>
        </w:tc>
        <w:tc>
          <w:tcPr>
            <w:tcW w:w="725" w:type="dxa"/>
            <w:tcFitText/>
            <w:vAlign w:val="center"/>
          </w:tcPr>
          <w:p>
            <w:pPr>
              <w:pStyle w:val="12"/>
              <w:rPr>
                <w:spacing w:val="0"/>
              </w:rPr>
            </w:pPr>
            <w:r>
              <w:rPr>
                <w:spacing w:val="0"/>
                <w:w w:val="29"/>
              </w:rPr>
              <w:t>附属单位上缴收入</w:t>
            </w:r>
          </w:p>
        </w:tc>
        <w:tc>
          <w:tcPr>
            <w:tcW w:w="725" w:type="dxa"/>
            <w:tcFitText/>
            <w:vAlign w:val="center"/>
          </w:tcPr>
          <w:p>
            <w:pPr>
              <w:pStyle w:val="12"/>
              <w:rPr>
                <w:spacing w:val="0"/>
              </w:rPr>
            </w:pPr>
            <w:r>
              <w:rPr>
                <w:spacing w:val="0"/>
                <w:w w:val="59"/>
              </w:rPr>
              <w:t>其他收入</w:t>
            </w:r>
          </w:p>
        </w:tc>
        <w:tc>
          <w:tcPr>
            <w:tcW w:w="726" w:type="dxa"/>
            <w:vMerge w:val="continue"/>
            <w:tcFitTex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tcFitText/>
            <w:vAlign w:val="center"/>
          </w:tcPr>
          <w:p>
            <w:pPr>
              <w:pStyle w:val="12"/>
              <w:rPr>
                <w:spacing w:val="0"/>
              </w:rPr>
            </w:pPr>
            <w:r>
              <w:rPr>
                <w:spacing w:val="77"/>
              </w:rPr>
              <w:t>栏</w:t>
            </w:r>
            <w:r>
              <w:rPr>
                <w:spacing w:val="0"/>
              </w:rPr>
              <w:t>次</w:t>
            </w:r>
          </w:p>
        </w:tc>
        <w:tc>
          <w:tcPr>
            <w:tcW w:w="946" w:type="dxa"/>
            <w:tcFitText/>
            <w:vAlign w:val="center"/>
          </w:tcPr>
          <w:p>
            <w:pPr>
              <w:pStyle w:val="12"/>
            </w:pPr>
            <w:r>
              <w:t>1</w:t>
            </w:r>
          </w:p>
        </w:tc>
        <w:tc>
          <w:tcPr>
            <w:tcW w:w="725" w:type="dxa"/>
            <w:tcFitText/>
            <w:vAlign w:val="center"/>
          </w:tcPr>
          <w:p>
            <w:pPr>
              <w:pStyle w:val="12"/>
            </w:pPr>
            <w:r>
              <w:t>2</w:t>
            </w:r>
          </w:p>
        </w:tc>
        <w:tc>
          <w:tcPr>
            <w:tcW w:w="794" w:type="dxa"/>
            <w:tcFitText/>
            <w:vAlign w:val="center"/>
          </w:tcPr>
          <w:p>
            <w:pPr>
              <w:pStyle w:val="12"/>
            </w:pPr>
            <w:r>
              <w:t>3</w:t>
            </w:r>
          </w:p>
        </w:tc>
        <w:tc>
          <w:tcPr>
            <w:tcW w:w="794" w:type="dxa"/>
            <w:tcFitText/>
            <w:vAlign w:val="center"/>
          </w:tcPr>
          <w:p>
            <w:pPr>
              <w:pStyle w:val="12"/>
            </w:pPr>
            <w:r>
              <w:t>4</w:t>
            </w:r>
          </w:p>
        </w:tc>
        <w:tc>
          <w:tcPr>
            <w:tcW w:w="794" w:type="dxa"/>
            <w:tcFitText/>
            <w:vAlign w:val="center"/>
          </w:tcPr>
          <w:p>
            <w:pPr>
              <w:pStyle w:val="12"/>
            </w:pPr>
            <w:r>
              <w:t>5</w:t>
            </w:r>
          </w:p>
        </w:tc>
        <w:tc>
          <w:tcPr>
            <w:tcW w:w="725" w:type="dxa"/>
            <w:tcFitText/>
            <w:vAlign w:val="center"/>
          </w:tcPr>
          <w:p>
            <w:pPr>
              <w:pStyle w:val="12"/>
            </w:pPr>
            <w:r>
              <w:t>6</w:t>
            </w:r>
          </w:p>
        </w:tc>
        <w:tc>
          <w:tcPr>
            <w:tcW w:w="725" w:type="dxa"/>
            <w:tcFitText/>
            <w:vAlign w:val="center"/>
          </w:tcPr>
          <w:p>
            <w:pPr>
              <w:pStyle w:val="12"/>
            </w:pPr>
            <w:r>
              <w:t>7</w:t>
            </w:r>
          </w:p>
        </w:tc>
        <w:tc>
          <w:tcPr>
            <w:tcW w:w="725" w:type="dxa"/>
            <w:tcFitText/>
            <w:vAlign w:val="center"/>
          </w:tcPr>
          <w:p>
            <w:pPr>
              <w:pStyle w:val="12"/>
            </w:pPr>
            <w:r>
              <w:t>8</w:t>
            </w:r>
          </w:p>
        </w:tc>
        <w:tc>
          <w:tcPr>
            <w:tcW w:w="725" w:type="dxa"/>
            <w:tcFitText/>
            <w:vAlign w:val="center"/>
          </w:tcPr>
          <w:p>
            <w:pPr>
              <w:pStyle w:val="12"/>
            </w:pPr>
            <w:r>
              <w:t>9</w:t>
            </w:r>
          </w:p>
        </w:tc>
        <w:tc>
          <w:tcPr>
            <w:tcW w:w="725" w:type="dxa"/>
            <w:tcFitText/>
            <w:vAlign w:val="center"/>
          </w:tcPr>
          <w:p>
            <w:pPr>
              <w:pStyle w:val="12"/>
              <w:rPr>
                <w:spacing w:val="0"/>
              </w:rPr>
            </w:pPr>
            <w:r>
              <w:rPr>
                <w:spacing w:val="289"/>
              </w:rPr>
              <w:t>1</w:t>
            </w:r>
            <w:r>
              <w:rPr>
                <w:spacing w:val="0"/>
              </w:rPr>
              <w:t>0</w:t>
            </w:r>
          </w:p>
        </w:tc>
        <w:tc>
          <w:tcPr>
            <w:tcW w:w="725" w:type="dxa"/>
            <w:tcFitText/>
            <w:vAlign w:val="center"/>
          </w:tcPr>
          <w:p>
            <w:pPr>
              <w:pStyle w:val="12"/>
              <w:rPr>
                <w:spacing w:val="0"/>
              </w:rPr>
            </w:pPr>
            <w:r>
              <w:rPr>
                <w:spacing w:val="289"/>
              </w:rPr>
              <w:t>1</w:t>
            </w:r>
            <w:r>
              <w:rPr>
                <w:spacing w:val="0"/>
              </w:rPr>
              <w:t>1</w:t>
            </w:r>
          </w:p>
        </w:tc>
        <w:tc>
          <w:tcPr>
            <w:tcW w:w="726" w:type="dxa"/>
            <w:tcFitText/>
            <w:vAlign w:val="center"/>
          </w:tcPr>
          <w:p>
            <w:pPr>
              <w:pStyle w:val="12"/>
              <w:rPr>
                <w:spacing w:val="0"/>
              </w:rPr>
            </w:pPr>
            <w:r>
              <w:rPr>
                <w:spacing w:val="290"/>
              </w:rPr>
              <w:t>1</w:t>
            </w:r>
            <w:r>
              <w:rPr>
                <w:spacing w:val="0"/>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pPr>
            <w:r>
              <w:t>1</w:t>
            </w:r>
          </w:p>
        </w:tc>
        <w:tc>
          <w:tcPr>
            <w:tcW w:w="946" w:type="dxa"/>
            <w:tcFitText/>
            <w:vAlign w:val="center"/>
          </w:tcPr>
          <w:p>
            <w:pPr>
              <w:pStyle w:val="18"/>
            </w:pPr>
          </w:p>
        </w:tc>
        <w:tc>
          <w:tcPr>
            <w:tcW w:w="725" w:type="dxa"/>
            <w:tcFitText/>
            <w:vAlign w:val="center"/>
          </w:tcPr>
          <w:p>
            <w:pPr>
              <w:pStyle w:val="16"/>
              <w:rPr>
                <w:spacing w:val="0"/>
              </w:rPr>
            </w:pPr>
            <w:r>
              <w:rPr>
                <w:spacing w:val="77"/>
              </w:rPr>
              <w:t>合</w:t>
            </w:r>
            <w:r>
              <w:rPr>
                <w:spacing w:val="0"/>
              </w:rPr>
              <w:t>计</w:t>
            </w:r>
          </w:p>
        </w:tc>
        <w:tc>
          <w:tcPr>
            <w:tcW w:w="794" w:type="dxa"/>
            <w:tcFitText/>
            <w:vAlign w:val="center"/>
          </w:tcPr>
          <w:p>
            <w:pPr>
              <w:pStyle w:val="17"/>
              <w:rPr>
                <w:spacing w:val="0"/>
              </w:rPr>
            </w:pPr>
            <w:r>
              <w:rPr>
                <w:spacing w:val="0"/>
                <w:w w:val="98"/>
              </w:rPr>
              <w:t>727.09</w:t>
            </w:r>
          </w:p>
        </w:tc>
        <w:tc>
          <w:tcPr>
            <w:tcW w:w="794" w:type="dxa"/>
            <w:tcFitText/>
            <w:vAlign w:val="center"/>
          </w:tcPr>
          <w:p>
            <w:pPr>
              <w:pStyle w:val="17"/>
              <w:rPr>
                <w:spacing w:val="0"/>
              </w:rPr>
            </w:pPr>
            <w:r>
              <w:rPr>
                <w:spacing w:val="0"/>
                <w:w w:val="98"/>
              </w:rPr>
              <w:t>727.09</w:t>
            </w:r>
          </w:p>
        </w:tc>
        <w:tc>
          <w:tcPr>
            <w:tcW w:w="794" w:type="dxa"/>
            <w:tcFitText/>
            <w:vAlign w:val="center"/>
          </w:tcPr>
          <w:p>
            <w:pPr>
              <w:pStyle w:val="17"/>
              <w:rPr>
                <w:spacing w:val="0"/>
              </w:rPr>
            </w:pPr>
            <w:r>
              <w:rPr>
                <w:spacing w:val="0"/>
                <w:w w:val="98"/>
              </w:rPr>
              <w:t>727.09</w:t>
            </w:r>
          </w:p>
        </w:tc>
        <w:tc>
          <w:tcPr>
            <w:tcW w:w="725" w:type="dxa"/>
            <w:tcFitText/>
            <w:vAlign w:val="center"/>
          </w:tcPr>
          <w:p>
            <w:pPr>
              <w:pStyle w:val="17"/>
            </w:pPr>
          </w:p>
        </w:tc>
        <w:tc>
          <w:tcPr>
            <w:tcW w:w="725" w:type="dxa"/>
            <w:tcFitText/>
            <w:vAlign w:val="center"/>
          </w:tcPr>
          <w:p>
            <w:pPr>
              <w:pStyle w:val="17"/>
            </w:pPr>
          </w:p>
        </w:tc>
        <w:tc>
          <w:tcPr>
            <w:tcW w:w="725" w:type="dxa"/>
            <w:tcFitText/>
            <w:vAlign w:val="center"/>
          </w:tcPr>
          <w:p>
            <w:pPr>
              <w:pStyle w:val="17"/>
            </w:pPr>
          </w:p>
        </w:tc>
        <w:tc>
          <w:tcPr>
            <w:tcW w:w="725" w:type="dxa"/>
            <w:tcFitText/>
            <w:vAlign w:val="center"/>
          </w:tcPr>
          <w:p>
            <w:pPr>
              <w:pStyle w:val="17"/>
            </w:pPr>
          </w:p>
        </w:tc>
        <w:tc>
          <w:tcPr>
            <w:tcW w:w="725" w:type="dxa"/>
            <w:tcFitText/>
            <w:vAlign w:val="center"/>
          </w:tcPr>
          <w:p>
            <w:pPr>
              <w:pStyle w:val="17"/>
            </w:pPr>
          </w:p>
        </w:tc>
        <w:tc>
          <w:tcPr>
            <w:tcW w:w="725" w:type="dxa"/>
            <w:tcFitText/>
            <w:vAlign w:val="center"/>
          </w:tcPr>
          <w:p>
            <w:pPr>
              <w:pStyle w:val="17"/>
            </w:pPr>
          </w:p>
        </w:tc>
        <w:tc>
          <w:tcPr>
            <w:tcW w:w="726" w:type="dxa"/>
            <w:tcFitTex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pPr>
            <w:r>
              <w:t>2</w:t>
            </w:r>
          </w:p>
        </w:tc>
        <w:tc>
          <w:tcPr>
            <w:tcW w:w="946" w:type="dxa"/>
            <w:tcFitText/>
            <w:vAlign w:val="center"/>
          </w:tcPr>
          <w:p>
            <w:pPr>
              <w:pStyle w:val="14"/>
              <w:rPr>
                <w:spacing w:val="0"/>
              </w:rPr>
            </w:pPr>
            <w:r>
              <w:rPr>
                <w:spacing w:val="203"/>
              </w:rPr>
              <w:t>20</w:t>
            </w:r>
            <w:r>
              <w:rPr>
                <w:spacing w:val="0"/>
              </w:rPr>
              <w:t>4</w:t>
            </w:r>
          </w:p>
        </w:tc>
        <w:tc>
          <w:tcPr>
            <w:tcW w:w="725" w:type="dxa"/>
            <w:tcFitText/>
            <w:vAlign w:val="center"/>
          </w:tcPr>
          <w:p>
            <w:pPr>
              <w:pStyle w:val="14"/>
              <w:rPr>
                <w:spacing w:val="0"/>
              </w:rPr>
            </w:pPr>
            <w:r>
              <w:rPr>
                <w:spacing w:val="3"/>
                <w:w w:val="39"/>
              </w:rPr>
              <w:t>公共安全支</w:t>
            </w:r>
            <w:r>
              <w:rPr>
                <w:spacing w:val="0"/>
                <w:w w:val="39"/>
              </w:rPr>
              <w:t>出</w:t>
            </w:r>
          </w:p>
        </w:tc>
        <w:tc>
          <w:tcPr>
            <w:tcW w:w="794" w:type="dxa"/>
            <w:tcFitText/>
            <w:vAlign w:val="center"/>
          </w:tcPr>
          <w:p>
            <w:pPr>
              <w:pStyle w:val="13"/>
              <w:rPr>
                <w:spacing w:val="0"/>
              </w:rPr>
            </w:pPr>
            <w:r>
              <w:rPr>
                <w:spacing w:val="0"/>
                <w:w w:val="99"/>
              </w:rPr>
              <w:t>662.23</w:t>
            </w:r>
          </w:p>
        </w:tc>
        <w:tc>
          <w:tcPr>
            <w:tcW w:w="794" w:type="dxa"/>
            <w:tcFitText/>
            <w:vAlign w:val="center"/>
          </w:tcPr>
          <w:p>
            <w:pPr>
              <w:pStyle w:val="13"/>
              <w:rPr>
                <w:spacing w:val="0"/>
              </w:rPr>
            </w:pPr>
            <w:r>
              <w:rPr>
                <w:spacing w:val="0"/>
                <w:w w:val="99"/>
              </w:rPr>
              <w:t>662.23</w:t>
            </w:r>
          </w:p>
        </w:tc>
        <w:tc>
          <w:tcPr>
            <w:tcW w:w="794" w:type="dxa"/>
            <w:tcFitText/>
            <w:vAlign w:val="center"/>
          </w:tcPr>
          <w:p>
            <w:pPr>
              <w:pStyle w:val="13"/>
              <w:rPr>
                <w:spacing w:val="0"/>
              </w:rPr>
            </w:pPr>
            <w:r>
              <w:rPr>
                <w:spacing w:val="0"/>
                <w:w w:val="99"/>
              </w:rPr>
              <w:t>662.23</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pPr>
            <w:r>
              <w:t>3</w:t>
            </w:r>
          </w:p>
        </w:tc>
        <w:tc>
          <w:tcPr>
            <w:tcW w:w="946" w:type="dxa"/>
            <w:tcFitText/>
            <w:vAlign w:val="center"/>
          </w:tcPr>
          <w:p>
            <w:pPr>
              <w:pStyle w:val="14"/>
              <w:rPr>
                <w:spacing w:val="0"/>
              </w:rPr>
            </w:pPr>
            <w:r>
              <w:rPr>
                <w:spacing w:val="49"/>
              </w:rPr>
              <w:t>2040</w:t>
            </w:r>
            <w:r>
              <w:rPr>
                <w:spacing w:val="0"/>
              </w:rPr>
              <w:t>4</w:t>
            </w:r>
          </w:p>
        </w:tc>
        <w:tc>
          <w:tcPr>
            <w:tcW w:w="725" w:type="dxa"/>
            <w:tcFitText/>
            <w:vAlign w:val="center"/>
          </w:tcPr>
          <w:p>
            <w:pPr>
              <w:pStyle w:val="14"/>
              <w:rPr>
                <w:spacing w:val="0"/>
              </w:rPr>
            </w:pPr>
            <w:r>
              <w:rPr>
                <w:spacing w:val="79"/>
              </w:rPr>
              <w:t>检</w:t>
            </w:r>
            <w:r>
              <w:rPr>
                <w:spacing w:val="0"/>
              </w:rPr>
              <w:t>察</w:t>
            </w:r>
          </w:p>
        </w:tc>
        <w:tc>
          <w:tcPr>
            <w:tcW w:w="794" w:type="dxa"/>
            <w:tcFitText/>
            <w:vAlign w:val="center"/>
          </w:tcPr>
          <w:p>
            <w:pPr>
              <w:pStyle w:val="13"/>
              <w:rPr>
                <w:spacing w:val="0"/>
              </w:rPr>
            </w:pPr>
            <w:r>
              <w:rPr>
                <w:spacing w:val="0"/>
                <w:w w:val="99"/>
              </w:rPr>
              <w:t>662.23</w:t>
            </w:r>
          </w:p>
        </w:tc>
        <w:tc>
          <w:tcPr>
            <w:tcW w:w="794" w:type="dxa"/>
            <w:tcFitText/>
            <w:vAlign w:val="center"/>
          </w:tcPr>
          <w:p>
            <w:pPr>
              <w:pStyle w:val="13"/>
              <w:rPr>
                <w:spacing w:val="0"/>
              </w:rPr>
            </w:pPr>
            <w:r>
              <w:rPr>
                <w:spacing w:val="0"/>
                <w:w w:val="99"/>
              </w:rPr>
              <w:t>662.23</w:t>
            </w:r>
          </w:p>
        </w:tc>
        <w:tc>
          <w:tcPr>
            <w:tcW w:w="794" w:type="dxa"/>
            <w:tcFitText/>
            <w:vAlign w:val="center"/>
          </w:tcPr>
          <w:p>
            <w:pPr>
              <w:pStyle w:val="13"/>
              <w:rPr>
                <w:spacing w:val="0"/>
              </w:rPr>
            </w:pPr>
            <w:r>
              <w:rPr>
                <w:spacing w:val="0"/>
                <w:w w:val="99"/>
              </w:rPr>
              <w:t>662.23</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pPr>
            <w:r>
              <w:t>4</w:t>
            </w:r>
          </w:p>
        </w:tc>
        <w:tc>
          <w:tcPr>
            <w:tcW w:w="946" w:type="dxa"/>
            <w:tcFitText/>
            <w:vAlign w:val="center"/>
          </w:tcPr>
          <w:p>
            <w:pPr>
              <w:pStyle w:val="14"/>
              <w:rPr>
                <w:spacing w:val="0"/>
              </w:rPr>
            </w:pPr>
            <w:r>
              <w:rPr>
                <w:spacing w:val="0"/>
                <w:w w:val="98"/>
              </w:rPr>
              <w:t>2040401</w:t>
            </w:r>
          </w:p>
        </w:tc>
        <w:tc>
          <w:tcPr>
            <w:tcW w:w="725" w:type="dxa"/>
            <w:tcFitText/>
            <w:vAlign w:val="center"/>
          </w:tcPr>
          <w:p>
            <w:pPr>
              <w:pStyle w:val="14"/>
              <w:rPr>
                <w:spacing w:val="0"/>
              </w:rPr>
            </w:pPr>
            <w:r>
              <w:rPr>
                <w:spacing w:val="2"/>
                <w:w w:val="59"/>
              </w:rPr>
              <w:t>行政运</w:t>
            </w:r>
            <w:r>
              <w:rPr>
                <w:spacing w:val="0"/>
                <w:w w:val="59"/>
              </w:rPr>
              <w:t>行</w:t>
            </w:r>
          </w:p>
        </w:tc>
        <w:tc>
          <w:tcPr>
            <w:tcW w:w="794" w:type="dxa"/>
            <w:tcFitText/>
            <w:vAlign w:val="center"/>
          </w:tcPr>
          <w:p>
            <w:pPr>
              <w:pStyle w:val="13"/>
              <w:rPr>
                <w:spacing w:val="0"/>
              </w:rPr>
            </w:pPr>
            <w:r>
              <w:rPr>
                <w:spacing w:val="0"/>
                <w:w w:val="99"/>
              </w:rPr>
              <w:t>662.23</w:t>
            </w:r>
          </w:p>
        </w:tc>
        <w:tc>
          <w:tcPr>
            <w:tcW w:w="794" w:type="dxa"/>
            <w:tcFitText/>
            <w:vAlign w:val="center"/>
          </w:tcPr>
          <w:p>
            <w:pPr>
              <w:pStyle w:val="13"/>
              <w:rPr>
                <w:spacing w:val="0"/>
              </w:rPr>
            </w:pPr>
            <w:r>
              <w:rPr>
                <w:spacing w:val="0"/>
                <w:w w:val="99"/>
              </w:rPr>
              <w:t>662.23</w:t>
            </w:r>
          </w:p>
        </w:tc>
        <w:tc>
          <w:tcPr>
            <w:tcW w:w="794" w:type="dxa"/>
            <w:tcFitText/>
            <w:vAlign w:val="center"/>
          </w:tcPr>
          <w:p>
            <w:pPr>
              <w:pStyle w:val="13"/>
              <w:rPr>
                <w:spacing w:val="0"/>
              </w:rPr>
            </w:pPr>
            <w:r>
              <w:rPr>
                <w:spacing w:val="0"/>
                <w:w w:val="99"/>
              </w:rPr>
              <w:t>662.23</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6" w:hRule="atLeast"/>
          <w:jc w:val="center"/>
        </w:trPr>
        <w:tc>
          <w:tcPr>
            <w:tcW w:w="725" w:type="dxa"/>
            <w:tcFitText/>
            <w:vAlign w:val="center"/>
          </w:tcPr>
          <w:p>
            <w:pPr>
              <w:pStyle w:val="15"/>
            </w:pPr>
            <w:r>
              <w:t>5</w:t>
            </w:r>
          </w:p>
        </w:tc>
        <w:tc>
          <w:tcPr>
            <w:tcW w:w="946" w:type="dxa"/>
            <w:tcFitText/>
            <w:vAlign w:val="center"/>
          </w:tcPr>
          <w:p>
            <w:pPr>
              <w:pStyle w:val="14"/>
              <w:rPr>
                <w:spacing w:val="0"/>
              </w:rPr>
            </w:pPr>
            <w:r>
              <w:rPr>
                <w:spacing w:val="203"/>
              </w:rPr>
              <w:t>20</w:t>
            </w:r>
            <w:r>
              <w:rPr>
                <w:spacing w:val="0"/>
              </w:rPr>
              <w:t>8</w:t>
            </w:r>
          </w:p>
        </w:tc>
        <w:tc>
          <w:tcPr>
            <w:tcW w:w="725" w:type="dxa"/>
            <w:tcFitText/>
            <w:vAlign w:val="center"/>
          </w:tcPr>
          <w:p>
            <w:pPr>
              <w:pStyle w:val="14"/>
              <w:rPr>
                <w:spacing w:val="0"/>
              </w:rPr>
            </w:pPr>
            <w:r>
              <w:rPr>
                <w:spacing w:val="1"/>
                <w:w w:val="26"/>
              </w:rPr>
              <w:t>社会保障和就业支</w:t>
            </w:r>
            <w:r>
              <w:rPr>
                <w:spacing w:val="0"/>
                <w:w w:val="26"/>
              </w:rPr>
              <w:t>出</w:t>
            </w:r>
          </w:p>
        </w:tc>
        <w:tc>
          <w:tcPr>
            <w:tcW w:w="794" w:type="dxa"/>
            <w:tcFitText/>
            <w:vAlign w:val="center"/>
          </w:tcPr>
          <w:p>
            <w:pPr>
              <w:pStyle w:val="13"/>
              <w:rPr>
                <w:spacing w:val="0"/>
              </w:rPr>
            </w:pPr>
            <w:r>
              <w:rPr>
                <w:spacing w:val="24"/>
              </w:rPr>
              <w:t>24.9</w:t>
            </w:r>
            <w:r>
              <w:rPr>
                <w:spacing w:val="0"/>
              </w:rPr>
              <w:t>7</w:t>
            </w:r>
          </w:p>
        </w:tc>
        <w:tc>
          <w:tcPr>
            <w:tcW w:w="794" w:type="dxa"/>
            <w:tcFitText/>
            <w:vAlign w:val="center"/>
          </w:tcPr>
          <w:p>
            <w:pPr>
              <w:pStyle w:val="13"/>
              <w:rPr>
                <w:spacing w:val="0"/>
              </w:rPr>
            </w:pPr>
            <w:r>
              <w:rPr>
                <w:spacing w:val="24"/>
              </w:rPr>
              <w:t>24.9</w:t>
            </w:r>
            <w:r>
              <w:rPr>
                <w:spacing w:val="0"/>
              </w:rPr>
              <w:t>7</w:t>
            </w:r>
          </w:p>
        </w:tc>
        <w:tc>
          <w:tcPr>
            <w:tcW w:w="794" w:type="dxa"/>
            <w:tcFitText/>
            <w:vAlign w:val="center"/>
          </w:tcPr>
          <w:p>
            <w:pPr>
              <w:pStyle w:val="13"/>
              <w:rPr>
                <w:spacing w:val="0"/>
              </w:rPr>
            </w:pPr>
            <w:r>
              <w:rPr>
                <w:spacing w:val="24"/>
              </w:rPr>
              <w:t>24.9</w:t>
            </w:r>
            <w:r>
              <w:rPr>
                <w:spacing w:val="0"/>
              </w:rPr>
              <w:t>7</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pPr>
            <w:r>
              <w:t>6</w:t>
            </w:r>
          </w:p>
        </w:tc>
        <w:tc>
          <w:tcPr>
            <w:tcW w:w="946" w:type="dxa"/>
            <w:tcFitText/>
            <w:vAlign w:val="center"/>
          </w:tcPr>
          <w:p>
            <w:pPr>
              <w:pStyle w:val="14"/>
              <w:rPr>
                <w:spacing w:val="0"/>
              </w:rPr>
            </w:pPr>
            <w:r>
              <w:rPr>
                <w:spacing w:val="49"/>
              </w:rPr>
              <w:t>2080</w:t>
            </w:r>
            <w:r>
              <w:rPr>
                <w:spacing w:val="0"/>
              </w:rPr>
              <w:t>5</w:t>
            </w:r>
          </w:p>
        </w:tc>
        <w:tc>
          <w:tcPr>
            <w:tcW w:w="725" w:type="dxa"/>
            <w:tcFitText/>
            <w:vAlign w:val="center"/>
          </w:tcPr>
          <w:p>
            <w:pPr>
              <w:pStyle w:val="14"/>
              <w:rPr>
                <w:spacing w:val="0"/>
              </w:rPr>
            </w:pPr>
            <w:r>
              <w:rPr>
                <w:spacing w:val="2"/>
                <w:w w:val="23"/>
              </w:rPr>
              <w:t>行政事业单位养老支</w:t>
            </w:r>
            <w:r>
              <w:rPr>
                <w:spacing w:val="0"/>
                <w:w w:val="23"/>
              </w:rPr>
              <w:t>出</w:t>
            </w:r>
          </w:p>
        </w:tc>
        <w:tc>
          <w:tcPr>
            <w:tcW w:w="794" w:type="dxa"/>
            <w:tcFitText/>
            <w:vAlign w:val="center"/>
          </w:tcPr>
          <w:p>
            <w:pPr>
              <w:pStyle w:val="13"/>
              <w:rPr>
                <w:spacing w:val="0"/>
              </w:rPr>
            </w:pPr>
            <w:r>
              <w:rPr>
                <w:spacing w:val="24"/>
              </w:rPr>
              <w:t>24.9</w:t>
            </w:r>
            <w:r>
              <w:rPr>
                <w:spacing w:val="0"/>
              </w:rPr>
              <w:t>7</w:t>
            </w:r>
          </w:p>
        </w:tc>
        <w:tc>
          <w:tcPr>
            <w:tcW w:w="794" w:type="dxa"/>
            <w:tcFitText/>
            <w:vAlign w:val="center"/>
          </w:tcPr>
          <w:p>
            <w:pPr>
              <w:pStyle w:val="13"/>
              <w:rPr>
                <w:spacing w:val="0"/>
              </w:rPr>
            </w:pPr>
            <w:r>
              <w:rPr>
                <w:spacing w:val="24"/>
              </w:rPr>
              <w:t>24.9</w:t>
            </w:r>
            <w:r>
              <w:rPr>
                <w:spacing w:val="0"/>
              </w:rPr>
              <w:t>7</w:t>
            </w:r>
          </w:p>
        </w:tc>
        <w:tc>
          <w:tcPr>
            <w:tcW w:w="794" w:type="dxa"/>
            <w:tcFitText/>
            <w:vAlign w:val="center"/>
          </w:tcPr>
          <w:p>
            <w:pPr>
              <w:pStyle w:val="13"/>
              <w:rPr>
                <w:spacing w:val="0"/>
              </w:rPr>
            </w:pPr>
            <w:r>
              <w:rPr>
                <w:spacing w:val="24"/>
              </w:rPr>
              <w:t>24.9</w:t>
            </w:r>
            <w:r>
              <w:rPr>
                <w:spacing w:val="0"/>
              </w:rPr>
              <w:t>7</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pPr>
            <w:r>
              <w:t>7</w:t>
            </w:r>
          </w:p>
        </w:tc>
        <w:tc>
          <w:tcPr>
            <w:tcW w:w="946" w:type="dxa"/>
            <w:tcFitText/>
            <w:vAlign w:val="center"/>
          </w:tcPr>
          <w:p>
            <w:pPr>
              <w:pStyle w:val="14"/>
              <w:rPr>
                <w:spacing w:val="0"/>
              </w:rPr>
            </w:pPr>
            <w:r>
              <w:rPr>
                <w:spacing w:val="0"/>
                <w:w w:val="98"/>
              </w:rPr>
              <w:t>2080505</w:t>
            </w:r>
          </w:p>
        </w:tc>
        <w:tc>
          <w:tcPr>
            <w:tcW w:w="725" w:type="dxa"/>
            <w:tcFitText/>
            <w:vAlign w:val="center"/>
          </w:tcPr>
          <w:p>
            <w:pPr>
              <w:pStyle w:val="14"/>
              <w:rPr>
                <w:spacing w:val="0"/>
              </w:rPr>
            </w:pPr>
            <w:r>
              <w:rPr>
                <w:spacing w:val="0"/>
                <w:w w:val="15"/>
              </w:rPr>
              <w:t>机关事业单位基本养老保险缴费支出</w:t>
            </w:r>
          </w:p>
        </w:tc>
        <w:tc>
          <w:tcPr>
            <w:tcW w:w="794" w:type="dxa"/>
            <w:tcFitText/>
            <w:vAlign w:val="center"/>
          </w:tcPr>
          <w:p>
            <w:pPr>
              <w:pStyle w:val="13"/>
              <w:rPr>
                <w:spacing w:val="0"/>
              </w:rPr>
            </w:pPr>
            <w:r>
              <w:rPr>
                <w:spacing w:val="24"/>
              </w:rPr>
              <w:t>24.9</w:t>
            </w:r>
            <w:r>
              <w:rPr>
                <w:spacing w:val="0"/>
              </w:rPr>
              <w:t>7</w:t>
            </w:r>
          </w:p>
        </w:tc>
        <w:tc>
          <w:tcPr>
            <w:tcW w:w="794" w:type="dxa"/>
            <w:tcFitText/>
            <w:vAlign w:val="center"/>
          </w:tcPr>
          <w:p>
            <w:pPr>
              <w:pStyle w:val="13"/>
              <w:rPr>
                <w:spacing w:val="0"/>
              </w:rPr>
            </w:pPr>
            <w:r>
              <w:rPr>
                <w:spacing w:val="24"/>
              </w:rPr>
              <w:t>24.9</w:t>
            </w:r>
            <w:r>
              <w:rPr>
                <w:spacing w:val="0"/>
              </w:rPr>
              <w:t>7</w:t>
            </w:r>
          </w:p>
        </w:tc>
        <w:tc>
          <w:tcPr>
            <w:tcW w:w="794" w:type="dxa"/>
            <w:tcFitText/>
            <w:vAlign w:val="center"/>
          </w:tcPr>
          <w:p>
            <w:pPr>
              <w:pStyle w:val="13"/>
              <w:rPr>
                <w:spacing w:val="0"/>
              </w:rPr>
            </w:pPr>
            <w:r>
              <w:rPr>
                <w:spacing w:val="24"/>
              </w:rPr>
              <w:t>24.9</w:t>
            </w:r>
            <w:r>
              <w:rPr>
                <w:spacing w:val="0"/>
              </w:rPr>
              <w:t>7</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5" w:hRule="atLeast"/>
          <w:jc w:val="center"/>
        </w:trPr>
        <w:tc>
          <w:tcPr>
            <w:tcW w:w="725" w:type="dxa"/>
            <w:tcFitText/>
            <w:vAlign w:val="center"/>
          </w:tcPr>
          <w:p>
            <w:pPr>
              <w:pStyle w:val="15"/>
            </w:pPr>
            <w:r>
              <w:t>8</w:t>
            </w:r>
          </w:p>
        </w:tc>
        <w:tc>
          <w:tcPr>
            <w:tcW w:w="946" w:type="dxa"/>
            <w:tcFitText/>
            <w:vAlign w:val="center"/>
          </w:tcPr>
          <w:p>
            <w:pPr>
              <w:pStyle w:val="14"/>
              <w:rPr>
                <w:spacing w:val="0"/>
              </w:rPr>
            </w:pPr>
            <w:r>
              <w:rPr>
                <w:spacing w:val="203"/>
              </w:rPr>
              <w:t>21</w:t>
            </w:r>
            <w:r>
              <w:rPr>
                <w:spacing w:val="0"/>
              </w:rPr>
              <w:t>0</w:t>
            </w:r>
          </w:p>
        </w:tc>
        <w:tc>
          <w:tcPr>
            <w:tcW w:w="725" w:type="dxa"/>
            <w:tcFitText/>
            <w:vAlign w:val="center"/>
          </w:tcPr>
          <w:p>
            <w:pPr>
              <w:pStyle w:val="14"/>
              <w:rPr>
                <w:spacing w:val="0"/>
              </w:rPr>
            </w:pPr>
            <w:r>
              <w:rPr>
                <w:spacing w:val="3"/>
                <w:w w:val="39"/>
              </w:rPr>
              <w:t>卫生健康支</w:t>
            </w:r>
            <w:r>
              <w:rPr>
                <w:spacing w:val="0"/>
                <w:w w:val="39"/>
              </w:rPr>
              <w:t>出</w:t>
            </w:r>
          </w:p>
        </w:tc>
        <w:tc>
          <w:tcPr>
            <w:tcW w:w="794" w:type="dxa"/>
            <w:tcFitText/>
            <w:vAlign w:val="center"/>
          </w:tcPr>
          <w:p>
            <w:pPr>
              <w:pStyle w:val="13"/>
              <w:rPr>
                <w:spacing w:val="0"/>
              </w:rPr>
            </w:pPr>
            <w:r>
              <w:rPr>
                <w:spacing w:val="24"/>
              </w:rPr>
              <w:t>19.4</w:t>
            </w:r>
            <w:r>
              <w:rPr>
                <w:spacing w:val="0"/>
              </w:rPr>
              <w:t>0</w:t>
            </w:r>
          </w:p>
        </w:tc>
        <w:tc>
          <w:tcPr>
            <w:tcW w:w="794" w:type="dxa"/>
            <w:tcFitText/>
            <w:vAlign w:val="center"/>
          </w:tcPr>
          <w:p>
            <w:pPr>
              <w:pStyle w:val="13"/>
              <w:rPr>
                <w:spacing w:val="0"/>
              </w:rPr>
            </w:pPr>
            <w:r>
              <w:rPr>
                <w:spacing w:val="24"/>
              </w:rPr>
              <w:t>19.4</w:t>
            </w:r>
            <w:r>
              <w:rPr>
                <w:spacing w:val="0"/>
              </w:rPr>
              <w:t>0</w:t>
            </w:r>
          </w:p>
        </w:tc>
        <w:tc>
          <w:tcPr>
            <w:tcW w:w="794" w:type="dxa"/>
            <w:tcFitText/>
            <w:vAlign w:val="center"/>
          </w:tcPr>
          <w:p>
            <w:pPr>
              <w:pStyle w:val="13"/>
              <w:rPr>
                <w:spacing w:val="0"/>
              </w:rPr>
            </w:pPr>
            <w:r>
              <w:rPr>
                <w:spacing w:val="24"/>
              </w:rPr>
              <w:t>19.4</w:t>
            </w:r>
            <w:r>
              <w:rPr>
                <w:spacing w:val="0"/>
              </w:rPr>
              <w:t>0</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pPr>
            <w:r>
              <w:t>9</w:t>
            </w:r>
          </w:p>
        </w:tc>
        <w:tc>
          <w:tcPr>
            <w:tcW w:w="946" w:type="dxa"/>
            <w:tcFitText/>
            <w:vAlign w:val="center"/>
          </w:tcPr>
          <w:p>
            <w:pPr>
              <w:pStyle w:val="14"/>
              <w:rPr>
                <w:spacing w:val="0"/>
              </w:rPr>
            </w:pPr>
            <w:r>
              <w:rPr>
                <w:spacing w:val="49"/>
              </w:rPr>
              <w:t>2101</w:t>
            </w:r>
            <w:r>
              <w:rPr>
                <w:spacing w:val="0"/>
              </w:rPr>
              <w:t>1</w:t>
            </w:r>
          </w:p>
        </w:tc>
        <w:tc>
          <w:tcPr>
            <w:tcW w:w="725" w:type="dxa"/>
            <w:tcFitText/>
            <w:vAlign w:val="center"/>
          </w:tcPr>
          <w:p>
            <w:pPr>
              <w:pStyle w:val="14"/>
              <w:rPr>
                <w:spacing w:val="0"/>
              </w:rPr>
            </w:pPr>
            <w:r>
              <w:rPr>
                <w:spacing w:val="1"/>
                <w:w w:val="29"/>
              </w:rPr>
              <w:t>行政事业单位医</w:t>
            </w:r>
            <w:r>
              <w:rPr>
                <w:spacing w:val="0"/>
                <w:w w:val="29"/>
              </w:rPr>
              <w:t>疗</w:t>
            </w:r>
          </w:p>
        </w:tc>
        <w:tc>
          <w:tcPr>
            <w:tcW w:w="794" w:type="dxa"/>
            <w:tcFitText/>
            <w:vAlign w:val="center"/>
          </w:tcPr>
          <w:p>
            <w:pPr>
              <w:pStyle w:val="13"/>
              <w:rPr>
                <w:spacing w:val="0"/>
              </w:rPr>
            </w:pPr>
            <w:r>
              <w:rPr>
                <w:spacing w:val="24"/>
              </w:rPr>
              <w:t>19.4</w:t>
            </w:r>
            <w:r>
              <w:rPr>
                <w:spacing w:val="0"/>
              </w:rPr>
              <w:t>0</w:t>
            </w:r>
          </w:p>
        </w:tc>
        <w:tc>
          <w:tcPr>
            <w:tcW w:w="794" w:type="dxa"/>
            <w:tcFitText/>
            <w:vAlign w:val="center"/>
          </w:tcPr>
          <w:p>
            <w:pPr>
              <w:pStyle w:val="13"/>
              <w:rPr>
                <w:spacing w:val="0"/>
              </w:rPr>
            </w:pPr>
            <w:r>
              <w:rPr>
                <w:spacing w:val="24"/>
              </w:rPr>
              <w:t>19.4</w:t>
            </w:r>
            <w:r>
              <w:rPr>
                <w:spacing w:val="0"/>
              </w:rPr>
              <w:t>0</w:t>
            </w:r>
          </w:p>
        </w:tc>
        <w:tc>
          <w:tcPr>
            <w:tcW w:w="794" w:type="dxa"/>
            <w:tcFitText/>
            <w:vAlign w:val="center"/>
          </w:tcPr>
          <w:p>
            <w:pPr>
              <w:pStyle w:val="13"/>
              <w:rPr>
                <w:spacing w:val="0"/>
              </w:rPr>
            </w:pPr>
            <w:r>
              <w:rPr>
                <w:spacing w:val="24"/>
              </w:rPr>
              <w:t>19.4</w:t>
            </w:r>
            <w:r>
              <w:rPr>
                <w:spacing w:val="0"/>
              </w:rPr>
              <w:t>0</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rPr>
                <w:spacing w:val="0"/>
              </w:rPr>
            </w:pPr>
            <w:r>
              <w:rPr>
                <w:spacing w:val="290"/>
              </w:rPr>
              <w:t>1</w:t>
            </w:r>
            <w:r>
              <w:rPr>
                <w:spacing w:val="0"/>
              </w:rPr>
              <w:t>0</w:t>
            </w:r>
          </w:p>
        </w:tc>
        <w:tc>
          <w:tcPr>
            <w:tcW w:w="946" w:type="dxa"/>
            <w:tcFitText/>
            <w:vAlign w:val="center"/>
          </w:tcPr>
          <w:p>
            <w:pPr>
              <w:pStyle w:val="14"/>
              <w:rPr>
                <w:spacing w:val="0"/>
              </w:rPr>
            </w:pPr>
            <w:r>
              <w:rPr>
                <w:spacing w:val="0"/>
                <w:w w:val="98"/>
              </w:rPr>
              <w:t>2101101</w:t>
            </w:r>
          </w:p>
        </w:tc>
        <w:tc>
          <w:tcPr>
            <w:tcW w:w="725" w:type="dxa"/>
            <w:tcFitText/>
            <w:vAlign w:val="center"/>
          </w:tcPr>
          <w:p>
            <w:pPr>
              <w:pStyle w:val="14"/>
              <w:rPr>
                <w:spacing w:val="0"/>
              </w:rPr>
            </w:pPr>
            <w:r>
              <w:rPr>
                <w:spacing w:val="3"/>
                <w:w w:val="39"/>
              </w:rPr>
              <w:t>行政单位医</w:t>
            </w:r>
            <w:r>
              <w:rPr>
                <w:spacing w:val="0"/>
                <w:w w:val="39"/>
              </w:rPr>
              <w:t>疗</w:t>
            </w:r>
          </w:p>
        </w:tc>
        <w:tc>
          <w:tcPr>
            <w:tcW w:w="794" w:type="dxa"/>
            <w:tcFitText/>
            <w:vAlign w:val="center"/>
          </w:tcPr>
          <w:p>
            <w:pPr>
              <w:pStyle w:val="13"/>
              <w:rPr>
                <w:spacing w:val="0"/>
              </w:rPr>
            </w:pPr>
            <w:r>
              <w:rPr>
                <w:spacing w:val="24"/>
              </w:rPr>
              <w:t>19.4</w:t>
            </w:r>
            <w:r>
              <w:rPr>
                <w:spacing w:val="0"/>
              </w:rPr>
              <w:t>0</w:t>
            </w:r>
          </w:p>
        </w:tc>
        <w:tc>
          <w:tcPr>
            <w:tcW w:w="794" w:type="dxa"/>
            <w:tcFitText/>
            <w:vAlign w:val="center"/>
          </w:tcPr>
          <w:p>
            <w:pPr>
              <w:pStyle w:val="13"/>
              <w:rPr>
                <w:spacing w:val="0"/>
              </w:rPr>
            </w:pPr>
            <w:r>
              <w:rPr>
                <w:spacing w:val="24"/>
              </w:rPr>
              <w:t>19.4</w:t>
            </w:r>
            <w:r>
              <w:rPr>
                <w:spacing w:val="0"/>
              </w:rPr>
              <w:t>0</w:t>
            </w:r>
          </w:p>
        </w:tc>
        <w:tc>
          <w:tcPr>
            <w:tcW w:w="794" w:type="dxa"/>
            <w:tcFitText/>
            <w:vAlign w:val="center"/>
          </w:tcPr>
          <w:p>
            <w:pPr>
              <w:pStyle w:val="13"/>
              <w:rPr>
                <w:spacing w:val="0"/>
              </w:rPr>
            </w:pPr>
            <w:r>
              <w:rPr>
                <w:spacing w:val="24"/>
              </w:rPr>
              <w:t>19.4</w:t>
            </w:r>
            <w:r>
              <w:rPr>
                <w:spacing w:val="0"/>
              </w:rPr>
              <w:t>0</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rPr>
                <w:spacing w:val="0"/>
              </w:rPr>
            </w:pPr>
            <w:r>
              <w:rPr>
                <w:spacing w:val="290"/>
              </w:rPr>
              <w:t>1</w:t>
            </w:r>
            <w:r>
              <w:rPr>
                <w:spacing w:val="0"/>
              </w:rPr>
              <w:t>1</w:t>
            </w:r>
          </w:p>
        </w:tc>
        <w:tc>
          <w:tcPr>
            <w:tcW w:w="946" w:type="dxa"/>
            <w:tcFitText/>
            <w:vAlign w:val="center"/>
          </w:tcPr>
          <w:p>
            <w:pPr>
              <w:pStyle w:val="14"/>
              <w:rPr>
                <w:spacing w:val="0"/>
              </w:rPr>
            </w:pPr>
            <w:r>
              <w:rPr>
                <w:spacing w:val="203"/>
              </w:rPr>
              <w:t>22</w:t>
            </w:r>
            <w:r>
              <w:rPr>
                <w:spacing w:val="0"/>
              </w:rPr>
              <w:t>1</w:t>
            </w:r>
          </w:p>
        </w:tc>
        <w:tc>
          <w:tcPr>
            <w:tcW w:w="725" w:type="dxa"/>
            <w:tcFitText/>
            <w:vAlign w:val="center"/>
          </w:tcPr>
          <w:p>
            <w:pPr>
              <w:pStyle w:val="14"/>
              <w:rPr>
                <w:spacing w:val="0"/>
              </w:rPr>
            </w:pPr>
            <w:r>
              <w:rPr>
                <w:spacing w:val="3"/>
                <w:w w:val="39"/>
              </w:rPr>
              <w:t>住房保障支</w:t>
            </w:r>
            <w:r>
              <w:rPr>
                <w:spacing w:val="0"/>
                <w:w w:val="39"/>
              </w:rPr>
              <w:t>出</w:t>
            </w:r>
          </w:p>
        </w:tc>
        <w:tc>
          <w:tcPr>
            <w:tcW w:w="794" w:type="dxa"/>
            <w:tcFitText/>
            <w:vAlign w:val="center"/>
          </w:tcPr>
          <w:p>
            <w:pPr>
              <w:pStyle w:val="13"/>
              <w:rPr>
                <w:spacing w:val="0"/>
              </w:rPr>
            </w:pPr>
            <w:r>
              <w:rPr>
                <w:spacing w:val="24"/>
              </w:rPr>
              <w:t>20.4</w:t>
            </w:r>
            <w:r>
              <w:rPr>
                <w:spacing w:val="0"/>
              </w:rPr>
              <w:t>9</w:t>
            </w:r>
          </w:p>
        </w:tc>
        <w:tc>
          <w:tcPr>
            <w:tcW w:w="794" w:type="dxa"/>
            <w:tcFitText/>
            <w:vAlign w:val="center"/>
          </w:tcPr>
          <w:p>
            <w:pPr>
              <w:pStyle w:val="13"/>
              <w:rPr>
                <w:spacing w:val="0"/>
              </w:rPr>
            </w:pPr>
            <w:r>
              <w:rPr>
                <w:spacing w:val="24"/>
              </w:rPr>
              <w:t>20.4</w:t>
            </w:r>
            <w:r>
              <w:rPr>
                <w:spacing w:val="0"/>
              </w:rPr>
              <w:t>9</w:t>
            </w:r>
          </w:p>
        </w:tc>
        <w:tc>
          <w:tcPr>
            <w:tcW w:w="794" w:type="dxa"/>
            <w:tcFitText/>
            <w:vAlign w:val="center"/>
          </w:tcPr>
          <w:p>
            <w:pPr>
              <w:pStyle w:val="13"/>
              <w:rPr>
                <w:spacing w:val="0"/>
              </w:rPr>
            </w:pPr>
            <w:r>
              <w:rPr>
                <w:spacing w:val="24"/>
              </w:rPr>
              <w:t>20.4</w:t>
            </w:r>
            <w:r>
              <w:rPr>
                <w:spacing w:val="0"/>
              </w:rPr>
              <w:t>9</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rPr>
                <w:spacing w:val="0"/>
              </w:rPr>
            </w:pPr>
            <w:r>
              <w:rPr>
                <w:spacing w:val="290"/>
              </w:rPr>
              <w:t>1</w:t>
            </w:r>
            <w:r>
              <w:rPr>
                <w:spacing w:val="0"/>
              </w:rPr>
              <w:t>2</w:t>
            </w:r>
          </w:p>
        </w:tc>
        <w:tc>
          <w:tcPr>
            <w:tcW w:w="946" w:type="dxa"/>
            <w:tcFitText/>
            <w:vAlign w:val="center"/>
          </w:tcPr>
          <w:p>
            <w:pPr>
              <w:pStyle w:val="14"/>
              <w:rPr>
                <w:spacing w:val="0"/>
              </w:rPr>
            </w:pPr>
            <w:r>
              <w:rPr>
                <w:spacing w:val="49"/>
              </w:rPr>
              <w:t>2210</w:t>
            </w:r>
            <w:r>
              <w:rPr>
                <w:spacing w:val="0"/>
              </w:rPr>
              <w:t>2</w:t>
            </w:r>
          </w:p>
        </w:tc>
        <w:tc>
          <w:tcPr>
            <w:tcW w:w="725" w:type="dxa"/>
            <w:tcFitText/>
            <w:vAlign w:val="center"/>
          </w:tcPr>
          <w:p>
            <w:pPr>
              <w:pStyle w:val="14"/>
              <w:rPr>
                <w:spacing w:val="0"/>
              </w:rPr>
            </w:pPr>
            <w:r>
              <w:rPr>
                <w:spacing w:val="3"/>
                <w:w w:val="39"/>
              </w:rPr>
              <w:t>住房改革支</w:t>
            </w:r>
            <w:r>
              <w:rPr>
                <w:spacing w:val="0"/>
                <w:w w:val="39"/>
              </w:rPr>
              <w:t>出</w:t>
            </w:r>
          </w:p>
        </w:tc>
        <w:tc>
          <w:tcPr>
            <w:tcW w:w="794" w:type="dxa"/>
            <w:tcFitText/>
            <w:vAlign w:val="center"/>
          </w:tcPr>
          <w:p>
            <w:pPr>
              <w:pStyle w:val="13"/>
              <w:rPr>
                <w:spacing w:val="0"/>
              </w:rPr>
            </w:pPr>
            <w:r>
              <w:rPr>
                <w:spacing w:val="24"/>
              </w:rPr>
              <w:t>20.4</w:t>
            </w:r>
            <w:r>
              <w:rPr>
                <w:spacing w:val="0"/>
              </w:rPr>
              <w:t>9</w:t>
            </w:r>
          </w:p>
        </w:tc>
        <w:tc>
          <w:tcPr>
            <w:tcW w:w="794" w:type="dxa"/>
            <w:tcFitText/>
            <w:vAlign w:val="center"/>
          </w:tcPr>
          <w:p>
            <w:pPr>
              <w:pStyle w:val="13"/>
              <w:rPr>
                <w:spacing w:val="0"/>
              </w:rPr>
            </w:pPr>
            <w:r>
              <w:rPr>
                <w:spacing w:val="24"/>
              </w:rPr>
              <w:t>20.4</w:t>
            </w:r>
            <w:r>
              <w:rPr>
                <w:spacing w:val="0"/>
              </w:rPr>
              <w:t>9</w:t>
            </w:r>
          </w:p>
        </w:tc>
        <w:tc>
          <w:tcPr>
            <w:tcW w:w="794" w:type="dxa"/>
            <w:tcFitText/>
            <w:vAlign w:val="center"/>
          </w:tcPr>
          <w:p>
            <w:pPr>
              <w:pStyle w:val="13"/>
              <w:rPr>
                <w:spacing w:val="0"/>
              </w:rPr>
            </w:pPr>
            <w:r>
              <w:rPr>
                <w:spacing w:val="24"/>
              </w:rPr>
              <w:t>20.4</w:t>
            </w:r>
            <w:r>
              <w:rPr>
                <w:spacing w:val="0"/>
              </w:rPr>
              <w:t>9</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tcFitText/>
            <w:vAlign w:val="center"/>
          </w:tcPr>
          <w:p>
            <w:pPr>
              <w:pStyle w:val="15"/>
              <w:rPr>
                <w:spacing w:val="0"/>
              </w:rPr>
            </w:pPr>
            <w:r>
              <w:rPr>
                <w:spacing w:val="290"/>
              </w:rPr>
              <w:t>1</w:t>
            </w:r>
            <w:r>
              <w:rPr>
                <w:spacing w:val="0"/>
              </w:rPr>
              <w:t>3</w:t>
            </w:r>
          </w:p>
        </w:tc>
        <w:tc>
          <w:tcPr>
            <w:tcW w:w="946" w:type="dxa"/>
            <w:tcFitText/>
            <w:vAlign w:val="center"/>
          </w:tcPr>
          <w:p>
            <w:pPr>
              <w:pStyle w:val="14"/>
              <w:rPr>
                <w:spacing w:val="0"/>
              </w:rPr>
            </w:pPr>
            <w:r>
              <w:rPr>
                <w:spacing w:val="0"/>
                <w:w w:val="98"/>
              </w:rPr>
              <w:t>2210201</w:t>
            </w:r>
          </w:p>
        </w:tc>
        <w:tc>
          <w:tcPr>
            <w:tcW w:w="725" w:type="dxa"/>
            <w:tcFitText/>
            <w:vAlign w:val="center"/>
          </w:tcPr>
          <w:p>
            <w:pPr>
              <w:pStyle w:val="14"/>
              <w:rPr>
                <w:spacing w:val="0"/>
              </w:rPr>
            </w:pPr>
            <w:r>
              <w:rPr>
                <w:spacing w:val="1"/>
                <w:w w:val="47"/>
              </w:rPr>
              <w:t>住房公积</w:t>
            </w:r>
            <w:r>
              <w:rPr>
                <w:spacing w:val="0"/>
                <w:w w:val="47"/>
              </w:rPr>
              <w:t>金</w:t>
            </w:r>
          </w:p>
        </w:tc>
        <w:tc>
          <w:tcPr>
            <w:tcW w:w="794" w:type="dxa"/>
            <w:tcFitText/>
            <w:vAlign w:val="center"/>
          </w:tcPr>
          <w:p>
            <w:pPr>
              <w:pStyle w:val="13"/>
              <w:rPr>
                <w:spacing w:val="0"/>
              </w:rPr>
            </w:pPr>
            <w:r>
              <w:rPr>
                <w:spacing w:val="24"/>
              </w:rPr>
              <w:t>20.4</w:t>
            </w:r>
            <w:r>
              <w:rPr>
                <w:spacing w:val="0"/>
              </w:rPr>
              <w:t>9</w:t>
            </w:r>
          </w:p>
        </w:tc>
        <w:tc>
          <w:tcPr>
            <w:tcW w:w="794" w:type="dxa"/>
            <w:tcFitText/>
            <w:vAlign w:val="center"/>
          </w:tcPr>
          <w:p>
            <w:pPr>
              <w:pStyle w:val="13"/>
              <w:rPr>
                <w:spacing w:val="0"/>
              </w:rPr>
            </w:pPr>
            <w:r>
              <w:rPr>
                <w:spacing w:val="24"/>
              </w:rPr>
              <w:t>20.4</w:t>
            </w:r>
            <w:r>
              <w:rPr>
                <w:spacing w:val="0"/>
              </w:rPr>
              <w:t>9</w:t>
            </w:r>
          </w:p>
        </w:tc>
        <w:tc>
          <w:tcPr>
            <w:tcW w:w="794" w:type="dxa"/>
            <w:tcFitText/>
            <w:vAlign w:val="center"/>
          </w:tcPr>
          <w:p>
            <w:pPr>
              <w:pStyle w:val="13"/>
              <w:rPr>
                <w:spacing w:val="0"/>
              </w:rPr>
            </w:pPr>
            <w:r>
              <w:rPr>
                <w:spacing w:val="24"/>
              </w:rPr>
              <w:t>20.4</w:t>
            </w:r>
            <w:r>
              <w:rPr>
                <w:spacing w:val="0"/>
              </w:rPr>
              <w:t>9</w:t>
            </w: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5" w:type="dxa"/>
            <w:tcFitText/>
            <w:vAlign w:val="center"/>
          </w:tcPr>
          <w:p>
            <w:pPr>
              <w:pStyle w:val="13"/>
            </w:pPr>
          </w:p>
        </w:tc>
        <w:tc>
          <w:tcPr>
            <w:tcW w:w="726" w:type="dxa"/>
            <w:tcFitTex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151秦皇岛北戴河新区人民检察院</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727.09</w:t>
            </w:r>
          </w:p>
        </w:tc>
        <w:tc>
          <w:tcPr>
            <w:tcW w:w="1095" w:type="dxa"/>
            <w:vAlign w:val="center"/>
          </w:tcPr>
          <w:p>
            <w:pPr>
              <w:pStyle w:val="17"/>
            </w:pPr>
            <w:r>
              <w:t>592.39</w:t>
            </w:r>
          </w:p>
        </w:tc>
        <w:tc>
          <w:tcPr>
            <w:tcW w:w="1095" w:type="dxa"/>
            <w:vAlign w:val="center"/>
          </w:tcPr>
          <w:p>
            <w:pPr>
              <w:pStyle w:val="17"/>
            </w:pPr>
            <w:r>
              <w:t>134.70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662.23</w:t>
            </w:r>
          </w:p>
        </w:tc>
        <w:tc>
          <w:tcPr>
            <w:tcW w:w="1095" w:type="dxa"/>
            <w:vAlign w:val="center"/>
          </w:tcPr>
          <w:p>
            <w:pPr>
              <w:pStyle w:val="13"/>
            </w:pPr>
            <w:r>
              <w:t>527.53</w:t>
            </w:r>
          </w:p>
        </w:tc>
        <w:tc>
          <w:tcPr>
            <w:tcW w:w="1095" w:type="dxa"/>
            <w:vAlign w:val="center"/>
          </w:tcPr>
          <w:p>
            <w:pPr>
              <w:pStyle w:val="13"/>
            </w:pPr>
            <w:r>
              <w:t>134.70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20404</w:t>
            </w:r>
          </w:p>
        </w:tc>
        <w:tc>
          <w:tcPr>
            <w:tcW w:w="1095" w:type="dxa"/>
            <w:vAlign w:val="center"/>
          </w:tcPr>
          <w:p>
            <w:pPr>
              <w:pStyle w:val="14"/>
            </w:pPr>
            <w:r>
              <w:t>检察</w:t>
            </w:r>
          </w:p>
        </w:tc>
        <w:tc>
          <w:tcPr>
            <w:tcW w:w="1095" w:type="dxa"/>
            <w:vAlign w:val="center"/>
          </w:tcPr>
          <w:p>
            <w:pPr>
              <w:pStyle w:val="13"/>
            </w:pPr>
            <w:r>
              <w:t>662.23</w:t>
            </w:r>
          </w:p>
        </w:tc>
        <w:tc>
          <w:tcPr>
            <w:tcW w:w="1095" w:type="dxa"/>
            <w:vAlign w:val="center"/>
          </w:tcPr>
          <w:p>
            <w:pPr>
              <w:pStyle w:val="13"/>
            </w:pPr>
            <w:r>
              <w:t>527.53</w:t>
            </w:r>
          </w:p>
        </w:tc>
        <w:tc>
          <w:tcPr>
            <w:tcW w:w="1095" w:type="dxa"/>
            <w:vAlign w:val="center"/>
          </w:tcPr>
          <w:p>
            <w:pPr>
              <w:pStyle w:val="13"/>
            </w:pPr>
            <w:r>
              <w:t>134.70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2040401</w:t>
            </w:r>
          </w:p>
        </w:tc>
        <w:tc>
          <w:tcPr>
            <w:tcW w:w="1095" w:type="dxa"/>
            <w:vAlign w:val="center"/>
          </w:tcPr>
          <w:p>
            <w:pPr>
              <w:pStyle w:val="14"/>
            </w:pPr>
            <w:r>
              <w:t>行政运行</w:t>
            </w:r>
          </w:p>
        </w:tc>
        <w:tc>
          <w:tcPr>
            <w:tcW w:w="1095" w:type="dxa"/>
            <w:vAlign w:val="center"/>
          </w:tcPr>
          <w:p>
            <w:pPr>
              <w:pStyle w:val="13"/>
            </w:pPr>
            <w:r>
              <w:t>662.23</w:t>
            </w:r>
          </w:p>
        </w:tc>
        <w:tc>
          <w:tcPr>
            <w:tcW w:w="1095" w:type="dxa"/>
            <w:vAlign w:val="center"/>
          </w:tcPr>
          <w:p>
            <w:pPr>
              <w:pStyle w:val="13"/>
            </w:pPr>
            <w:r>
              <w:t>527.53</w:t>
            </w:r>
          </w:p>
        </w:tc>
        <w:tc>
          <w:tcPr>
            <w:tcW w:w="1095" w:type="dxa"/>
            <w:vAlign w:val="center"/>
          </w:tcPr>
          <w:p>
            <w:pPr>
              <w:pStyle w:val="13"/>
            </w:pPr>
            <w:r>
              <w:t>134.70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24.97</w:t>
            </w:r>
          </w:p>
        </w:tc>
        <w:tc>
          <w:tcPr>
            <w:tcW w:w="1095" w:type="dxa"/>
            <w:vAlign w:val="center"/>
          </w:tcPr>
          <w:p>
            <w:pPr>
              <w:pStyle w:val="13"/>
            </w:pPr>
            <w:r>
              <w:t>24.97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24.97</w:t>
            </w:r>
          </w:p>
        </w:tc>
        <w:tc>
          <w:tcPr>
            <w:tcW w:w="1095" w:type="dxa"/>
            <w:vAlign w:val="center"/>
          </w:tcPr>
          <w:p>
            <w:pPr>
              <w:pStyle w:val="13"/>
            </w:pPr>
            <w:r>
              <w:t>24.97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24.97</w:t>
            </w:r>
          </w:p>
        </w:tc>
        <w:tc>
          <w:tcPr>
            <w:tcW w:w="1095" w:type="dxa"/>
            <w:vAlign w:val="center"/>
          </w:tcPr>
          <w:p>
            <w:pPr>
              <w:pStyle w:val="13"/>
            </w:pPr>
            <w:r>
              <w:t>24.97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19.40</w:t>
            </w:r>
          </w:p>
        </w:tc>
        <w:tc>
          <w:tcPr>
            <w:tcW w:w="1095" w:type="dxa"/>
            <w:vAlign w:val="center"/>
          </w:tcPr>
          <w:p>
            <w:pPr>
              <w:pStyle w:val="13"/>
            </w:pPr>
            <w:r>
              <w:t>19.40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19.40</w:t>
            </w:r>
          </w:p>
        </w:tc>
        <w:tc>
          <w:tcPr>
            <w:tcW w:w="1095" w:type="dxa"/>
            <w:vAlign w:val="center"/>
          </w:tcPr>
          <w:p>
            <w:pPr>
              <w:pStyle w:val="13"/>
            </w:pPr>
            <w:r>
              <w:t>19.40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19.40</w:t>
            </w:r>
          </w:p>
        </w:tc>
        <w:tc>
          <w:tcPr>
            <w:tcW w:w="1095" w:type="dxa"/>
            <w:vAlign w:val="center"/>
          </w:tcPr>
          <w:p>
            <w:pPr>
              <w:pStyle w:val="13"/>
            </w:pPr>
            <w:r>
              <w:t>19.40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20.49</w:t>
            </w:r>
          </w:p>
        </w:tc>
        <w:tc>
          <w:tcPr>
            <w:tcW w:w="1095" w:type="dxa"/>
            <w:vAlign w:val="center"/>
          </w:tcPr>
          <w:p>
            <w:pPr>
              <w:pStyle w:val="13"/>
            </w:pPr>
            <w:r>
              <w:t>20.49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20.49</w:t>
            </w:r>
          </w:p>
        </w:tc>
        <w:tc>
          <w:tcPr>
            <w:tcW w:w="1095" w:type="dxa"/>
            <w:vAlign w:val="center"/>
          </w:tcPr>
          <w:p>
            <w:pPr>
              <w:pStyle w:val="13"/>
            </w:pPr>
            <w:r>
              <w:t>20.49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20.49</w:t>
            </w:r>
          </w:p>
        </w:tc>
        <w:tc>
          <w:tcPr>
            <w:tcW w:w="1095" w:type="dxa"/>
            <w:vAlign w:val="center"/>
          </w:tcPr>
          <w:p>
            <w:pPr>
              <w:pStyle w:val="13"/>
            </w:pPr>
            <w:r>
              <w:t>20.49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151秦皇岛北戴河新区人民检察院</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727.09</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662.23</w:t>
            </w:r>
          </w:p>
        </w:tc>
        <w:tc>
          <w:tcPr>
            <w:tcW w:w="1232" w:type="dxa"/>
            <w:vAlign w:val="center"/>
          </w:tcPr>
          <w:p>
            <w:pPr>
              <w:pStyle w:val="13"/>
            </w:pPr>
            <w:r>
              <w:t>662.23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24.97</w:t>
            </w:r>
          </w:p>
        </w:tc>
        <w:tc>
          <w:tcPr>
            <w:tcW w:w="1232" w:type="dxa"/>
            <w:vAlign w:val="center"/>
          </w:tcPr>
          <w:p>
            <w:pPr>
              <w:pStyle w:val="13"/>
            </w:pPr>
            <w:r>
              <w:t>24.97</w:t>
            </w: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19.40</w:t>
            </w:r>
          </w:p>
        </w:tc>
        <w:tc>
          <w:tcPr>
            <w:tcW w:w="1232" w:type="dxa"/>
            <w:vAlign w:val="center"/>
          </w:tcPr>
          <w:p>
            <w:pPr>
              <w:pStyle w:val="13"/>
            </w:pPr>
            <w:r>
              <w:t>19.40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20.49</w:t>
            </w:r>
          </w:p>
        </w:tc>
        <w:tc>
          <w:tcPr>
            <w:tcW w:w="1232" w:type="dxa"/>
            <w:vAlign w:val="center"/>
          </w:tcPr>
          <w:p>
            <w:pPr>
              <w:pStyle w:val="13"/>
            </w:pPr>
            <w:r>
              <w:t>20.49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727.09</w:t>
            </w:r>
          </w:p>
        </w:tc>
        <w:tc>
          <w:tcPr>
            <w:tcW w:w="1232" w:type="dxa"/>
            <w:vAlign w:val="center"/>
          </w:tcPr>
          <w:p>
            <w:pPr>
              <w:pStyle w:val="16"/>
            </w:pPr>
            <w:r>
              <w:t>本年支出合计</w:t>
            </w:r>
          </w:p>
        </w:tc>
        <w:tc>
          <w:tcPr>
            <w:tcW w:w="1232" w:type="dxa"/>
            <w:vAlign w:val="center"/>
          </w:tcPr>
          <w:p>
            <w:pPr>
              <w:pStyle w:val="17"/>
            </w:pPr>
            <w:r>
              <w:t>727.09</w:t>
            </w:r>
          </w:p>
        </w:tc>
        <w:tc>
          <w:tcPr>
            <w:tcW w:w="1232" w:type="dxa"/>
            <w:vAlign w:val="center"/>
          </w:tcPr>
          <w:p>
            <w:pPr>
              <w:pStyle w:val="17"/>
            </w:pPr>
            <w:r>
              <w:t>727.09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727.09</w:t>
            </w:r>
          </w:p>
        </w:tc>
        <w:tc>
          <w:tcPr>
            <w:tcW w:w="1232" w:type="dxa"/>
            <w:vAlign w:val="center"/>
          </w:tcPr>
          <w:p>
            <w:pPr>
              <w:pStyle w:val="16"/>
            </w:pPr>
            <w:r>
              <w:t>支出总计</w:t>
            </w:r>
          </w:p>
        </w:tc>
        <w:tc>
          <w:tcPr>
            <w:tcW w:w="1232" w:type="dxa"/>
            <w:vAlign w:val="center"/>
          </w:tcPr>
          <w:p>
            <w:pPr>
              <w:pStyle w:val="17"/>
            </w:pPr>
            <w:r>
              <w:t>727.09</w:t>
            </w:r>
          </w:p>
        </w:tc>
        <w:tc>
          <w:tcPr>
            <w:tcW w:w="1232" w:type="dxa"/>
            <w:vAlign w:val="center"/>
          </w:tcPr>
          <w:p>
            <w:pPr>
              <w:pStyle w:val="17"/>
            </w:pPr>
            <w:r>
              <w:t>727.09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151秦皇岛北戴河新区人民检察院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727.09</w:t>
            </w:r>
          </w:p>
        </w:tc>
        <w:tc>
          <w:tcPr>
            <w:tcW w:w="1643" w:type="dxa"/>
            <w:vAlign w:val="center"/>
          </w:tcPr>
          <w:p>
            <w:pPr>
              <w:pStyle w:val="17"/>
            </w:pPr>
            <w:r>
              <w:t>592.39</w:t>
            </w:r>
          </w:p>
        </w:tc>
        <w:tc>
          <w:tcPr>
            <w:tcW w:w="1643" w:type="dxa"/>
            <w:vAlign w:val="center"/>
          </w:tcPr>
          <w:p>
            <w:pPr>
              <w:pStyle w:val="17"/>
            </w:pPr>
            <w:r>
              <w:t>134.70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662.23</w:t>
            </w:r>
          </w:p>
        </w:tc>
        <w:tc>
          <w:tcPr>
            <w:tcW w:w="1643" w:type="dxa"/>
            <w:vAlign w:val="center"/>
          </w:tcPr>
          <w:p>
            <w:pPr>
              <w:pStyle w:val="13"/>
            </w:pPr>
            <w:r>
              <w:t>527.53</w:t>
            </w:r>
          </w:p>
        </w:tc>
        <w:tc>
          <w:tcPr>
            <w:tcW w:w="1643" w:type="dxa"/>
            <w:vAlign w:val="center"/>
          </w:tcPr>
          <w:p>
            <w:pPr>
              <w:pStyle w:val="13"/>
            </w:pPr>
            <w:r>
              <w:t>134.70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20404</w:t>
            </w:r>
          </w:p>
        </w:tc>
        <w:tc>
          <w:tcPr>
            <w:tcW w:w="1643" w:type="dxa"/>
            <w:vAlign w:val="center"/>
          </w:tcPr>
          <w:p>
            <w:pPr>
              <w:pStyle w:val="14"/>
            </w:pPr>
            <w:r>
              <w:t>检察</w:t>
            </w:r>
          </w:p>
        </w:tc>
        <w:tc>
          <w:tcPr>
            <w:tcW w:w="1643" w:type="dxa"/>
            <w:vAlign w:val="center"/>
          </w:tcPr>
          <w:p>
            <w:pPr>
              <w:pStyle w:val="13"/>
            </w:pPr>
            <w:r>
              <w:t>662.23</w:t>
            </w:r>
          </w:p>
        </w:tc>
        <w:tc>
          <w:tcPr>
            <w:tcW w:w="1643" w:type="dxa"/>
            <w:vAlign w:val="center"/>
          </w:tcPr>
          <w:p>
            <w:pPr>
              <w:pStyle w:val="13"/>
            </w:pPr>
            <w:r>
              <w:t>527.53</w:t>
            </w:r>
          </w:p>
        </w:tc>
        <w:tc>
          <w:tcPr>
            <w:tcW w:w="1643" w:type="dxa"/>
            <w:vAlign w:val="center"/>
          </w:tcPr>
          <w:p>
            <w:pPr>
              <w:pStyle w:val="13"/>
            </w:pPr>
            <w:r>
              <w:t>134.70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2040401</w:t>
            </w:r>
          </w:p>
        </w:tc>
        <w:tc>
          <w:tcPr>
            <w:tcW w:w="1643" w:type="dxa"/>
            <w:vAlign w:val="center"/>
          </w:tcPr>
          <w:p>
            <w:pPr>
              <w:pStyle w:val="14"/>
            </w:pPr>
            <w:r>
              <w:t>行政运行</w:t>
            </w:r>
          </w:p>
        </w:tc>
        <w:tc>
          <w:tcPr>
            <w:tcW w:w="1643" w:type="dxa"/>
            <w:vAlign w:val="center"/>
          </w:tcPr>
          <w:p>
            <w:pPr>
              <w:pStyle w:val="13"/>
            </w:pPr>
            <w:r>
              <w:t>662.23</w:t>
            </w:r>
          </w:p>
        </w:tc>
        <w:tc>
          <w:tcPr>
            <w:tcW w:w="1643" w:type="dxa"/>
            <w:vAlign w:val="center"/>
          </w:tcPr>
          <w:p>
            <w:pPr>
              <w:pStyle w:val="13"/>
            </w:pPr>
            <w:r>
              <w:t>527.53</w:t>
            </w:r>
          </w:p>
        </w:tc>
        <w:tc>
          <w:tcPr>
            <w:tcW w:w="1643" w:type="dxa"/>
            <w:vAlign w:val="center"/>
          </w:tcPr>
          <w:p>
            <w:pPr>
              <w:pStyle w:val="13"/>
            </w:pPr>
            <w:r>
              <w:t>134.70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24.97</w:t>
            </w:r>
          </w:p>
        </w:tc>
        <w:tc>
          <w:tcPr>
            <w:tcW w:w="1643" w:type="dxa"/>
            <w:vAlign w:val="center"/>
          </w:tcPr>
          <w:p>
            <w:pPr>
              <w:pStyle w:val="13"/>
            </w:pPr>
            <w:r>
              <w:t>24.97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24.97</w:t>
            </w:r>
          </w:p>
        </w:tc>
        <w:tc>
          <w:tcPr>
            <w:tcW w:w="1643" w:type="dxa"/>
            <w:vAlign w:val="center"/>
          </w:tcPr>
          <w:p>
            <w:pPr>
              <w:pStyle w:val="13"/>
            </w:pPr>
            <w:r>
              <w:t>24.97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24.97</w:t>
            </w:r>
          </w:p>
        </w:tc>
        <w:tc>
          <w:tcPr>
            <w:tcW w:w="1643" w:type="dxa"/>
            <w:vAlign w:val="center"/>
          </w:tcPr>
          <w:p>
            <w:pPr>
              <w:pStyle w:val="13"/>
            </w:pPr>
            <w:r>
              <w:t>24.97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19.40</w:t>
            </w:r>
          </w:p>
        </w:tc>
        <w:tc>
          <w:tcPr>
            <w:tcW w:w="1643" w:type="dxa"/>
            <w:vAlign w:val="center"/>
          </w:tcPr>
          <w:p>
            <w:pPr>
              <w:pStyle w:val="13"/>
            </w:pPr>
            <w:r>
              <w:t>19.40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19.40</w:t>
            </w:r>
          </w:p>
        </w:tc>
        <w:tc>
          <w:tcPr>
            <w:tcW w:w="1643" w:type="dxa"/>
            <w:vAlign w:val="center"/>
          </w:tcPr>
          <w:p>
            <w:pPr>
              <w:pStyle w:val="13"/>
            </w:pPr>
            <w:r>
              <w:t>19.40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19.40</w:t>
            </w:r>
          </w:p>
        </w:tc>
        <w:tc>
          <w:tcPr>
            <w:tcW w:w="1643" w:type="dxa"/>
            <w:vAlign w:val="center"/>
          </w:tcPr>
          <w:p>
            <w:pPr>
              <w:pStyle w:val="13"/>
            </w:pPr>
            <w:r>
              <w:t>19.40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20.49</w:t>
            </w:r>
          </w:p>
        </w:tc>
        <w:tc>
          <w:tcPr>
            <w:tcW w:w="1643" w:type="dxa"/>
            <w:vAlign w:val="center"/>
          </w:tcPr>
          <w:p>
            <w:pPr>
              <w:pStyle w:val="13"/>
            </w:pPr>
            <w:r>
              <w:t>20.49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20.49</w:t>
            </w:r>
          </w:p>
        </w:tc>
        <w:tc>
          <w:tcPr>
            <w:tcW w:w="1643" w:type="dxa"/>
            <w:vAlign w:val="center"/>
          </w:tcPr>
          <w:p>
            <w:pPr>
              <w:pStyle w:val="13"/>
            </w:pPr>
            <w:r>
              <w:t>20.49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20.49</w:t>
            </w:r>
          </w:p>
        </w:tc>
        <w:tc>
          <w:tcPr>
            <w:tcW w:w="1643" w:type="dxa"/>
            <w:vAlign w:val="center"/>
          </w:tcPr>
          <w:p>
            <w:pPr>
              <w:pStyle w:val="13"/>
            </w:pPr>
            <w:r>
              <w:t>20.49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151秦皇岛北戴河新区人民检察院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592.39</w:t>
            </w:r>
          </w:p>
        </w:tc>
        <w:tc>
          <w:tcPr>
            <w:tcW w:w="1643" w:type="dxa"/>
            <w:vAlign w:val="center"/>
          </w:tcPr>
          <w:p>
            <w:pPr>
              <w:pStyle w:val="17"/>
            </w:pPr>
            <w:r>
              <w:t>525.45</w:t>
            </w:r>
          </w:p>
        </w:tc>
        <w:tc>
          <w:tcPr>
            <w:tcW w:w="1643" w:type="dxa"/>
            <w:vAlign w:val="center"/>
          </w:tcPr>
          <w:p>
            <w:pPr>
              <w:pStyle w:val="17"/>
            </w:pPr>
            <w:r>
              <w:t>66.93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525.43</w:t>
            </w:r>
          </w:p>
        </w:tc>
        <w:tc>
          <w:tcPr>
            <w:tcW w:w="1643" w:type="dxa"/>
            <w:vAlign w:val="center"/>
          </w:tcPr>
          <w:p>
            <w:pPr>
              <w:pStyle w:val="13"/>
            </w:pPr>
            <w:r>
              <w:t>525.43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71.86</w:t>
            </w:r>
          </w:p>
        </w:tc>
        <w:tc>
          <w:tcPr>
            <w:tcW w:w="1643" w:type="dxa"/>
            <w:vAlign w:val="center"/>
          </w:tcPr>
          <w:p>
            <w:pPr>
              <w:pStyle w:val="13"/>
            </w:pPr>
            <w:r>
              <w:t>71.86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90.53</w:t>
            </w:r>
          </w:p>
        </w:tc>
        <w:tc>
          <w:tcPr>
            <w:tcW w:w="1643" w:type="dxa"/>
            <w:vAlign w:val="center"/>
          </w:tcPr>
          <w:p>
            <w:pPr>
              <w:pStyle w:val="13"/>
            </w:pPr>
            <w:r>
              <w:t>90.53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81.06</w:t>
            </w:r>
          </w:p>
        </w:tc>
        <w:tc>
          <w:tcPr>
            <w:tcW w:w="1643" w:type="dxa"/>
            <w:vAlign w:val="center"/>
          </w:tcPr>
          <w:p>
            <w:pPr>
              <w:pStyle w:val="13"/>
            </w:pPr>
            <w:r>
              <w:t>81.06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21.02</w:t>
            </w:r>
          </w:p>
        </w:tc>
        <w:tc>
          <w:tcPr>
            <w:tcW w:w="1643" w:type="dxa"/>
            <w:vAlign w:val="center"/>
          </w:tcPr>
          <w:p>
            <w:pPr>
              <w:pStyle w:val="13"/>
            </w:pPr>
            <w:r>
              <w:t>21.02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24.97</w:t>
            </w:r>
          </w:p>
        </w:tc>
        <w:tc>
          <w:tcPr>
            <w:tcW w:w="1643" w:type="dxa"/>
            <w:vAlign w:val="center"/>
          </w:tcPr>
          <w:p>
            <w:pPr>
              <w:pStyle w:val="13"/>
            </w:pPr>
            <w:r>
              <w:t>24.97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19.40</w:t>
            </w:r>
          </w:p>
        </w:tc>
        <w:tc>
          <w:tcPr>
            <w:tcW w:w="1643" w:type="dxa"/>
            <w:vAlign w:val="center"/>
          </w:tcPr>
          <w:p>
            <w:pPr>
              <w:pStyle w:val="13"/>
            </w:pPr>
            <w:r>
              <w:t>19.40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0.76</w:t>
            </w:r>
          </w:p>
        </w:tc>
        <w:tc>
          <w:tcPr>
            <w:tcW w:w="1643" w:type="dxa"/>
            <w:vAlign w:val="center"/>
          </w:tcPr>
          <w:p>
            <w:pPr>
              <w:pStyle w:val="13"/>
            </w:pPr>
            <w:r>
              <w:t>0.76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20.49</w:t>
            </w:r>
          </w:p>
        </w:tc>
        <w:tc>
          <w:tcPr>
            <w:tcW w:w="1643" w:type="dxa"/>
            <w:vAlign w:val="center"/>
          </w:tcPr>
          <w:p>
            <w:pPr>
              <w:pStyle w:val="13"/>
            </w:pPr>
            <w:r>
              <w:t>20.49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195.34</w:t>
            </w:r>
          </w:p>
        </w:tc>
        <w:tc>
          <w:tcPr>
            <w:tcW w:w="1643" w:type="dxa"/>
            <w:vAlign w:val="center"/>
          </w:tcPr>
          <w:p>
            <w:pPr>
              <w:pStyle w:val="13"/>
            </w:pPr>
            <w:r>
              <w:t>195.34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65.73</w:t>
            </w:r>
          </w:p>
        </w:tc>
        <w:tc>
          <w:tcPr>
            <w:tcW w:w="1643" w:type="dxa"/>
            <w:vAlign w:val="center"/>
          </w:tcPr>
          <w:p>
            <w:pPr>
              <w:pStyle w:val="13"/>
            </w:pPr>
          </w:p>
        </w:tc>
        <w:tc>
          <w:tcPr>
            <w:tcW w:w="1643" w:type="dxa"/>
            <w:vAlign w:val="center"/>
          </w:tcPr>
          <w:p>
            <w:pPr>
              <w:pStyle w:val="13"/>
            </w:pPr>
            <w:r>
              <w:t>65.73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9.00</w:t>
            </w:r>
          </w:p>
        </w:tc>
        <w:tc>
          <w:tcPr>
            <w:tcW w:w="1643"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1.20</w:t>
            </w:r>
          </w:p>
        </w:tc>
        <w:tc>
          <w:tcPr>
            <w:tcW w:w="1643" w:type="dxa"/>
            <w:vAlign w:val="center"/>
          </w:tcPr>
          <w:p>
            <w:pPr>
              <w:pStyle w:val="13"/>
            </w:p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4.80</w:t>
            </w:r>
          </w:p>
        </w:tc>
        <w:tc>
          <w:tcPr>
            <w:tcW w:w="1643" w:type="dxa"/>
            <w:vAlign w:val="center"/>
          </w:tcPr>
          <w:p>
            <w:pPr>
              <w:pStyle w:val="13"/>
            </w:pPr>
          </w:p>
        </w:tc>
        <w:tc>
          <w:tcPr>
            <w:tcW w:w="1643"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4.80</w:t>
            </w:r>
          </w:p>
        </w:tc>
        <w:tc>
          <w:tcPr>
            <w:tcW w:w="1643" w:type="dxa"/>
            <w:vAlign w:val="center"/>
          </w:tcPr>
          <w:p>
            <w:pPr>
              <w:pStyle w:val="13"/>
            </w:pPr>
          </w:p>
        </w:tc>
        <w:tc>
          <w:tcPr>
            <w:tcW w:w="1643"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3.31</w:t>
            </w:r>
          </w:p>
        </w:tc>
        <w:tc>
          <w:tcPr>
            <w:tcW w:w="1643" w:type="dxa"/>
            <w:vAlign w:val="center"/>
          </w:tcPr>
          <w:p>
            <w:pPr>
              <w:pStyle w:val="13"/>
            </w:pPr>
          </w:p>
        </w:tc>
        <w:tc>
          <w:tcPr>
            <w:tcW w:w="1643" w:type="dxa"/>
            <w:vAlign w:val="center"/>
          </w:tcPr>
          <w:p>
            <w:pPr>
              <w:pStyle w:val="13"/>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1.03</w:t>
            </w:r>
          </w:p>
        </w:tc>
        <w:tc>
          <w:tcPr>
            <w:tcW w:w="1643" w:type="dxa"/>
            <w:vAlign w:val="center"/>
          </w:tcPr>
          <w:p>
            <w:pPr>
              <w:pStyle w:val="13"/>
            </w:pPr>
          </w:p>
        </w:tc>
        <w:tc>
          <w:tcPr>
            <w:tcW w:w="1643" w:type="dxa"/>
            <w:vAlign w:val="center"/>
          </w:tcPr>
          <w:p>
            <w:pPr>
              <w:pStyle w:val="13"/>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4.41</w:t>
            </w:r>
          </w:p>
        </w:tc>
        <w:tc>
          <w:tcPr>
            <w:tcW w:w="1643" w:type="dxa"/>
            <w:vAlign w:val="center"/>
          </w:tcPr>
          <w:p>
            <w:pPr>
              <w:pStyle w:val="13"/>
            </w:pPr>
          </w:p>
        </w:tc>
        <w:tc>
          <w:tcPr>
            <w:tcW w:w="1643" w:type="dxa"/>
            <w:vAlign w:val="center"/>
          </w:tcPr>
          <w:p>
            <w:pPr>
              <w:pStyle w:val="13"/>
            </w:pPr>
            <w: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16.10</w:t>
            </w:r>
          </w:p>
        </w:tc>
        <w:tc>
          <w:tcPr>
            <w:tcW w:w="1643" w:type="dxa"/>
            <w:vAlign w:val="center"/>
          </w:tcPr>
          <w:p>
            <w:pPr>
              <w:pStyle w:val="13"/>
            </w:pPr>
          </w:p>
        </w:tc>
        <w:tc>
          <w:tcPr>
            <w:tcW w:w="1643" w:type="dxa"/>
            <w:vAlign w:val="center"/>
          </w:tcPr>
          <w:p>
            <w:pPr>
              <w:pStyle w:val="13"/>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1.07</w:t>
            </w:r>
          </w:p>
        </w:tc>
        <w:tc>
          <w:tcPr>
            <w:tcW w:w="1643" w:type="dxa"/>
            <w:vAlign w:val="center"/>
          </w:tcPr>
          <w:p>
            <w:pPr>
              <w:pStyle w:val="13"/>
            </w:pPr>
          </w:p>
        </w:tc>
        <w:tc>
          <w:tcPr>
            <w:tcW w:w="1643"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1.20</w:t>
            </w:r>
          </w:p>
        </w:tc>
        <w:tc>
          <w:tcPr>
            <w:tcW w:w="1643" w:type="dxa"/>
            <w:vAlign w:val="center"/>
          </w:tcPr>
          <w:p>
            <w:pPr>
              <w:pStyle w:val="13"/>
            </w:p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1.20</w:t>
            </w:r>
          </w:p>
        </w:tc>
        <w:tc>
          <w:tcPr>
            <w:tcW w:w="1643" w:type="dxa"/>
            <w:vAlign w:val="center"/>
          </w:tcPr>
          <w:p>
            <w:pPr>
              <w:pStyle w:val="13"/>
            </w:pPr>
          </w:p>
        </w:tc>
        <w:tc>
          <w:tcPr>
            <w:tcW w:w="1643" w:type="dxa"/>
            <w:vAlign w:val="center"/>
          </w:tcPr>
          <w:p>
            <w:pPr>
              <w:pStyle w:val="13"/>
            </w:pPr>
            <w:r>
              <w:t>1.20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151秦皇岛北戴河新区人民检察院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151秦皇岛北戴河新区人民检察院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151秦皇岛北戴河新区人民检察院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17.13</w:t>
            </w:r>
          </w:p>
        </w:tc>
        <w:tc>
          <w:tcPr>
            <w:tcW w:w="1643" w:type="dxa"/>
            <w:vAlign w:val="center"/>
          </w:tcPr>
          <w:p>
            <w:pPr>
              <w:pStyle w:val="17"/>
            </w:pPr>
            <w:r>
              <w:t>17.13</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17.13</w:t>
            </w:r>
          </w:p>
        </w:tc>
        <w:tc>
          <w:tcPr>
            <w:tcW w:w="1643" w:type="dxa"/>
            <w:vAlign w:val="center"/>
          </w:tcPr>
          <w:p>
            <w:pPr>
              <w:pStyle w:val="13"/>
            </w:pPr>
            <w:r>
              <w:t>17.13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16.10</w:t>
            </w:r>
          </w:p>
        </w:tc>
        <w:tc>
          <w:tcPr>
            <w:tcW w:w="1643" w:type="dxa"/>
            <w:vAlign w:val="center"/>
          </w:tcPr>
          <w:p>
            <w:pPr>
              <w:pStyle w:val="13"/>
            </w:pPr>
            <w:r>
              <w:t>16.10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16.10</w:t>
            </w:r>
          </w:p>
        </w:tc>
        <w:tc>
          <w:tcPr>
            <w:tcW w:w="1643" w:type="dxa"/>
            <w:vAlign w:val="center"/>
          </w:tcPr>
          <w:p>
            <w:pPr>
              <w:pStyle w:val="13"/>
            </w:pPr>
            <w:r>
              <w:t>16.10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1.03</w:t>
            </w:r>
          </w:p>
        </w:tc>
        <w:tc>
          <w:tcPr>
            <w:tcW w:w="1643" w:type="dxa"/>
            <w:vAlign w:val="center"/>
          </w:tcPr>
          <w:p>
            <w:pPr>
              <w:pStyle w:val="13"/>
            </w:pPr>
            <w:r>
              <w:t>1.03</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秦皇岛北戴河新区人民检察院2022年部门预算信息公开情况说明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秦皇岛北戴河新区人民检察院2022年部门预算信息公开情况说明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按照《预算法》、《地方预决算公开操作规程》和《关于进一步推进预算公开工作的实施意见》规定，现将秦皇岛北戴河新区人民检察院2022年部门预算公开如下：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根据《秦皇岛北戴河新区人民检察院职能配置、内设机构和人员编制规定》， 秦皇岛北戴河新区人民检察院的主要职责是：</w:t>
      </w:r>
    </w:p>
    <w:p>
      <w:pPr>
        <w:pStyle w:val="19"/>
      </w:pPr>
      <w:r>
        <w:t>(一)、执行国家法律法规，贯彻落实上级人民检察院、同级党委工作</w:t>
      </w:r>
    </w:p>
    <w:p>
      <w:pPr>
        <w:pStyle w:val="19"/>
      </w:pPr>
      <w:r>
        <w:t>部署，制定检察工作目标，完成各项检察工作任务。</w:t>
      </w:r>
    </w:p>
    <w:p>
      <w:pPr>
        <w:pStyle w:val="19"/>
      </w:pPr>
      <w:r>
        <w:t>(二)、依法办理审查批准逮捕、决定逮捕案件，实施立案侦查监督、</w:t>
      </w:r>
    </w:p>
    <w:p>
      <w:pPr>
        <w:pStyle w:val="19"/>
      </w:pPr>
      <w:r>
        <w:t>侦查活动监督。</w:t>
      </w:r>
    </w:p>
    <w:p>
      <w:pPr>
        <w:pStyle w:val="19"/>
      </w:pPr>
      <w:r>
        <w:t>(三)、依法办理审查起诉、提起公诉、抗诉案件，对人民法院刑事审</w:t>
      </w:r>
    </w:p>
    <w:p>
      <w:pPr>
        <w:pStyle w:val="19"/>
      </w:pPr>
      <w:r>
        <w:t>判活动实行监督工作。</w:t>
      </w:r>
    </w:p>
    <w:p>
      <w:pPr>
        <w:pStyle w:val="19"/>
      </w:pPr>
      <w:r>
        <w:t>(四)、对刑罚执行和监管活动实行监督，维护刑罚执行和监管活动的</w:t>
      </w:r>
    </w:p>
    <w:p>
      <w:pPr>
        <w:pStyle w:val="19"/>
      </w:pPr>
      <w:r>
        <w:t>公平公正，维护监管秩序稳定。</w:t>
      </w:r>
    </w:p>
    <w:p>
      <w:pPr>
        <w:pStyle w:val="19"/>
      </w:pPr>
      <w:r>
        <w:t>(五)、受理公民的报案、举报、控告和刑事申诉，依法处理举报线索，</w:t>
      </w:r>
    </w:p>
    <w:p>
      <w:pPr>
        <w:pStyle w:val="19"/>
      </w:pPr>
      <w:r>
        <w:t>办理刑事申诉、国家赔偿、司法救助案件。</w:t>
      </w:r>
    </w:p>
    <w:p>
      <w:pPr>
        <w:pStyle w:val="19"/>
      </w:pPr>
      <w:r>
        <w:t>(六)、对人民法院民事诉讼和行政诉讼实行法律监督。</w:t>
      </w:r>
    </w:p>
    <w:p>
      <w:pPr>
        <w:pStyle w:val="19"/>
      </w:pPr>
      <w:r>
        <w:t>(七)、开展公益诉讼检察工作。</w:t>
      </w:r>
    </w:p>
    <w:p>
      <w:pPr>
        <w:pStyle w:val="19"/>
      </w:pPr>
      <w:r>
        <w:t>(八)、开展未成年人检察工作。</w:t>
      </w:r>
    </w:p>
    <w:p>
      <w:pPr>
        <w:pStyle w:val="19"/>
      </w:pPr>
      <w:r>
        <w:t>(九)、负责检察队伍建设和思想政治工作，对检察人员进行教育培训，负责检察机关党的思想、组织、作风建设。</w:t>
      </w:r>
    </w:p>
    <w:p>
      <w:pPr>
        <w:pStyle w:val="19"/>
      </w:pPr>
      <w:r>
        <w:t>(十)、按照干部管理权限，协同地方党委、上级人民检察院管理本院检察人员，提请本级人民代表大会常务委员会决定任免副检察长、检察委员会委员、检察员。</w:t>
      </w:r>
    </w:p>
    <w:p>
      <w:pPr>
        <w:pStyle w:val="19"/>
      </w:pPr>
      <w:r>
        <w:t>(十一)、规划落实检察机关财务装备工作，开展检察机关信息化建设、检察技术工作。</w:t>
      </w:r>
    </w:p>
    <w:p>
      <w:pPr>
        <w:pStyle w:val="19"/>
      </w:pPr>
      <w:r>
        <w:t>（十二）承办上级检察院交办的其他事项。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秦皇岛北戴河新区人民检察院本级</w:t>
            </w:r>
          </w:p>
        </w:tc>
        <w:tc>
          <w:tcPr>
            <w:tcW w:w="2464" w:type="dxa"/>
            <w:vAlign w:val="center"/>
          </w:tcPr>
          <w:p>
            <w:pPr>
              <w:pStyle w:val="15"/>
            </w:pPr>
            <w:r>
              <w:t>行政</w:t>
            </w:r>
          </w:p>
        </w:tc>
        <w:tc>
          <w:tcPr>
            <w:tcW w:w="2464" w:type="dxa"/>
            <w:vAlign w:val="center"/>
          </w:tcPr>
          <w:p>
            <w:pPr>
              <w:pStyle w:val="15"/>
            </w:pPr>
            <w:r>
              <w:t>正处（县）级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按照预算管理有关规定，目前我区部门预算的编制实行综合预算制度，即全部收入和支出都反映在预算中。</w:t>
      </w:r>
      <w:r>
        <w:rPr>
          <w:rFonts w:hint="default" w:ascii="Times New Roman" w:hAnsi="Times New Roman" w:eastAsia="方正仿宋简体" w:cs="Times New Roman"/>
          <w:sz w:val="32"/>
          <w:szCs w:val="32"/>
          <w:lang w:eastAsia="zh-CN"/>
        </w:rPr>
        <w:t>秦皇岛</w:t>
      </w:r>
      <w:r>
        <w:rPr>
          <w:rFonts w:hint="default" w:ascii="Times New Roman" w:hAnsi="Times New Roman" w:eastAsia="方正仿宋简体" w:cs="Times New Roman"/>
          <w:sz w:val="32"/>
          <w:szCs w:val="32"/>
        </w:rPr>
        <w:t>北戴河新区人民检察院的收支包含在部门预算中。</w:t>
      </w:r>
    </w:p>
    <w:p>
      <w:pPr>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1.收入说明</w:t>
      </w:r>
    </w:p>
    <w:p>
      <w:pPr>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反映本部门当年全部收入，202</w:t>
      </w:r>
      <w:r>
        <w:rPr>
          <w:rFonts w:hint="default"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rPr>
        <w:t>年预算收入</w:t>
      </w:r>
      <w:r>
        <w:rPr>
          <w:rFonts w:hint="default" w:ascii="Times New Roman" w:hAnsi="Times New Roman" w:eastAsia="方正仿宋简体" w:cs="Times New Roman"/>
          <w:b w:val="0"/>
          <w:bCs/>
          <w:sz w:val="32"/>
          <w:szCs w:val="32"/>
          <w:lang w:val="en-US" w:eastAsia="zh-CN"/>
        </w:rPr>
        <w:t>727.09</w:t>
      </w:r>
      <w:r>
        <w:rPr>
          <w:rFonts w:hint="default" w:ascii="Times New Roman" w:hAnsi="Times New Roman" w:eastAsia="方正仿宋简体" w:cs="Times New Roman"/>
          <w:b w:val="0"/>
          <w:bCs/>
          <w:sz w:val="32"/>
          <w:szCs w:val="32"/>
        </w:rPr>
        <w:t>万元，其中：一般公共预算拨款</w:t>
      </w:r>
      <w:r>
        <w:rPr>
          <w:rFonts w:hint="default" w:ascii="Times New Roman" w:hAnsi="Times New Roman" w:eastAsia="方正仿宋简体" w:cs="Times New Roman"/>
          <w:b w:val="0"/>
          <w:bCs/>
          <w:sz w:val="32"/>
          <w:szCs w:val="32"/>
          <w:lang w:val="en-US" w:eastAsia="zh-CN"/>
        </w:rPr>
        <w:t>727.09</w:t>
      </w:r>
      <w:r>
        <w:rPr>
          <w:rFonts w:hint="default" w:ascii="Times New Roman" w:hAnsi="Times New Roman" w:eastAsia="方正仿宋简体" w:cs="Times New Roman"/>
          <w:b w:val="0"/>
          <w:bCs/>
          <w:sz w:val="32"/>
          <w:szCs w:val="32"/>
        </w:rPr>
        <w:t>万元（非限额补助0万元，提前通知转移支付0万元）；基金预算拨款0万元。</w:t>
      </w:r>
    </w:p>
    <w:p>
      <w:pPr>
        <w:ind w:left="64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2.支出说明</w:t>
      </w:r>
    </w:p>
    <w:p>
      <w:pPr>
        <w:ind w:firstLine="480" w:firstLineChars="15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部门预算收支总表支出栏、基本支出表、项目支出表按经济分类和支出功能分类科目编制，反映部门预算中支出预算的总体情况。202</w:t>
      </w:r>
      <w:r>
        <w:rPr>
          <w:rFonts w:hint="default"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rPr>
        <w:t>年部门支出预算为</w:t>
      </w:r>
      <w:r>
        <w:rPr>
          <w:rFonts w:hint="default" w:ascii="Times New Roman" w:hAnsi="Times New Roman" w:eastAsia="方正仿宋简体" w:cs="Times New Roman"/>
          <w:b w:val="0"/>
          <w:bCs/>
          <w:sz w:val="32"/>
          <w:szCs w:val="32"/>
          <w:lang w:val="en-US" w:eastAsia="zh-CN"/>
        </w:rPr>
        <w:t>727.09</w:t>
      </w:r>
      <w:r>
        <w:rPr>
          <w:rFonts w:hint="default" w:ascii="Times New Roman" w:hAnsi="Times New Roman" w:eastAsia="方正仿宋简体" w:cs="Times New Roman"/>
          <w:b w:val="0"/>
          <w:bCs/>
          <w:sz w:val="32"/>
          <w:szCs w:val="32"/>
        </w:rPr>
        <w:t>万元，其中基本支出</w:t>
      </w:r>
      <w:r>
        <w:rPr>
          <w:rFonts w:hint="default" w:ascii="Times New Roman" w:hAnsi="Times New Roman" w:eastAsia="方正仿宋简体" w:cs="Times New Roman"/>
          <w:b w:val="0"/>
          <w:bCs/>
          <w:sz w:val="32"/>
          <w:szCs w:val="32"/>
          <w:lang w:val="en-US" w:eastAsia="zh-CN"/>
        </w:rPr>
        <w:t>592.39</w:t>
      </w:r>
      <w:r>
        <w:rPr>
          <w:rFonts w:hint="default" w:ascii="Times New Roman" w:hAnsi="Times New Roman" w:eastAsia="方正仿宋简体" w:cs="Times New Roman"/>
          <w:b w:val="0"/>
          <w:bCs/>
          <w:sz w:val="32"/>
          <w:szCs w:val="32"/>
        </w:rPr>
        <w:t>万元，包括人员经费</w:t>
      </w:r>
      <w:r>
        <w:rPr>
          <w:rFonts w:hint="default" w:ascii="Times New Roman" w:hAnsi="Times New Roman" w:eastAsia="方正仿宋简体" w:cs="Times New Roman"/>
          <w:b w:val="0"/>
          <w:bCs/>
          <w:sz w:val="32"/>
          <w:szCs w:val="32"/>
          <w:lang w:val="en-US" w:eastAsia="zh-CN"/>
        </w:rPr>
        <w:t>525.45</w:t>
      </w:r>
      <w:r>
        <w:rPr>
          <w:rFonts w:hint="default" w:ascii="Times New Roman" w:hAnsi="Times New Roman" w:eastAsia="方正仿宋简体" w:cs="Times New Roman"/>
          <w:b w:val="0"/>
          <w:bCs/>
          <w:sz w:val="32"/>
          <w:szCs w:val="32"/>
        </w:rPr>
        <w:t>万元和日常公用经费</w:t>
      </w:r>
      <w:r>
        <w:rPr>
          <w:rFonts w:hint="default" w:ascii="Times New Roman" w:hAnsi="Times New Roman" w:eastAsia="方正仿宋简体" w:cs="Times New Roman"/>
          <w:b w:val="0"/>
          <w:bCs/>
          <w:sz w:val="32"/>
          <w:szCs w:val="32"/>
          <w:lang w:val="en-US" w:eastAsia="zh-CN"/>
        </w:rPr>
        <w:t>66.93</w:t>
      </w:r>
      <w:r>
        <w:rPr>
          <w:rFonts w:hint="default" w:ascii="Times New Roman" w:hAnsi="Times New Roman" w:eastAsia="方正仿宋简体" w:cs="Times New Roman"/>
          <w:b w:val="0"/>
          <w:bCs/>
          <w:sz w:val="32"/>
          <w:szCs w:val="32"/>
        </w:rPr>
        <w:t>万元；项目支出1</w:t>
      </w:r>
      <w:r>
        <w:rPr>
          <w:rFonts w:hint="default" w:ascii="Times New Roman" w:hAnsi="Times New Roman" w:eastAsia="方正仿宋简体" w:cs="Times New Roman"/>
          <w:b w:val="0"/>
          <w:bCs/>
          <w:sz w:val="32"/>
          <w:szCs w:val="32"/>
          <w:lang w:val="en-US" w:eastAsia="zh-CN"/>
        </w:rPr>
        <w:t>34.7</w:t>
      </w:r>
      <w:r>
        <w:rPr>
          <w:rFonts w:hint="default" w:ascii="Times New Roman" w:hAnsi="Times New Roman" w:eastAsia="方正仿宋简体" w:cs="Times New Roman"/>
          <w:b w:val="0"/>
          <w:bCs/>
          <w:sz w:val="32"/>
          <w:szCs w:val="32"/>
        </w:rPr>
        <w:t>万元，全部为本级支出</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主要为办案业务强检经费</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检察专网密码设备购置及运行维护费</w:t>
      </w:r>
      <w:r>
        <w:rPr>
          <w:rFonts w:hint="eastAsia" w:ascii="Times New Roman" w:hAnsi="Times New Roman" w:eastAsia="方正仿宋简体" w:cs="Times New Roman"/>
          <w:b w:val="0"/>
          <w:bCs/>
          <w:sz w:val="32"/>
          <w:szCs w:val="32"/>
          <w:lang w:val="en-US" w:eastAsia="zh-CN"/>
        </w:rPr>
        <w:t>及办公用房租赁费</w:t>
      </w:r>
      <w:r>
        <w:rPr>
          <w:rFonts w:hint="default" w:ascii="Times New Roman" w:hAnsi="Times New Roman" w:eastAsia="方正仿宋简体" w:cs="Times New Roman"/>
          <w:b w:val="0"/>
          <w:bCs/>
          <w:sz w:val="32"/>
          <w:szCs w:val="32"/>
        </w:rPr>
        <w:t>。</w:t>
      </w:r>
    </w:p>
    <w:p>
      <w:pPr>
        <w:ind w:left="64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3.比上年增减情况</w:t>
      </w:r>
    </w:p>
    <w:p>
      <w:pPr>
        <w:ind w:firstLine="640" w:firstLineChars="200"/>
        <w:rPr>
          <w:rFonts w:hint="default" w:ascii="Times New Roman" w:hAnsi="Times New Roman" w:cs="Times New Roman"/>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年部门预算较20</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lang w:val="en-US" w:eastAsia="zh-CN"/>
        </w:rPr>
        <w:t>11.4</w:t>
      </w:r>
      <w:r>
        <w:rPr>
          <w:rFonts w:hint="default" w:ascii="Times New Roman" w:hAnsi="Times New Roman" w:eastAsia="方正仿宋简体" w:cs="Times New Roman"/>
          <w:sz w:val="32"/>
          <w:szCs w:val="32"/>
        </w:rPr>
        <w:t>万元，其中：基本支出</w:t>
      </w:r>
      <w:r>
        <w:rPr>
          <w:rFonts w:hint="default" w:ascii="Times New Roman" w:hAnsi="Times New Roman" w:eastAsia="方正仿宋简体" w:cs="Times New Roman"/>
          <w:sz w:val="32"/>
          <w:szCs w:val="32"/>
          <w:lang w:eastAsia="zh-CN"/>
        </w:rPr>
        <w:t>减少</w:t>
      </w:r>
      <w:r>
        <w:rPr>
          <w:rFonts w:hint="default" w:ascii="Times New Roman" w:hAnsi="Times New Roman" w:eastAsia="方正仿宋简体" w:cs="Times New Roman"/>
          <w:sz w:val="32"/>
          <w:szCs w:val="32"/>
          <w:lang w:val="en-US" w:eastAsia="zh-CN"/>
        </w:rPr>
        <w:t>4.4</w:t>
      </w:r>
      <w:r>
        <w:rPr>
          <w:rFonts w:hint="default" w:ascii="Times New Roman" w:hAnsi="Times New Roman" w:eastAsia="方正仿宋简体" w:cs="Times New Roman"/>
          <w:sz w:val="32"/>
          <w:szCs w:val="32"/>
        </w:rPr>
        <w:t>万元，主要是</w:t>
      </w:r>
      <w:r>
        <w:rPr>
          <w:rFonts w:hint="default" w:ascii="Times New Roman" w:hAnsi="Times New Roman" w:eastAsia="方正仿宋简体" w:cs="Times New Roman"/>
          <w:sz w:val="32"/>
          <w:szCs w:val="32"/>
          <w:lang w:eastAsia="zh-CN"/>
        </w:rPr>
        <w:t>减少人员经费及日常公用经费</w:t>
      </w:r>
      <w:r>
        <w:rPr>
          <w:rFonts w:hint="default" w:ascii="Times New Roman" w:hAnsi="Times New Roman" w:eastAsia="方正仿宋简体" w:cs="Times New Roman"/>
          <w:sz w:val="32"/>
          <w:szCs w:val="32"/>
        </w:rPr>
        <w:t>；项目支出</w:t>
      </w:r>
      <w:r>
        <w:rPr>
          <w:rFonts w:hint="default"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lang w:val="en-US" w:eastAsia="zh-CN"/>
        </w:rPr>
        <w:t>15.8万元</w:t>
      </w:r>
      <w:r>
        <w:rPr>
          <w:rFonts w:hint="default" w:ascii="Times New Roman" w:hAnsi="Times New Roman" w:eastAsia="方正仿宋简体" w:cs="Times New Roman"/>
          <w:sz w:val="32"/>
          <w:szCs w:val="32"/>
        </w:rPr>
        <w:t>。</w:t>
      </w:r>
    </w:p>
    <w:p>
      <w:pPr>
        <w:spacing w:before="10" w:after="10" w:line="360" w:lineRule="auto"/>
        <w:ind w:firstLine="640"/>
        <w:jc w:val="left"/>
        <w:outlineLvl w:val="2"/>
        <w:rPr>
          <w:rFonts w:hint="default" w:ascii="Times New Roman" w:hAnsi="Times New Roman" w:cs="Times New Roman"/>
        </w:rPr>
      </w:pPr>
      <w:bookmarkStart w:id="11" w:name="_Toc_3_3_0000000012"/>
      <w:r>
        <w:rPr>
          <w:rFonts w:hint="default" w:ascii="Times New Roman" w:hAnsi="Times New Roman" w:eastAsia="黑体" w:cs="Times New Roman"/>
          <w:color w:val="000000"/>
          <w:sz w:val="32"/>
        </w:rPr>
        <w:t>三、机关运行经费安排情况</w:t>
      </w:r>
      <w:bookmarkEnd w:id="11"/>
    </w:p>
    <w:p>
      <w:pPr>
        <w:ind w:firstLine="640"/>
        <w:rPr>
          <w:rFonts w:hint="default" w:ascii="Times New Roman" w:hAnsi="Times New Roman" w:cs="Times New Roman"/>
        </w:rPr>
      </w:pPr>
      <w:r>
        <w:rPr>
          <w:rFonts w:hint="default" w:ascii="Times New Roman" w:hAnsi="Times New Roman" w:eastAsia="方正仿宋简体" w:cs="Times New Roman"/>
          <w:sz w:val="32"/>
          <w:szCs w:val="32"/>
        </w:rPr>
        <w:t>机关运行经费共计安排</w:t>
      </w:r>
      <w:r>
        <w:rPr>
          <w:rFonts w:hint="default" w:ascii="Times New Roman" w:hAnsi="Times New Roman" w:eastAsia="方正仿宋简体" w:cs="Times New Roman"/>
          <w:sz w:val="32"/>
          <w:szCs w:val="32"/>
          <w:lang w:val="en-US" w:eastAsia="zh-CN"/>
        </w:rPr>
        <w:t>66.93</w:t>
      </w:r>
      <w:r>
        <w:rPr>
          <w:rFonts w:hint="default" w:ascii="Times New Roman" w:hAnsi="Times New Roman" w:eastAsia="方正仿宋简体"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spacing w:before="10" w:after="10" w:line="360" w:lineRule="auto"/>
        <w:ind w:firstLine="640"/>
        <w:jc w:val="left"/>
        <w:outlineLvl w:val="2"/>
        <w:rPr>
          <w:rFonts w:hint="default" w:ascii="Times New Roman" w:hAnsi="Times New Roman" w:cs="Times New Roman"/>
        </w:rPr>
      </w:pPr>
      <w:bookmarkStart w:id="12" w:name="_Toc_3_3_0000000013"/>
      <w:r>
        <w:rPr>
          <w:rFonts w:hint="default" w:ascii="Times New Roman" w:hAnsi="Times New Roman" w:eastAsia="黑体" w:cs="Times New Roman"/>
          <w:color w:val="000000"/>
          <w:sz w:val="32"/>
        </w:rPr>
        <w:t>四、财政拨款“三公”经费预算情况及增减变化原因</w:t>
      </w:r>
      <w:bookmarkEnd w:id="12"/>
    </w:p>
    <w:p>
      <w:pPr>
        <w:ind w:firstLine="640"/>
        <w:rPr>
          <w:rFonts w:hint="default" w:ascii="Times New Roman" w:hAnsi="Times New Roman" w:cs="Times New Roman"/>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年，财政拨款“三公”经费预算安排</w:t>
      </w:r>
      <w:r>
        <w:rPr>
          <w:rFonts w:hint="default" w:ascii="Times New Roman" w:hAnsi="Times New Roman" w:eastAsia="方正仿宋简体" w:cs="Times New Roman"/>
          <w:sz w:val="32"/>
          <w:szCs w:val="32"/>
          <w:lang w:val="en-US" w:eastAsia="zh-CN"/>
        </w:rPr>
        <w:t>17.13</w:t>
      </w:r>
      <w:r>
        <w:rPr>
          <w:rFonts w:hint="default" w:ascii="Times New Roman" w:hAnsi="Times New Roman" w:eastAsia="方正仿宋简体" w:cs="Times New Roman"/>
          <w:sz w:val="32"/>
          <w:szCs w:val="32"/>
        </w:rPr>
        <w:t>万元，其中：因公出国（境）费0万元；公务用车购置及运维费</w:t>
      </w:r>
      <w:r>
        <w:rPr>
          <w:rFonts w:hint="default" w:ascii="Times New Roman" w:hAnsi="Times New Roman" w:eastAsia="方正仿宋简体" w:cs="Times New Roman"/>
          <w:sz w:val="32"/>
          <w:szCs w:val="32"/>
          <w:lang w:val="en-US" w:eastAsia="zh-CN"/>
        </w:rPr>
        <w:t>16.1</w:t>
      </w:r>
      <w:r>
        <w:rPr>
          <w:rFonts w:hint="default" w:ascii="Times New Roman" w:hAnsi="Times New Roman" w:eastAsia="方正仿宋简体" w:cs="Times New Roman"/>
          <w:sz w:val="32"/>
          <w:szCs w:val="32"/>
        </w:rPr>
        <w:t>万元（其中：公务用车运行费</w:t>
      </w:r>
      <w:r>
        <w:rPr>
          <w:rFonts w:hint="default" w:ascii="Times New Roman" w:hAnsi="Times New Roman" w:eastAsia="方正仿宋简体" w:cs="Times New Roman"/>
          <w:sz w:val="32"/>
          <w:szCs w:val="32"/>
          <w:lang w:val="en-US" w:eastAsia="zh-CN"/>
        </w:rPr>
        <w:t>16.1</w:t>
      </w:r>
      <w:r>
        <w:rPr>
          <w:rFonts w:hint="default" w:ascii="Times New Roman" w:hAnsi="Times New Roman" w:eastAsia="方正仿宋简体" w:cs="Times New Roman"/>
          <w:sz w:val="32"/>
          <w:szCs w:val="32"/>
        </w:rPr>
        <w:t>万元)；公务接待费1.</w:t>
      </w:r>
      <w:r>
        <w:rPr>
          <w:rFonts w:hint="default" w:ascii="Times New Roman" w:hAnsi="Times New Roman" w:eastAsia="方正仿宋简体" w:cs="Times New Roman"/>
          <w:sz w:val="32"/>
          <w:szCs w:val="32"/>
          <w:lang w:val="en-US" w:eastAsia="zh-CN"/>
        </w:rPr>
        <w:t>03</w:t>
      </w:r>
      <w:r>
        <w:rPr>
          <w:rFonts w:hint="default" w:ascii="Times New Roman" w:hAnsi="Times New Roman" w:eastAsia="方正仿宋简体" w:cs="Times New Roman"/>
          <w:sz w:val="32"/>
          <w:szCs w:val="32"/>
        </w:rPr>
        <w:t>万元。“三公”经费较上年</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11.57%</w:t>
      </w:r>
      <w:r>
        <w:rPr>
          <w:rFonts w:hint="default" w:ascii="Times New Roman" w:hAnsi="Times New Roman" w:eastAsia="方正仿宋简体" w:cs="Times New Roman"/>
          <w:sz w:val="32"/>
          <w:szCs w:val="32"/>
        </w:rPr>
        <w:t>，主要原因是今年</w:t>
      </w:r>
      <w:r>
        <w:rPr>
          <w:rFonts w:hint="default" w:ascii="Times New Roman" w:hAnsi="Times New Roman" w:eastAsia="方正仿宋简体" w:cs="Times New Roman"/>
          <w:sz w:val="32"/>
          <w:szCs w:val="32"/>
          <w:lang w:eastAsia="zh-CN"/>
        </w:rPr>
        <w:t>压减公务接待费</w:t>
      </w:r>
      <w:r>
        <w:rPr>
          <w:rFonts w:hint="default" w:ascii="Times New Roman" w:hAnsi="Times New Roman" w:eastAsia="方正仿宋简体" w:cs="Times New Roman"/>
          <w:sz w:val="32"/>
          <w:szCs w:val="32"/>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pStyle w:val="23"/>
      </w:pPr>
      <w:r>
        <w:t>（一）总体绩效目标</w:t>
      </w:r>
    </w:p>
    <w:p>
      <w:pPr>
        <w:pStyle w:val="23"/>
      </w:pPr>
      <w:r>
        <w:t>检察机关将以习近平新时代中国特色社会主义思想为统领，深入学习贯彻党的十九大精神，认真落实中央、全省、全市政法工作会议和全国、全省检察长会议精神，坚持党对检察工作的绝对领导，坚持以人民为中心的发展思想，深化“五强一创”工作思路，全力聚焦法律监督主责主业，深入推进司法体制改革，大力加强平安秦皇岛、法治秦皇岛、过硬队伍、智慧检务建设，努力打造检察工作亮点品牌，以实际行动履行“四项使命”、创造“四种环境”，为新时代加快建设沿海强市、美丽港城和国际化城市作出新的更大贡献。</w:t>
      </w:r>
    </w:p>
    <w:p>
      <w:pPr>
        <w:pStyle w:val="24"/>
        <w:ind w:left="0" w:leftChars="0" w:firstLine="560" w:firstLineChars="200"/>
      </w:pPr>
      <w:r>
        <w:t>一、积极参与国家治理，为经济社会发展大局服务</w:t>
      </w:r>
    </w:p>
    <w:p>
      <w:pPr>
        <w:pStyle w:val="24"/>
      </w:pPr>
      <w:r>
        <w:t>1、积极服务“六稳” “六保”,助力企业复工复产。持续推进“一号检察建议”落实。开展行政检察工作，加强个人信息保护。认真贯彻新制定的政法工作条例和修改修订的人民检察院组织法、刑事诉讼法、坚持依法正确履行法律监督职责，进一步找准服务经济社会发展的结合点、着力点，为建设沿海强市、美丽港城和国际化城市提供有力的司法保障。</w:t>
      </w:r>
    </w:p>
    <w:p>
      <w:pPr>
        <w:pStyle w:val="24"/>
      </w:pPr>
      <w:r>
        <w:t>2.持续推进扫黑除恶专项斗争。积极推进扫黑除恶专项斗争，加强组织领导，集中主要力量投身扫黑除恶专项斗争中，对涉黑涉恶案件坚持做到快捕快诉、“一案三查”、“破网打伞”、“打财断血”，按照“六清”行动目标要求，坚持斗争决心不动摇、深挖彻查不松劲、依法严惩不含糊，深入清剿黑恶势力，让人民群众带着满满的安全感迈入全面小康。</w:t>
      </w:r>
    </w:p>
    <w:p>
      <w:pPr>
        <w:pStyle w:val="24"/>
      </w:pPr>
      <w:r>
        <w:t>3.全面推进公益诉讼工作。深入落实省两办《关于加强检察机关提起公益诉讼工作的通知》要求，准确把握法定案件范围，重点办理生态环境和食品药品安全领域案件，有效维护国家利益、社会公共利益和人民根本利益，严厉打击人民群众反映强烈的生产、销售假冒伪劣食品药品犯罪，切实保障食品药品安全，维护人民群众的健康权益。继续开展破坏环境资源犯罪专项立案监督活动，落实与环保、公安、法院等单位信息交流、线索移送、案件通报等工作机制，贯彻恢复性司法理念，对破坏环境资源的刑事案件提起刑事附带民事诉讼，落实损害赔偿、补偿和修复责任，促进生态环境综合治理。要把公益诉讼工作作为“一把手”工程重点抓、亲自抓、专门抓，打破部门界限，抽调精干力量组成公益诉讼办案团队，在线索摸排、证据收集、案件审查、舆论宣传引导等方面密切协作。</w:t>
      </w:r>
    </w:p>
    <w:p>
      <w:pPr>
        <w:pStyle w:val="24"/>
      </w:pPr>
      <w:r>
        <w:t>4.积极参与社会治理体系建设。全面落实中央《关于完善矛盾纠纷多元化解机制的意见》和省委政法委《运用法治思维和法治方式化解社会矛盾纠纷的意见》，积极推广“枫桥经验”，积极参与社会矛盾排查化解专项行动，正确适用刑事和解、简易程序、量刑建议以及不批捕、不起诉等程序规定，落实谁执法谁普法的责任，加强释法说理，最大限度减少社会对抗。切实深化检察环节综合治理措施，参与立体化社会治安防控体系建设，促进社会治理法治化。加强未成年人检察工作，完善“捕、诉、监、防”一体化机制，积极参与中小学、幼儿园安全风险防控体系建设，突出惩治侵害农村留守儿童权益犯罪、虐待幼儿犯罪，深化“法治进校园”巡讲等活动。</w:t>
      </w:r>
    </w:p>
    <w:p>
      <w:pPr>
        <w:pStyle w:val="24"/>
      </w:pPr>
      <w:r>
        <w:t>绩效目标：保护公民、法人和其他单位的合法权益，促进司法公正，维护社会稳定。</w:t>
      </w:r>
    </w:p>
    <w:p>
      <w:pPr>
        <w:pStyle w:val="24"/>
      </w:pPr>
      <w:r>
        <w:t>绩效指标:本年度检察院案件受理数量≥150件；平均案件办理时间&lt;= 30.00天 </w:t>
      </w:r>
    </w:p>
    <w:p>
      <w:pPr>
        <w:pStyle w:val="24"/>
      </w:pPr>
      <w:r>
        <w:t>二、恪守宪法定位，深耕检察监督主责主业</w:t>
      </w:r>
    </w:p>
    <w:p>
      <w:pPr>
        <w:pStyle w:val="24"/>
      </w:pPr>
      <w:r>
        <w:t>检察机关是国家法律监督机关，修改后的刑事诉讼法、民事诉讼法、行政诉讼法赋予检察机关一系列新的监督职责，检察机关要聚焦主责主业，综合运用多种监督手段拓展法律监督工作的广度和深度，坚持敢于监督、善于监督、依法监督、规范监督，不断改进监督方式，加大监督力度，全面提升法律监督水平。</w:t>
      </w:r>
    </w:p>
    <w:p>
      <w:pPr>
        <w:pStyle w:val="24"/>
      </w:pPr>
      <w:r>
        <w:t>加强刑事诉讼监督。立案监督要重点监督纠正有案不立、越权办案、插手经济纠纷等问题。侦查活动监督，要重点监督对刑讯逼供、暴力取证，违规扣押涉案财物，随意变更刑事强制措施等问题。刑事审判活动监督，要重点监督纠正庭审权益保障不到位、证据采信不规范、裁判结果不公正等问题。侦监部门、公诉部门要严把案件质量关，案管部门要加强督导，及时发现问题，及时提出纠正意见。</w:t>
      </w:r>
    </w:p>
    <w:p>
      <w:pPr>
        <w:pStyle w:val="24"/>
      </w:pPr>
      <w:r>
        <w:t>2.加强民事行政检察监督。重点加强对民事诉讼中违法调解、虚假诉讼、审判人员违法行为和违法执行的监督。统筹推进生效裁判、审判程序和执行活动监督，综合运用抗诉、再审检察建议、检察建议等多种监督方式，切实维护人民群众合法权益。着力强化行政检察工作，进一步发挥“两法衔接”机制作用，加大对行政处罚案件的网上巡察和实地报备检查力度，着力解决有案不移、有案难移、以罚代刑、降格处理等问题，促进行政执法单位依法廉洁高效行政。</w:t>
      </w:r>
    </w:p>
    <w:p>
      <w:pPr>
        <w:pStyle w:val="24"/>
      </w:pPr>
      <w:r>
        <w:t>加强刑事执行监督。重点监督纠正超期羁押、违法“减假暂”、审前未羁押罪犯判实刑未交付执行等问题。严格刑罚变更执行同步监督，持续强化对职务犯罪、金融犯罪、涉黑犯罪“三类罪犯”的监督。深化集中清理判处实刑罪犯未交付执行刑罚专项活动，认真履行交付执行常态化监督职责。强化对刑事强制措施的监督，加强羁押必要性审查，提升案件质量和社会效果。加强提审中讯问活动监督，防范和依法处置监管事故，维护在押人员合法权益。强化财产刑执行活动的监督，实现从摸清底数为向主动监督办案的转变。强化社区矫正法律监督，完善社区服刑罪犯脱管漏管的发现、纠正和责任追究机制。加强强制医疗执行监督，对法院、公安的交付执行活动进行监督，对强制医疗机构的收治、医疗、监管等活动是否合法进行监督。</w:t>
      </w:r>
    </w:p>
    <w:p>
      <w:pPr>
        <w:pStyle w:val="24"/>
      </w:pPr>
      <w:r>
        <w:t>绩效目标：保护公民、法人和其他单位的合法权益，促进司法公正，维护社会稳定。</w:t>
      </w:r>
    </w:p>
    <w:p>
      <w:pPr>
        <w:pStyle w:val="24"/>
      </w:pPr>
      <w:r>
        <w:t>绩效指标：平均办理案件成本&lt;=2400.00元/件</w:t>
      </w:r>
    </w:p>
    <w:p>
      <w:pPr>
        <w:pStyle w:val="24"/>
      </w:pPr>
      <w:r>
        <w:t>三、深化司法体制改革，全面推动检察改革任务落实落地</w:t>
      </w:r>
    </w:p>
    <w:p>
      <w:pPr>
        <w:pStyle w:val="24"/>
      </w:pPr>
      <w:r>
        <w:t>当前，司法责任制改革面上的目标任务已基本完成，改革态势健康稳健，改革成效整体向好，但是改革不深入、不充分、不平衡、不精细等问题依然存在。习近平总书记在十九届二中全会上强调，各级审判机关、检察机关要深化司法体制综合配套改革，坚持完善中国特色社会主义司法制度，保证依法独立公正行使审判权、检察权，不断提高司法公信力。</w:t>
      </w:r>
    </w:p>
    <w:p>
      <w:pPr>
        <w:pStyle w:val="24"/>
      </w:pPr>
      <w:r>
        <w:t>坚持把全面落实司法责任制抓紧抓实。深入落实中办《关于加强法官检察官正规化专业化职业化建设全面落实司法责任制的意见》，完善员额退出、增补机制。所有入额检察官必须配置在业务部门并从事司法办案工作，领导干部要带头办理重大疑难复杂案件，对入额后不办案或虽办案但达不到办案数量要求的，要坚决退出员额。强化司法绩效考核。树立正确导向，最大限度激励入额人员多办案、办好案。积极争取有关部门支持，抓紧落实按期晋升与择优选任相结合的晋升机制。加快推进内设机构改革和办案组织建设。根据业务特点和案件复杂程度，构建分工协作、优势互补的新型办案组织。加强监管机制建设。加强检察官联席会议制度，改革检委会制度，完善案件质量评查、网上办案流程监管、社会监督等机制</w:t>
      </w:r>
    </w:p>
    <w:p>
      <w:pPr>
        <w:pStyle w:val="24"/>
      </w:pPr>
      <w:r>
        <w:t>2 .坚持深化诉讼制度改革。认真落实上级关于推进刑事诉讼制度改革的指导意见，统一司法标准，优化职权配置，完善刑事案件分流机制，改进司法方式，建立刑事诉讼新格局。健全以证据为核心的刑事指控体系，用审判定罪量刑的标准规范约束审查起诉工作，构建新型检警、检法、检律关系。推动落实证人、鉴定人、侦查人员出庭作证制度。</w:t>
      </w:r>
    </w:p>
    <w:p>
      <w:pPr>
        <w:pStyle w:val="24"/>
      </w:pPr>
      <w:r>
        <w:t>坚持配合深化国家监察体制改革。目前，全市两级院转隶工作基本完成，要进一步配合做好相关工作，及时做好自侦部门未转隶人员的转岗定岗等工作。《河北省检察机关与监察委员会办理职务犯罪案件衔接办法（试行）》已印发执行，对监察委移送案件、检察机关受理案件、留置和刑事强制措施衔接、退回补充调查和自行补充侦查等都作了明确规定。在执行中，要注意发现搜集遇到的问题，及时研究上报，推动与监察委不断完善相关机制，形成惩防腐败的合力。</w:t>
      </w:r>
    </w:p>
    <w:p>
      <w:pPr>
        <w:pStyle w:val="24"/>
      </w:pPr>
      <w:r>
        <w:t>绩效目标：规范司法行为，有效实施民事案件审判监督，维护司法公正金额司法权威，保障国家法律的统一正确实施。</w:t>
      </w:r>
    </w:p>
    <w:p>
      <w:pPr>
        <w:pStyle w:val="24"/>
      </w:pPr>
      <w:r>
        <w:t>四、认真做好自身党风廉政建设和反腐败工作</w:t>
      </w:r>
    </w:p>
    <w:p>
      <w:pPr>
        <w:pStyle w:val="24"/>
      </w:pPr>
      <w:r>
        <w:t>推进全面从严治党、抓好党风廉政建设和反腐败工作，是党组的政治责任。各级院党组要切实加强自身建设，全面履行管党治党主体责任。党员领导干部要始终牢记自己的第一身份是共产党员，第一职责是为党工作，特别是作为“一把手”的党组书记、检察长，更要敢于担当、敢抓敢管，把全面从严治党深入融入各项检察工作。两级院领导班子成员和各部门负责同志要认真履行“一岗双责”。检察机关各内部监督部门要协助院党组抓好主体责任的落实。</w:t>
      </w:r>
    </w:p>
    <w:p>
      <w:pPr>
        <w:pStyle w:val="24"/>
      </w:pPr>
      <w:r>
        <w:t>1.持续加强党风廉政建设。要认真贯彻习近平总书记关于作风建设永远在路上的重要批示精神，加强警示教育，以反面典型为借鉴，从严要求，从严管理，切实树牢“严管是爱，宽松是害”的观念理念。严格执行中央八项规定精神，严格遵守《准则》《条例》，盯紧“四风”问题的新动向新表现，扎实开展纠正“四风”和作风纪律专项整治。根据省委统一部署，继续深入开展“一问责八清理”专项行动，建立“问责+清理”长效机制。加强纪律规矩经常性教育，开展纪律作风状况经常性分析研判，建立群众反映问题及时核查机制，用好监督执纪“四种形态”，抓早抓小，防微杜渐。</w:t>
      </w:r>
    </w:p>
    <w:p>
      <w:pPr>
        <w:pStyle w:val="24"/>
      </w:pPr>
      <w:r>
        <w:t>2.巩固巡视整改成效。要切实抓好整改措施和出台的考勤管理、党支部规范化建设等系列制度的落实，政治部、纪检组和机关党委要加强制度执行情况监督检查，广泛采取专项检查、定期检查、明察暗访等方式，强力推动党建和党风廉政建设任务落实。还要适时组织开展“回头看”，坚决防止反弹回潮；对分步推进和长期坚持的整改任务，加强跟踪督办，确保时间进度、整改质量、工作力度始终如一；要深入推进检务督察、系统内巡察，强化执纪问责。</w:t>
      </w:r>
    </w:p>
    <w:p>
      <w:pPr>
        <w:pStyle w:val="24"/>
      </w:pPr>
      <w:r>
        <w:t>绩效目标：规范司法行为，有效实施民事案件审判监督，维护司法公正金额司法权威，保障国家法律的统一正确实施。</w:t>
      </w:r>
    </w:p>
    <w:p>
      <w:pPr>
        <w:pStyle w:val="24"/>
      </w:pPr>
      <w:r>
        <w:t>绩效指标：本年度案件流转率100%。推进司法体制改革,强化自身建设</w:t>
      </w:r>
    </w:p>
    <w:p>
      <w:p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val="en-US" w:eastAsia="zh-CN"/>
        </w:rPr>
        <w:t xml:space="preserve">第二部分 </w:t>
      </w: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jc w:val="left"/>
        <w:outlineLvl w:val="9"/>
      </w:pPr>
      <w:r>
        <w:rPr>
          <w:rFonts w:ascii="方正仿宋_GBK" w:hAnsi="方正仿宋_GBK" w:eastAsia="方正仿宋_GBK" w:cs="方正仿宋_GBK"/>
          <w:b/>
          <w:color w:val="000000"/>
          <w:sz w:val="28"/>
        </w:rPr>
        <w:t>1、办案业务强检经费绩效目标表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法严肃打击侵犯公民财产权、人身权、扰乱社会秩序等各类刑事犯罪；增强人民群众的获得感幸福感安全感；深入推进扫黑除恶专项斗争工作，挂牌督办重大涉黑恶案件，做好起诉案件积压量大地区的点对点指导工作，坚决监督纠正片面追求打击数量而下指标等错误做法；持续做好认罪认罚从宽工作，不断提升办案质效；以规范化、专业化为导向，加强普通刑事犯罪检察人才队伍和工作机制建设。</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检察院案件受理数量</w:t>
            </w:r>
          </w:p>
        </w:tc>
        <w:tc>
          <w:tcPr>
            <w:tcW w:w="2466" w:type="dxa"/>
            <w:vAlign w:val="center"/>
          </w:tcPr>
          <w:p>
            <w:pPr>
              <w:pStyle w:val="14"/>
            </w:pPr>
            <w:r>
              <w:t>检察院案件受理数量</w:t>
            </w:r>
          </w:p>
        </w:tc>
        <w:tc>
          <w:tcPr>
            <w:tcW w:w="2466" w:type="dxa"/>
            <w:vAlign w:val="center"/>
          </w:tcPr>
          <w:p>
            <w:pPr>
              <w:pStyle w:val="14"/>
            </w:pPr>
            <w:r>
              <w:t>≥150件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案件流转率</w:t>
            </w:r>
          </w:p>
        </w:tc>
        <w:tc>
          <w:tcPr>
            <w:tcW w:w="2466" w:type="dxa"/>
            <w:vAlign w:val="center"/>
          </w:tcPr>
          <w:p>
            <w:pPr>
              <w:pStyle w:val="14"/>
            </w:pPr>
            <w:r>
              <w:t>案件流转率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平均案件办理时间</w:t>
            </w:r>
          </w:p>
        </w:tc>
        <w:tc>
          <w:tcPr>
            <w:tcW w:w="2466" w:type="dxa"/>
            <w:vAlign w:val="center"/>
          </w:tcPr>
          <w:p>
            <w:pPr>
              <w:pStyle w:val="14"/>
            </w:pPr>
            <w:r>
              <w:t>案件高效高质量办理</w:t>
            </w:r>
          </w:p>
        </w:tc>
        <w:tc>
          <w:tcPr>
            <w:tcW w:w="2466" w:type="dxa"/>
            <w:vAlign w:val="center"/>
          </w:tcPr>
          <w:p>
            <w:pPr>
              <w:pStyle w:val="14"/>
            </w:pPr>
            <w:r>
              <w:t>≤30天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平均办理案件成本</w:t>
            </w:r>
          </w:p>
        </w:tc>
        <w:tc>
          <w:tcPr>
            <w:tcW w:w="2466" w:type="dxa"/>
            <w:vAlign w:val="center"/>
          </w:tcPr>
          <w:p>
            <w:pPr>
              <w:pStyle w:val="14"/>
            </w:pPr>
            <w:r>
              <w:t>平均办理案件成本，差旅耗材等</w:t>
            </w:r>
          </w:p>
        </w:tc>
        <w:tc>
          <w:tcPr>
            <w:tcW w:w="2466" w:type="dxa"/>
            <w:vAlign w:val="center"/>
          </w:tcPr>
          <w:p>
            <w:pPr>
              <w:pStyle w:val="14"/>
            </w:pPr>
            <w:r>
              <w:t>≤2400件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推进司法体制改革,强化自身建设</w:t>
            </w:r>
          </w:p>
        </w:tc>
        <w:tc>
          <w:tcPr>
            <w:tcW w:w="2466" w:type="dxa"/>
            <w:vAlign w:val="center"/>
          </w:tcPr>
          <w:p>
            <w:pPr>
              <w:pStyle w:val="14"/>
            </w:pPr>
            <w:r>
              <w:t>推进司法体制改革,强化自身建设</w:t>
            </w:r>
          </w:p>
        </w:tc>
        <w:tc>
          <w:tcPr>
            <w:tcW w:w="2466" w:type="dxa"/>
            <w:vAlign w:val="center"/>
          </w:tcPr>
          <w:p>
            <w:pPr>
              <w:pStyle w:val="14"/>
            </w:pPr>
            <w:r>
              <w:t>推进司法体制改革,强化自身建设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人民满意度</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2、办公用房租赁费绩效目标表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1.发挥检务保障服务职能，为确保各项检察工作顺利开展提供场所。</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房屋租赁面积</w:t>
            </w:r>
          </w:p>
        </w:tc>
        <w:tc>
          <w:tcPr>
            <w:tcW w:w="2466" w:type="dxa"/>
            <w:vAlign w:val="center"/>
          </w:tcPr>
          <w:p>
            <w:pPr>
              <w:pStyle w:val="14"/>
            </w:pPr>
            <w:r>
              <w:t>秦皇岛北戴河新区人民检察院和秦皇岛北戴河新区人民法院租用位于黄金海岸一纬路和二经路交叉口的鑫田园大酒店院内1500平方米的场地（含围墙、门卫房等附属设施）租给</w:t>
            </w:r>
          </w:p>
        </w:tc>
        <w:tc>
          <w:tcPr>
            <w:tcW w:w="2466" w:type="dxa"/>
            <w:vAlign w:val="center"/>
          </w:tcPr>
          <w:p>
            <w:pPr>
              <w:pStyle w:val="14"/>
            </w:pPr>
            <w:r>
              <w:t>≥1500平方米</w:t>
            </w:r>
          </w:p>
        </w:tc>
        <w:tc>
          <w:tcPr>
            <w:tcW w:w="2466" w:type="dxa"/>
            <w:vAlign w:val="center"/>
          </w:tcPr>
          <w:p>
            <w:pPr>
              <w:pStyle w:val="14"/>
            </w:pPr>
            <w: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保障各项检察工作</w:t>
            </w:r>
          </w:p>
        </w:tc>
        <w:tc>
          <w:tcPr>
            <w:tcW w:w="2466" w:type="dxa"/>
            <w:vAlign w:val="center"/>
          </w:tcPr>
          <w:p>
            <w:pPr>
              <w:pStyle w:val="14"/>
            </w:pPr>
            <w:r>
              <w:t>发挥检务保障服务职能，为确保各项检察工作顺利开展提供场所。</w:t>
            </w:r>
          </w:p>
        </w:tc>
        <w:tc>
          <w:tcPr>
            <w:tcW w:w="2466" w:type="dxa"/>
            <w:vAlign w:val="center"/>
          </w:tcPr>
          <w:p>
            <w:pPr>
              <w:pStyle w:val="14"/>
            </w:pPr>
            <w:r>
              <w:t>发挥检务保障服务职能，为各项检察工作开展提供场所。</w:t>
            </w:r>
          </w:p>
        </w:tc>
        <w:tc>
          <w:tcPr>
            <w:tcW w:w="2466" w:type="dxa"/>
            <w:vAlign w:val="center"/>
          </w:tcPr>
          <w:p>
            <w:pPr>
              <w:pStyle w:val="14"/>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租金足额支付率</w:t>
            </w:r>
          </w:p>
        </w:tc>
        <w:tc>
          <w:tcPr>
            <w:tcW w:w="2466" w:type="dxa"/>
            <w:vAlign w:val="center"/>
          </w:tcPr>
          <w:p>
            <w:pPr>
              <w:pStyle w:val="14"/>
            </w:pPr>
            <w:r>
              <w:t>本年度房租租赁费支出完成率</w:t>
            </w:r>
          </w:p>
        </w:tc>
        <w:tc>
          <w:tcPr>
            <w:tcW w:w="2466" w:type="dxa"/>
            <w:vAlign w:val="center"/>
          </w:tcPr>
          <w:p>
            <w:pPr>
              <w:pStyle w:val="14"/>
            </w:pPr>
            <w:r>
              <w:t>≥100%</w:t>
            </w:r>
          </w:p>
        </w:tc>
        <w:tc>
          <w:tcPr>
            <w:tcW w:w="2466" w:type="dxa"/>
            <w:vAlign w:val="center"/>
          </w:tcPr>
          <w:p>
            <w:pPr>
              <w:pStyle w:val="14"/>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租期</w:t>
            </w:r>
          </w:p>
        </w:tc>
        <w:tc>
          <w:tcPr>
            <w:tcW w:w="2466" w:type="dxa"/>
            <w:vAlign w:val="center"/>
          </w:tcPr>
          <w:p>
            <w:pPr>
              <w:pStyle w:val="14"/>
            </w:pPr>
            <w:r>
              <w:t>按照合同2021年度租期时效</w:t>
            </w:r>
          </w:p>
        </w:tc>
        <w:tc>
          <w:tcPr>
            <w:tcW w:w="2466" w:type="dxa"/>
            <w:vAlign w:val="center"/>
          </w:tcPr>
          <w:p>
            <w:pPr>
              <w:pStyle w:val="14"/>
            </w:pPr>
            <w:r>
              <w:t>2021年4月16日到2022年4月15日</w:t>
            </w:r>
          </w:p>
        </w:tc>
        <w:tc>
          <w:tcPr>
            <w:tcW w:w="2466" w:type="dxa"/>
            <w:vAlign w:val="center"/>
          </w:tcPr>
          <w:p>
            <w:pPr>
              <w:pStyle w:val="14"/>
            </w:pPr>
            <w:r>
              <w:t>房租租赁合同等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房屋租赁费</w:t>
            </w:r>
          </w:p>
        </w:tc>
        <w:tc>
          <w:tcPr>
            <w:tcW w:w="2466" w:type="dxa"/>
            <w:vAlign w:val="center"/>
          </w:tcPr>
          <w:p>
            <w:pPr>
              <w:pStyle w:val="14"/>
            </w:pPr>
            <w:r>
              <w:t>房屋租赁费用和场地租赁金额</w:t>
            </w:r>
          </w:p>
        </w:tc>
        <w:tc>
          <w:tcPr>
            <w:tcW w:w="2466" w:type="dxa"/>
            <w:vAlign w:val="center"/>
          </w:tcPr>
          <w:p>
            <w:pPr>
              <w:pStyle w:val="14"/>
            </w:pPr>
            <w:r>
              <w:t>68.5万元</w:t>
            </w:r>
          </w:p>
        </w:tc>
        <w:tc>
          <w:tcPr>
            <w:tcW w:w="2466" w:type="dxa"/>
            <w:vAlign w:val="center"/>
          </w:tcPr>
          <w:p>
            <w:pPr>
              <w:pStyle w:val="14"/>
            </w:pPr>
            <w: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为工作创造了条件和基础</w:t>
            </w:r>
          </w:p>
        </w:tc>
        <w:tc>
          <w:tcPr>
            <w:tcW w:w="2466" w:type="dxa"/>
            <w:vAlign w:val="center"/>
          </w:tcPr>
          <w:p>
            <w:pPr>
              <w:pStyle w:val="14"/>
            </w:pPr>
            <w:r>
              <w:t>符合办公工作条件基本满足服务群众的办公场所</w:t>
            </w:r>
          </w:p>
        </w:tc>
        <w:tc>
          <w:tcPr>
            <w:tcW w:w="2466" w:type="dxa"/>
            <w:vAlign w:val="center"/>
          </w:tcPr>
          <w:p>
            <w:pPr>
              <w:pStyle w:val="14"/>
            </w:pPr>
            <w:r>
              <w:t>为以后工作的发展创造了条件和基础</w:t>
            </w:r>
          </w:p>
        </w:tc>
        <w:tc>
          <w:tcPr>
            <w:tcW w:w="2466" w:type="dxa"/>
            <w:vAlign w:val="center"/>
          </w:tcPr>
          <w:p>
            <w:pPr>
              <w:pStyle w:val="14"/>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保障办公人数</w:t>
            </w:r>
          </w:p>
        </w:tc>
        <w:tc>
          <w:tcPr>
            <w:tcW w:w="2466" w:type="dxa"/>
            <w:vAlign w:val="center"/>
          </w:tcPr>
          <w:p>
            <w:pPr>
              <w:pStyle w:val="14"/>
            </w:pPr>
            <w:r>
              <w:t>租赁办公用房保障办公需要人数</w:t>
            </w:r>
          </w:p>
        </w:tc>
        <w:tc>
          <w:tcPr>
            <w:tcW w:w="2466" w:type="dxa"/>
            <w:vAlign w:val="center"/>
          </w:tcPr>
          <w:p>
            <w:pPr>
              <w:pStyle w:val="14"/>
            </w:pPr>
            <w:r>
              <w:t>≥41人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办公人员满意度</w:t>
            </w:r>
          </w:p>
        </w:tc>
        <w:tc>
          <w:tcPr>
            <w:tcW w:w="2466" w:type="dxa"/>
            <w:vAlign w:val="center"/>
          </w:tcPr>
          <w:p>
            <w:pPr>
              <w:pStyle w:val="14"/>
            </w:pPr>
            <w:r>
              <w:t>房屋租赁使工作人员满意度达标</w:t>
            </w: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3、检察专网密码设备购置及运行维护费绩效目标表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1.用于购买检察专网密码设备保证其正常运转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专业设备购置数量（台/件/辆/</w:t>
            </w:r>
          </w:p>
        </w:tc>
        <w:tc>
          <w:tcPr>
            <w:tcW w:w="2466" w:type="dxa"/>
            <w:vAlign w:val="center"/>
          </w:tcPr>
          <w:p>
            <w:pPr>
              <w:pStyle w:val="14"/>
            </w:pPr>
            <w:r>
              <w:t>专业设备购置数量（台/件/辆/套）</w:t>
            </w:r>
          </w:p>
        </w:tc>
        <w:tc>
          <w:tcPr>
            <w:tcW w:w="2466" w:type="dxa"/>
            <w:vAlign w:val="center"/>
          </w:tcPr>
          <w:p>
            <w:pPr>
              <w:pStyle w:val="14"/>
            </w:pPr>
            <w:r>
              <w:t>2台</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设备购置成本</w:t>
            </w:r>
          </w:p>
        </w:tc>
        <w:tc>
          <w:tcPr>
            <w:tcW w:w="2466" w:type="dxa"/>
            <w:vAlign w:val="center"/>
          </w:tcPr>
          <w:p>
            <w:pPr>
              <w:pStyle w:val="14"/>
            </w:pPr>
            <w:r>
              <w:t>设备购置成本每台</w:t>
            </w:r>
          </w:p>
        </w:tc>
        <w:tc>
          <w:tcPr>
            <w:tcW w:w="2466" w:type="dxa"/>
            <w:vAlign w:val="center"/>
          </w:tcPr>
          <w:p>
            <w:pPr>
              <w:pStyle w:val="14"/>
            </w:pPr>
            <w:r>
              <w:t>100000台/元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专用设备购置完成时间</w:t>
            </w:r>
          </w:p>
        </w:tc>
        <w:tc>
          <w:tcPr>
            <w:tcW w:w="2466" w:type="dxa"/>
            <w:vAlign w:val="center"/>
          </w:tcPr>
          <w:p>
            <w:pPr>
              <w:pStyle w:val="14"/>
            </w:pPr>
            <w:r>
              <w:t>专用设备购置完成时间</w:t>
            </w:r>
          </w:p>
        </w:tc>
        <w:tc>
          <w:tcPr>
            <w:tcW w:w="2466" w:type="dxa"/>
            <w:vAlign w:val="center"/>
          </w:tcPr>
          <w:p>
            <w:pPr>
              <w:pStyle w:val="14"/>
            </w:pPr>
            <w:r>
              <w:t>2022年12月31日之前</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购置设备合格率</w:t>
            </w:r>
          </w:p>
        </w:tc>
        <w:tc>
          <w:tcPr>
            <w:tcW w:w="2466" w:type="dxa"/>
            <w:vAlign w:val="center"/>
          </w:tcPr>
          <w:p>
            <w:pPr>
              <w:pStyle w:val="14"/>
            </w:pPr>
            <w:r>
              <w:t>购置设备合格率</w:t>
            </w:r>
          </w:p>
        </w:tc>
        <w:tc>
          <w:tcPr>
            <w:tcW w:w="2466" w:type="dxa"/>
            <w:vAlign w:val="center"/>
          </w:tcPr>
          <w:p>
            <w:pPr>
              <w:pStyle w:val="14"/>
            </w:pPr>
            <w:r>
              <w:t>100%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设备购置类项目持续使用时间（年</w:t>
            </w:r>
          </w:p>
        </w:tc>
        <w:tc>
          <w:tcPr>
            <w:tcW w:w="2466" w:type="dxa"/>
            <w:vAlign w:val="center"/>
          </w:tcPr>
          <w:p>
            <w:pPr>
              <w:pStyle w:val="14"/>
            </w:pPr>
            <w:r>
              <w:t>设备购置类项目持续使用时间（年）</w:t>
            </w:r>
          </w:p>
        </w:tc>
        <w:tc>
          <w:tcPr>
            <w:tcW w:w="2466" w:type="dxa"/>
            <w:vAlign w:val="center"/>
          </w:tcPr>
          <w:p>
            <w:pPr>
              <w:pStyle w:val="14"/>
            </w:pPr>
            <w:r>
              <w:t>≥2年</w:t>
            </w:r>
          </w:p>
        </w:tc>
        <w:tc>
          <w:tcPr>
            <w:tcW w:w="2466" w:type="dxa"/>
            <w:vAlign w:val="center"/>
          </w:tcPr>
          <w:p>
            <w:pPr>
              <w:pStyle w:val="14"/>
            </w:pPr>
            <w:r>
              <w:t>达到预期效果满分，未达到预期效果酌情扣分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密码设备服务人员满意度</w:t>
            </w:r>
          </w:p>
        </w:tc>
        <w:tc>
          <w:tcPr>
            <w:tcW w:w="2466" w:type="dxa"/>
            <w:vAlign w:val="center"/>
          </w:tcPr>
          <w:p>
            <w:pPr>
              <w:pStyle w:val="14"/>
            </w:pPr>
            <w:r>
              <w:t>密码设备服务人员满意度</w:t>
            </w:r>
          </w:p>
        </w:tc>
        <w:tc>
          <w:tcPr>
            <w:tcW w:w="2466" w:type="dxa"/>
            <w:vAlign w:val="center"/>
          </w:tcPr>
          <w:p>
            <w:pPr>
              <w:pStyle w:val="14"/>
            </w:pPr>
            <w:r>
              <w:t>≥95%</w:t>
            </w:r>
          </w:p>
        </w:tc>
        <w:tc>
          <w:tcPr>
            <w:tcW w:w="2466" w:type="dxa"/>
            <w:vAlign w:val="center"/>
          </w:tcPr>
          <w:p>
            <w:pPr>
              <w:pStyle w:val="14"/>
            </w:pPr>
            <w:r>
              <w:t>根据满意度调查结果计算得分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2022年，秦皇岛北戴河新区人民检察院安排政府采购预算0.00万元。具体内容见下表。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151秦皇岛北戴河新区人民检察院</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color w:val="auto"/>
        </w:rPr>
      </w:pPr>
      <w:bookmarkStart w:id="15" w:name="_Toc_3_3_0000000016"/>
      <w:r>
        <w:rPr>
          <w:rFonts w:ascii="黑体" w:hAnsi="黑体" w:eastAsia="黑体" w:cs="黑体"/>
          <w:color w:val="auto"/>
          <w:sz w:val="32"/>
        </w:rPr>
        <w:t>七、国有资产信息</w:t>
      </w:r>
      <w:bookmarkEnd w:id="15"/>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秦皇岛北戴河新区人民检察院（含所属单位）上年末固定资产金额为</w:t>
      </w:r>
      <w:r>
        <w:rPr>
          <w:rFonts w:hint="eastAsia"/>
          <w:color w:val="auto"/>
          <w:lang w:val="en-US" w:eastAsia="zh-CN"/>
        </w:rPr>
        <w:t>388.45</w:t>
      </w:r>
      <w:r>
        <w:rPr>
          <w:rFonts w:ascii="Times New Roman" w:hAnsi="Times New Roman" w:eastAsia="方正仿宋_GBK" w:cs="Times New Roman"/>
          <w:b w:val="0"/>
          <w:color w:val="auto"/>
          <w:sz w:val="28"/>
        </w:rPr>
        <w:t>万元（详见下表）。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color w:val="auto"/>
              </w:rPr>
            </w:pPr>
            <w:r>
              <w:rPr>
                <w:color w:val="auto"/>
              </w:rPr>
              <w:t>151秦皇岛北戴河新区人民检察院</w:t>
            </w:r>
          </w:p>
        </w:tc>
        <w:tc>
          <w:tcPr>
            <w:tcW w:w="986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color w:val="auto"/>
              </w:rPr>
            </w:pPr>
            <w:r>
              <w:rPr>
                <w:color w:val="auto"/>
              </w:rPr>
              <w:t>项   目</w:t>
            </w:r>
          </w:p>
        </w:tc>
        <w:tc>
          <w:tcPr>
            <w:tcW w:w="4933" w:type="dxa"/>
            <w:vAlign w:val="center"/>
          </w:tcPr>
          <w:p>
            <w:pPr>
              <w:pStyle w:val="12"/>
              <w:rPr>
                <w:color w:val="auto"/>
              </w:rPr>
            </w:pPr>
            <w:r>
              <w:rPr>
                <w:color w:val="auto"/>
              </w:rPr>
              <w:t>数量</w:t>
            </w:r>
          </w:p>
        </w:tc>
        <w:tc>
          <w:tcPr>
            <w:tcW w:w="4933" w:type="dxa"/>
            <w:vAlign w:val="center"/>
          </w:tcPr>
          <w:p>
            <w:pPr>
              <w:pStyle w:val="12"/>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color w:val="auto"/>
                <w:lang w:eastAsia="zh-CN"/>
              </w:rPr>
            </w:pPr>
            <w:r>
              <w:rPr>
                <w:rFonts w:hint="eastAsia"/>
                <w:color w:val="auto"/>
                <w:lang w:eastAsia="zh-CN"/>
              </w:rPr>
              <w:t>固定资产及无形资产</w:t>
            </w:r>
          </w:p>
        </w:tc>
        <w:tc>
          <w:tcPr>
            <w:tcW w:w="4933" w:type="dxa"/>
            <w:vAlign w:val="center"/>
          </w:tcPr>
          <w:p>
            <w:pPr>
              <w:pStyle w:val="15"/>
              <w:rPr>
                <w:rFonts w:hint="default" w:eastAsia="方正书宋_GBK"/>
                <w:color w:val="auto"/>
                <w:lang w:val="en-US" w:eastAsia="zh-CN"/>
              </w:rPr>
            </w:pPr>
            <w:r>
              <w:rPr>
                <w:rFonts w:hint="eastAsia"/>
                <w:color w:val="auto"/>
                <w:lang w:val="en-US" w:eastAsia="zh-CN"/>
              </w:rPr>
              <w:t>1281</w:t>
            </w:r>
          </w:p>
        </w:tc>
        <w:tc>
          <w:tcPr>
            <w:tcW w:w="4933" w:type="dxa"/>
            <w:vAlign w:val="center"/>
          </w:tcPr>
          <w:p>
            <w:pPr>
              <w:pStyle w:val="13"/>
              <w:rPr>
                <w:rFonts w:hint="default" w:eastAsia="方正书宋_GBK"/>
                <w:color w:val="auto"/>
                <w:lang w:val="en-US" w:eastAsia="zh-CN"/>
              </w:rPr>
            </w:pPr>
            <w:r>
              <w:rPr>
                <w:rFonts w:hint="eastAsia"/>
                <w:color w:val="auto"/>
                <w:lang w:val="en-US" w:eastAsia="zh-CN"/>
              </w:rPr>
              <w:t>388.45</w:t>
            </w:r>
          </w:p>
        </w:tc>
      </w:tr>
    </w:tbl>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pPr>
      <w:bookmarkStart w:id="18" w:name="_GoBack"/>
      <w:bookmarkEnd w:id="18"/>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5255"/>
    <w:rsid w:val="12E52EA1"/>
    <w:rsid w:val="227B6921"/>
    <w:rsid w:val="2AA66A5C"/>
    <w:rsid w:val="2D52522D"/>
    <w:rsid w:val="336755D4"/>
    <w:rsid w:val="35155CDC"/>
    <w:rsid w:val="38DC3805"/>
    <w:rsid w:val="3CD66A3A"/>
    <w:rsid w:val="54622402"/>
    <w:rsid w:val="56360B4A"/>
    <w:rsid w:val="5E993BCD"/>
    <w:rsid w:val="6C647CA9"/>
    <w:rsid w:val="71B249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2022-02-21T11:07:00Z</dcterms:created>
  <dcterms:modified xsi:type="dcterms:W3CDTF">2022-02-21T03:06:59Z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2022-02-21T11:06:59Z</dcterms:created>
  <dcterms:modified xsi:type="dcterms:W3CDTF">2022-02-21T03:06:59Z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2022-02-21T11:06:59Z</dcterms:created>
  <dcterms:modified xsi:type="dcterms:W3CDTF">2022-02-21T03:06:59Z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2022-02-21T11:06:59Z</dcterms:created>
  <dcterms:modified xsi:type="dcterms:W3CDTF">2022-02-21T03:06:59Z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2022-02-21T11:06:55Z</dcterms:created>
  <dcterms:modified xsi:type="dcterms:W3CDTF">2022-02-21T03:06:55Z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2022-02-21T11:06:59Z</dcterms:created>
  <dcterms:modified xsi:type="dcterms:W3CDTF">2022-02-21T03:06:59Z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2022-02-21T11:06:56Z</dcterms:created>
  <dcterms:modified xsi:type="dcterms:W3CDTF">2022-02-21T03:06:56Z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2022-02-21T11:06:56Z</dcterms:created>
  <dcterms:modified xsi:type="dcterms:W3CDTF">2022-02-21T03:06:56Z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2022-02-21T11:06:56Z</dcterms:created>
  <dcterms:modified xsi:type="dcterms:W3CDTF">2022-02-21T03:06:56Z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2022-02-21T11:06:56Z</dcterms:created>
  <dcterms:modified xsi:type="dcterms:W3CDTF">2022-02-21T03:06:56Z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2022-02-21T11:06:56Z</dcterms:created>
  <dcterms:modified xsi:type="dcterms:W3CDTF">2022-02-21T03:06:56Z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a8bf64f-81b3-4745-af8d-61644feda202}">
  <ds:schemaRefs/>
</ds:datastoreItem>
</file>

<file path=customXml/itemProps11.xml><?xml version="1.0" encoding="utf-8"?>
<ds:datastoreItem xmlns:ds="http://schemas.openxmlformats.org/officeDocument/2006/customXml" ds:itemID="{74238628-1732-4416-919b-9eadf2fa8f71}">
  <ds:schemaRefs/>
</ds:datastoreItem>
</file>

<file path=customXml/itemProps12.xml><?xml version="1.0" encoding="utf-8"?>
<ds:datastoreItem xmlns:ds="http://schemas.openxmlformats.org/officeDocument/2006/customXml" ds:itemID="{7dfbea6e-987a-48db-b436-c98d599deee1}">
  <ds:schemaRefs/>
</ds:datastoreItem>
</file>

<file path=customXml/itemProps13.xml><?xml version="1.0" encoding="utf-8"?>
<ds:datastoreItem xmlns:ds="http://schemas.openxmlformats.org/officeDocument/2006/customXml" ds:itemID="{d4b492d1-ed28-4995-b03b-ef449121f2a6}">
  <ds:schemaRefs/>
</ds:datastoreItem>
</file>

<file path=customXml/itemProps14.xml><?xml version="1.0" encoding="utf-8"?>
<ds:datastoreItem xmlns:ds="http://schemas.openxmlformats.org/officeDocument/2006/customXml" ds:itemID="{a1519cf9-0ce3-4733-ae8f-3f19f397c30b}">
  <ds:schemaRefs/>
</ds:datastoreItem>
</file>

<file path=customXml/itemProps15.xml><?xml version="1.0" encoding="utf-8"?>
<ds:datastoreItem xmlns:ds="http://schemas.openxmlformats.org/officeDocument/2006/customXml" ds:itemID="{c830c191-73a0-4494-a871-6539ee2d3f01}">
  <ds:schemaRefs/>
</ds:datastoreItem>
</file>

<file path=customXml/itemProps16.xml><?xml version="1.0" encoding="utf-8"?>
<ds:datastoreItem xmlns:ds="http://schemas.openxmlformats.org/officeDocument/2006/customXml" ds:itemID="{4c873484-201b-4e19-8c25-214fa35d5b00}">
  <ds:schemaRefs/>
</ds:datastoreItem>
</file>

<file path=customXml/itemProps17.xml><?xml version="1.0" encoding="utf-8"?>
<ds:datastoreItem xmlns:ds="http://schemas.openxmlformats.org/officeDocument/2006/customXml" ds:itemID="{92796fc3-4ece-4bd4-8748-df46435e95b2}">
  <ds:schemaRefs/>
</ds:datastoreItem>
</file>

<file path=customXml/itemProps18.xml><?xml version="1.0" encoding="utf-8"?>
<ds:datastoreItem xmlns:ds="http://schemas.openxmlformats.org/officeDocument/2006/customXml" ds:itemID="{decefe78-795b-424b-8041-4d4c54cca8b0}">
  <ds:schemaRefs/>
</ds:datastoreItem>
</file>

<file path=customXml/itemProps19.xml><?xml version="1.0" encoding="utf-8"?>
<ds:datastoreItem xmlns:ds="http://schemas.openxmlformats.org/officeDocument/2006/customXml" ds:itemID="{c6041033-be9a-4c31-af39-b8f6b8cd46ff}">
  <ds:schemaRefs/>
</ds:datastoreItem>
</file>

<file path=customXml/itemProps2.xml><?xml version="1.0" encoding="utf-8"?>
<ds:datastoreItem xmlns:ds="http://schemas.openxmlformats.org/officeDocument/2006/customXml" ds:itemID="{f25d0870-9c26-436c-9561-2f51448ee6c6}">
  <ds:schemaRefs/>
</ds:datastoreItem>
</file>

<file path=customXml/itemProps20.xml><?xml version="1.0" encoding="utf-8"?>
<ds:datastoreItem xmlns:ds="http://schemas.openxmlformats.org/officeDocument/2006/customXml" ds:itemID="{29ab6af7-a359-4428-b8e3-989f9340bb72}">
  <ds:schemaRefs/>
</ds:datastoreItem>
</file>

<file path=customXml/itemProps21.xml><?xml version="1.0" encoding="utf-8"?>
<ds:datastoreItem xmlns:ds="http://schemas.openxmlformats.org/officeDocument/2006/customXml" ds:itemID="{efff8f13-6959-45f2-a06d-3835438c0e1d}">
  <ds:schemaRefs/>
</ds:datastoreItem>
</file>

<file path=customXml/itemProps22.xml><?xml version="1.0" encoding="utf-8"?>
<ds:datastoreItem xmlns:ds="http://schemas.openxmlformats.org/officeDocument/2006/customXml" ds:itemID="{a9299469-9a12-44cf-961a-7c27dfceb4f4}">
  <ds:schemaRefs/>
</ds:datastoreItem>
</file>

<file path=customXml/itemProps23.xml><?xml version="1.0" encoding="utf-8"?>
<ds:datastoreItem xmlns:ds="http://schemas.openxmlformats.org/officeDocument/2006/customXml" ds:itemID="{e54f0119-6740-45d7-ae3d-c884ceb9db84}">
  <ds:schemaRefs/>
</ds:datastoreItem>
</file>

<file path=customXml/itemProps3.xml><?xml version="1.0" encoding="utf-8"?>
<ds:datastoreItem xmlns:ds="http://schemas.openxmlformats.org/officeDocument/2006/customXml" ds:itemID="{36e6e99b-6aa8-4f94-85b0-c7a23c36d854}">
  <ds:schemaRefs/>
</ds:datastoreItem>
</file>

<file path=customXml/itemProps4.xml><?xml version="1.0" encoding="utf-8"?>
<ds:datastoreItem xmlns:ds="http://schemas.openxmlformats.org/officeDocument/2006/customXml" ds:itemID="{9757d070-32db-4502-82e0-c8dc6f5229fc}">
  <ds:schemaRefs/>
</ds:datastoreItem>
</file>

<file path=customXml/itemProps5.xml><?xml version="1.0" encoding="utf-8"?>
<ds:datastoreItem xmlns:ds="http://schemas.openxmlformats.org/officeDocument/2006/customXml" ds:itemID="{d15a7c28-6fab-4dc2-a35b-49c624ed7561}">
  <ds:schemaRefs/>
</ds:datastoreItem>
</file>

<file path=customXml/itemProps6.xml><?xml version="1.0" encoding="utf-8"?>
<ds:datastoreItem xmlns:ds="http://schemas.openxmlformats.org/officeDocument/2006/customXml" ds:itemID="{6964ad74-f486-4208-8da2-6b57f70310ea}">
  <ds:schemaRefs/>
</ds:datastoreItem>
</file>

<file path=customXml/itemProps7.xml><?xml version="1.0" encoding="utf-8"?>
<ds:datastoreItem xmlns:ds="http://schemas.openxmlformats.org/officeDocument/2006/customXml" ds:itemID="{8309e475-0d31-4af8-8c58-2a5f8f50beba}">
  <ds:schemaRefs/>
</ds:datastoreItem>
</file>

<file path=customXml/itemProps8.xml><?xml version="1.0" encoding="utf-8"?>
<ds:datastoreItem xmlns:ds="http://schemas.openxmlformats.org/officeDocument/2006/customXml" ds:itemID="{2be72cb9-d5e1-4772-b0d2-1731f9848046}">
  <ds:schemaRefs/>
</ds:datastoreItem>
</file>

<file path=customXml/itemProps9.xml><?xml version="1.0" encoding="utf-8"?>
<ds:datastoreItem xmlns:ds="http://schemas.openxmlformats.org/officeDocument/2006/customXml" ds:itemID="{fdf11385-6494-4103-a6dd-6966d6fe38e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2022-02-21T11:07:00Z</dcterms:created>
  <dc:creator>Administrator</dc:creator>
  <cp:lastModifiedBy>Alexa</cp:lastModifiedBy>
  <dcterms:modified xsi:type="dcterms:W3CDTF">2023-08-17T04:46:17Z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E7A0676767D84F20A62DF6BD8E1610C4</vt:lpwstr>
  </property>
</Properties>
</file>