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34</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334秦皇岛北戴河新区旅游发展局</w:t>
            </w:r>
          </w:p>
        </w:tc>
        <w:tc>
          <w:tcPr>
            <w:tcW w:w="2126" w:type="dxa"/>
            <w:tcBorders>
              <w:top w:val="single" w:color="FFFFFF" w:sz="6" w:space="0"/>
              <w:left w:val="single" w:color="FFFFFF"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755.53</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620.10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52.05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40.38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755.53</w:t>
            </w:r>
          </w:p>
        </w:tc>
        <w:tc>
          <w:tcPr>
            <w:tcW w:w="4535" w:type="dxa"/>
            <w:vAlign w:val="center"/>
          </w:tcPr>
          <w:p>
            <w:pPr>
              <w:pStyle w:val="16"/>
            </w:pPr>
            <w:r>
              <w:t>本年支出合计</w:t>
            </w:r>
          </w:p>
        </w:tc>
        <w:tc>
          <w:tcPr>
            <w:tcW w:w="2126" w:type="dxa"/>
            <w:vAlign w:val="center"/>
          </w:tcPr>
          <w:p>
            <w:pPr>
              <w:pStyle w:val="17"/>
            </w:pPr>
            <w:r>
              <w:t>755.53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755.53</w:t>
            </w:r>
          </w:p>
        </w:tc>
        <w:tc>
          <w:tcPr>
            <w:tcW w:w="4535" w:type="dxa"/>
            <w:vAlign w:val="center"/>
          </w:tcPr>
          <w:p>
            <w:pPr>
              <w:pStyle w:val="16"/>
            </w:pPr>
            <w:r>
              <w:t>支出总计</w:t>
            </w:r>
          </w:p>
        </w:tc>
        <w:tc>
          <w:tcPr>
            <w:tcW w:w="2126" w:type="dxa"/>
            <w:vAlign w:val="center"/>
          </w:tcPr>
          <w:p>
            <w:pPr>
              <w:pStyle w:val="17"/>
            </w:pPr>
            <w:r>
              <w:t>755.53</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334秦皇岛北戴河新区旅游发展局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755.53</w:t>
            </w:r>
          </w:p>
        </w:tc>
        <w:tc>
          <w:tcPr>
            <w:tcW w:w="1134" w:type="dxa"/>
            <w:vAlign w:val="center"/>
          </w:tcPr>
          <w:p>
            <w:pPr>
              <w:pStyle w:val="17"/>
            </w:pPr>
            <w:r>
              <w:t>755.53</w:t>
            </w:r>
          </w:p>
        </w:tc>
        <w:tc>
          <w:tcPr>
            <w:tcW w:w="1134" w:type="dxa"/>
            <w:vAlign w:val="center"/>
          </w:tcPr>
          <w:p>
            <w:pPr>
              <w:pStyle w:val="17"/>
            </w:pPr>
            <w:r>
              <w:t>755.53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620.10</w:t>
            </w:r>
          </w:p>
        </w:tc>
        <w:tc>
          <w:tcPr>
            <w:tcW w:w="1134" w:type="dxa"/>
            <w:vAlign w:val="center"/>
          </w:tcPr>
          <w:p>
            <w:pPr>
              <w:pStyle w:val="13"/>
            </w:pPr>
            <w:r>
              <w:t>620.10</w:t>
            </w:r>
          </w:p>
        </w:tc>
        <w:tc>
          <w:tcPr>
            <w:tcW w:w="1134" w:type="dxa"/>
            <w:vAlign w:val="center"/>
          </w:tcPr>
          <w:p>
            <w:pPr>
              <w:pStyle w:val="13"/>
            </w:pPr>
            <w:r>
              <w:t>620.10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20701</w:t>
            </w:r>
          </w:p>
        </w:tc>
        <w:tc>
          <w:tcPr>
            <w:tcW w:w="1559" w:type="dxa"/>
            <w:vAlign w:val="center"/>
          </w:tcPr>
          <w:p>
            <w:pPr>
              <w:pStyle w:val="14"/>
            </w:pPr>
            <w:r>
              <w:t>文化和旅游</w:t>
            </w:r>
          </w:p>
        </w:tc>
        <w:tc>
          <w:tcPr>
            <w:tcW w:w="1134" w:type="dxa"/>
            <w:vAlign w:val="center"/>
          </w:tcPr>
          <w:p>
            <w:pPr>
              <w:pStyle w:val="13"/>
            </w:pPr>
            <w:r>
              <w:t>620.10</w:t>
            </w:r>
          </w:p>
        </w:tc>
        <w:tc>
          <w:tcPr>
            <w:tcW w:w="1134" w:type="dxa"/>
            <w:vAlign w:val="center"/>
          </w:tcPr>
          <w:p>
            <w:pPr>
              <w:pStyle w:val="13"/>
            </w:pPr>
            <w:r>
              <w:t>620.10</w:t>
            </w:r>
          </w:p>
        </w:tc>
        <w:tc>
          <w:tcPr>
            <w:tcW w:w="1134" w:type="dxa"/>
            <w:vAlign w:val="center"/>
          </w:tcPr>
          <w:p>
            <w:pPr>
              <w:pStyle w:val="13"/>
            </w:pPr>
            <w:r>
              <w:t>620.10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2070101</w:t>
            </w:r>
          </w:p>
        </w:tc>
        <w:tc>
          <w:tcPr>
            <w:tcW w:w="1559" w:type="dxa"/>
            <w:vAlign w:val="center"/>
          </w:tcPr>
          <w:p>
            <w:pPr>
              <w:pStyle w:val="14"/>
            </w:pPr>
            <w:r>
              <w:t>行政运行</w:t>
            </w:r>
          </w:p>
        </w:tc>
        <w:tc>
          <w:tcPr>
            <w:tcW w:w="1134" w:type="dxa"/>
            <w:vAlign w:val="center"/>
          </w:tcPr>
          <w:p>
            <w:pPr>
              <w:pStyle w:val="13"/>
            </w:pPr>
            <w:r>
              <w:t>395.10</w:t>
            </w:r>
          </w:p>
        </w:tc>
        <w:tc>
          <w:tcPr>
            <w:tcW w:w="1134" w:type="dxa"/>
            <w:vAlign w:val="center"/>
          </w:tcPr>
          <w:p>
            <w:pPr>
              <w:pStyle w:val="13"/>
            </w:pPr>
            <w:r>
              <w:t>395.10</w:t>
            </w:r>
          </w:p>
        </w:tc>
        <w:tc>
          <w:tcPr>
            <w:tcW w:w="1134" w:type="dxa"/>
            <w:vAlign w:val="center"/>
          </w:tcPr>
          <w:p>
            <w:pPr>
              <w:pStyle w:val="13"/>
            </w:pPr>
            <w:r>
              <w:t>395.10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2070114</w:t>
            </w:r>
          </w:p>
        </w:tc>
        <w:tc>
          <w:tcPr>
            <w:tcW w:w="1559" w:type="dxa"/>
            <w:vAlign w:val="center"/>
          </w:tcPr>
          <w:p>
            <w:pPr>
              <w:pStyle w:val="14"/>
            </w:pPr>
            <w:r>
              <w:t>文化和旅游管理事务</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2070199</w:t>
            </w:r>
          </w:p>
        </w:tc>
        <w:tc>
          <w:tcPr>
            <w:tcW w:w="1559" w:type="dxa"/>
            <w:vAlign w:val="center"/>
          </w:tcPr>
          <w:p>
            <w:pPr>
              <w:pStyle w:val="14"/>
            </w:pPr>
            <w:r>
              <w:t>其他文化和旅游支出</w:t>
            </w:r>
          </w:p>
        </w:tc>
        <w:tc>
          <w:tcPr>
            <w:tcW w:w="1134" w:type="dxa"/>
            <w:vAlign w:val="center"/>
          </w:tcPr>
          <w:p>
            <w:pPr>
              <w:pStyle w:val="13"/>
            </w:pPr>
            <w:r>
              <w:t>216.00</w:t>
            </w:r>
          </w:p>
        </w:tc>
        <w:tc>
          <w:tcPr>
            <w:tcW w:w="1134" w:type="dxa"/>
            <w:vAlign w:val="center"/>
          </w:tcPr>
          <w:p>
            <w:pPr>
              <w:pStyle w:val="13"/>
            </w:pPr>
            <w:r>
              <w:t>216.00</w:t>
            </w:r>
          </w:p>
        </w:tc>
        <w:tc>
          <w:tcPr>
            <w:tcW w:w="1134" w:type="dxa"/>
            <w:vAlign w:val="center"/>
          </w:tcPr>
          <w:p>
            <w:pPr>
              <w:pStyle w:val="13"/>
            </w:pPr>
            <w:r>
              <w:t>216.00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52.05</w:t>
            </w:r>
          </w:p>
        </w:tc>
        <w:tc>
          <w:tcPr>
            <w:tcW w:w="1134" w:type="dxa"/>
            <w:vAlign w:val="center"/>
          </w:tcPr>
          <w:p>
            <w:pPr>
              <w:pStyle w:val="13"/>
            </w:pPr>
            <w:r>
              <w:t>52.05</w:t>
            </w:r>
          </w:p>
        </w:tc>
        <w:tc>
          <w:tcPr>
            <w:tcW w:w="1134" w:type="dxa"/>
            <w:vAlign w:val="center"/>
          </w:tcPr>
          <w:p>
            <w:pPr>
              <w:pStyle w:val="13"/>
            </w:pPr>
            <w:r>
              <w:t>52.05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52.05</w:t>
            </w:r>
          </w:p>
        </w:tc>
        <w:tc>
          <w:tcPr>
            <w:tcW w:w="1134" w:type="dxa"/>
            <w:vAlign w:val="center"/>
          </w:tcPr>
          <w:p>
            <w:pPr>
              <w:pStyle w:val="13"/>
            </w:pPr>
            <w:r>
              <w:t>52.05</w:t>
            </w:r>
          </w:p>
        </w:tc>
        <w:tc>
          <w:tcPr>
            <w:tcW w:w="1134" w:type="dxa"/>
            <w:vAlign w:val="center"/>
          </w:tcPr>
          <w:p>
            <w:pPr>
              <w:pStyle w:val="13"/>
            </w:pPr>
            <w:r>
              <w:t>52.05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50.88</w:t>
            </w:r>
          </w:p>
        </w:tc>
        <w:tc>
          <w:tcPr>
            <w:tcW w:w="1134" w:type="dxa"/>
            <w:vAlign w:val="center"/>
          </w:tcPr>
          <w:p>
            <w:pPr>
              <w:pStyle w:val="13"/>
            </w:pPr>
            <w:r>
              <w:t>50.88</w:t>
            </w:r>
          </w:p>
        </w:tc>
        <w:tc>
          <w:tcPr>
            <w:tcW w:w="1134" w:type="dxa"/>
            <w:vAlign w:val="center"/>
          </w:tcPr>
          <w:p>
            <w:pPr>
              <w:pStyle w:val="13"/>
            </w:pPr>
            <w:r>
              <w:t>50.88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1.16</w:t>
            </w:r>
          </w:p>
        </w:tc>
        <w:tc>
          <w:tcPr>
            <w:tcW w:w="1134" w:type="dxa"/>
            <w:vAlign w:val="center"/>
          </w:tcPr>
          <w:p>
            <w:pPr>
              <w:pStyle w:val="13"/>
            </w:pPr>
            <w:r>
              <w:t>1.16</w:t>
            </w:r>
          </w:p>
        </w:tc>
        <w:tc>
          <w:tcPr>
            <w:tcW w:w="1134" w:type="dxa"/>
            <w:vAlign w:val="center"/>
          </w:tcPr>
          <w:p>
            <w:pPr>
              <w:pStyle w:val="13"/>
            </w:pPr>
            <w:r>
              <w:t>1.16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43.00</w:t>
            </w:r>
          </w:p>
        </w:tc>
        <w:tc>
          <w:tcPr>
            <w:tcW w:w="1134" w:type="dxa"/>
            <w:vAlign w:val="center"/>
          </w:tcPr>
          <w:p>
            <w:pPr>
              <w:pStyle w:val="13"/>
            </w:pPr>
            <w:r>
              <w:t>43.00</w:t>
            </w:r>
          </w:p>
        </w:tc>
        <w:tc>
          <w:tcPr>
            <w:tcW w:w="1134" w:type="dxa"/>
            <w:vAlign w:val="center"/>
          </w:tcPr>
          <w:p>
            <w:pPr>
              <w:pStyle w:val="13"/>
            </w:pPr>
            <w:r>
              <w:t>43.00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43.00</w:t>
            </w:r>
          </w:p>
        </w:tc>
        <w:tc>
          <w:tcPr>
            <w:tcW w:w="1134" w:type="dxa"/>
            <w:vAlign w:val="center"/>
          </w:tcPr>
          <w:p>
            <w:pPr>
              <w:pStyle w:val="13"/>
            </w:pPr>
            <w:r>
              <w:t>43.00</w:t>
            </w:r>
          </w:p>
        </w:tc>
        <w:tc>
          <w:tcPr>
            <w:tcW w:w="1134" w:type="dxa"/>
            <w:vAlign w:val="center"/>
          </w:tcPr>
          <w:p>
            <w:pPr>
              <w:pStyle w:val="13"/>
            </w:pPr>
            <w:r>
              <w:t>43.00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43.00</w:t>
            </w:r>
          </w:p>
        </w:tc>
        <w:tc>
          <w:tcPr>
            <w:tcW w:w="1134" w:type="dxa"/>
            <w:vAlign w:val="center"/>
          </w:tcPr>
          <w:p>
            <w:pPr>
              <w:pStyle w:val="13"/>
            </w:pPr>
            <w:r>
              <w:t>43.00</w:t>
            </w:r>
          </w:p>
        </w:tc>
        <w:tc>
          <w:tcPr>
            <w:tcW w:w="1134" w:type="dxa"/>
            <w:vAlign w:val="center"/>
          </w:tcPr>
          <w:p>
            <w:pPr>
              <w:pStyle w:val="13"/>
            </w:pPr>
            <w:r>
              <w:t>43.00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40.38</w:t>
            </w:r>
          </w:p>
        </w:tc>
        <w:tc>
          <w:tcPr>
            <w:tcW w:w="1134" w:type="dxa"/>
            <w:vAlign w:val="center"/>
          </w:tcPr>
          <w:p>
            <w:pPr>
              <w:pStyle w:val="13"/>
            </w:pPr>
            <w:r>
              <w:t>40.38</w:t>
            </w:r>
          </w:p>
        </w:tc>
        <w:tc>
          <w:tcPr>
            <w:tcW w:w="1134" w:type="dxa"/>
            <w:vAlign w:val="center"/>
          </w:tcPr>
          <w:p>
            <w:pPr>
              <w:pStyle w:val="13"/>
            </w:pPr>
            <w:r>
              <w:t>40.38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40.38</w:t>
            </w:r>
          </w:p>
        </w:tc>
        <w:tc>
          <w:tcPr>
            <w:tcW w:w="1134" w:type="dxa"/>
            <w:vAlign w:val="center"/>
          </w:tcPr>
          <w:p>
            <w:pPr>
              <w:pStyle w:val="13"/>
            </w:pPr>
            <w:r>
              <w:t>40.38</w:t>
            </w:r>
          </w:p>
        </w:tc>
        <w:tc>
          <w:tcPr>
            <w:tcW w:w="1134" w:type="dxa"/>
            <w:vAlign w:val="center"/>
          </w:tcPr>
          <w:p>
            <w:pPr>
              <w:pStyle w:val="13"/>
            </w:pPr>
            <w:r>
              <w:t>40.38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40.38</w:t>
            </w:r>
          </w:p>
        </w:tc>
        <w:tc>
          <w:tcPr>
            <w:tcW w:w="1134" w:type="dxa"/>
            <w:vAlign w:val="center"/>
          </w:tcPr>
          <w:p>
            <w:pPr>
              <w:pStyle w:val="13"/>
            </w:pPr>
            <w:r>
              <w:t>40.38</w:t>
            </w:r>
          </w:p>
        </w:tc>
        <w:tc>
          <w:tcPr>
            <w:tcW w:w="1134" w:type="dxa"/>
            <w:vAlign w:val="center"/>
          </w:tcPr>
          <w:p>
            <w:pPr>
              <w:pStyle w:val="13"/>
            </w:pPr>
            <w:r>
              <w:t>40.38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334秦皇岛北戴河新区旅游发展局</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755.53</w:t>
            </w:r>
          </w:p>
        </w:tc>
        <w:tc>
          <w:tcPr>
            <w:tcW w:w="1361" w:type="dxa"/>
            <w:vAlign w:val="center"/>
          </w:tcPr>
          <w:p>
            <w:pPr>
              <w:pStyle w:val="17"/>
            </w:pPr>
            <w:r>
              <w:t>530.53</w:t>
            </w:r>
          </w:p>
        </w:tc>
        <w:tc>
          <w:tcPr>
            <w:tcW w:w="1361" w:type="dxa"/>
            <w:vAlign w:val="center"/>
          </w:tcPr>
          <w:p>
            <w:pPr>
              <w:pStyle w:val="17"/>
            </w:pPr>
            <w:r>
              <w:t>225.00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620.10</w:t>
            </w:r>
          </w:p>
        </w:tc>
        <w:tc>
          <w:tcPr>
            <w:tcW w:w="1361" w:type="dxa"/>
            <w:vAlign w:val="center"/>
          </w:tcPr>
          <w:p>
            <w:pPr>
              <w:pStyle w:val="13"/>
            </w:pPr>
            <w:r>
              <w:t>395.10</w:t>
            </w:r>
          </w:p>
        </w:tc>
        <w:tc>
          <w:tcPr>
            <w:tcW w:w="1361" w:type="dxa"/>
            <w:vAlign w:val="center"/>
          </w:tcPr>
          <w:p>
            <w:pPr>
              <w:pStyle w:val="13"/>
            </w:pPr>
            <w:r>
              <w:t>225.00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20701</w:t>
            </w:r>
          </w:p>
        </w:tc>
        <w:tc>
          <w:tcPr>
            <w:tcW w:w="4535" w:type="dxa"/>
            <w:vAlign w:val="center"/>
          </w:tcPr>
          <w:p>
            <w:pPr>
              <w:pStyle w:val="14"/>
            </w:pPr>
            <w:r>
              <w:t>文化和旅游</w:t>
            </w:r>
          </w:p>
        </w:tc>
        <w:tc>
          <w:tcPr>
            <w:tcW w:w="1361" w:type="dxa"/>
            <w:vAlign w:val="center"/>
          </w:tcPr>
          <w:p>
            <w:pPr>
              <w:pStyle w:val="13"/>
            </w:pPr>
            <w:r>
              <w:t>620.10</w:t>
            </w:r>
          </w:p>
        </w:tc>
        <w:tc>
          <w:tcPr>
            <w:tcW w:w="1361" w:type="dxa"/>
            <w:vAlign w:val="center"/>
          </w:tcPr>
          <w:p>
            <w:pPr>
              <w:pStyle w:val="13"/>
            </w:pPr>
            <w:r>
              <w:t>395.10</w:t>
            </w:r>
          </w:p>
        </w:tc>
        <w:tc>
          <w:tcPr>
            <w:tcW w:w="1361" w:type="dxa"/>
            <w:vAlign w:val="center"/>
          </w:tcPr>
          <w:p>
            <w:pPr>
              <w:pStyle w:val="13"/>
            </w:pPr>
            <w:r>
              <w:t>225.00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2070101</w:t>
            </w:r>
          </w:p>
        </w:tc>
        <w:tc>
          <w:tcPr>
            <w:tcW w:w="4535" w:type="dxa"/>
            <w:vAlign w:val="center"/>
          </w:tcPr>
          <w:p>
            <w:pPr>
              <w:pStyle w:val="14"/>
            </w:pPr>
            <w:r>
              <w:t>行政运行</w:t>
            </w:r>
          </w:p>
        </w:tc>
        <w:tc>
          <w:tcPr>
            <w:tcW w:w="1361" w:type="dxa"/>
            <w:vAlign w:val="center"/>
          </w:tcPr>
          <w:p>
            <w:pPr>
              <w:pStyle w:val="13"/>
            </w:pPr>
            <w:r>
              <w:t>395.10</w:t>
            </w:r>
          </w:p>
        </w:tc>
        <w:tc>
          <w:tcPr>
            <w:tcW w:w="1361" w:type="dxa"/>
            <w:vAlign w:val="center"/>
          </w:tcPr>
          <w:p>
            <w:pPr>
              <w:pStyle w:val="13"/>
            </w:pPr>
            <w:r>
              <w:t>395.10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2070114</w:t>
            </w:r>
          </w:p>
        </w:tc>
        <w:tc>
          <w:tcPr>
            <w:tcW w:w="4535" w:type="dxa"/>
            <w:vAlign w:val="center"/>
          </w:tcPr>
          <w:p>
            <w:pPr>
              <w:pStyle w:val="14"/>
            </w:pPr>
            <w:r>
              <w:t>文化和旅游管理事务</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2070199</w:t>
            </w:r>
          </w:p>
        </w:tc>
        <w:tc>
          <w:tcPr>
            <w:tcW w:w="4535" w:type="dxa"/>
            <w:vAlign w:val="center"/>
          </w:tcPr>
          <w:p>
            <w:pPr>
              <w:pStyle w:val="14"/>
            </w:pPr>
            <w:r>
              <w:t>其他文化和旅游支出</w:t>
            </w:r>
          </w:p>
        </w:tc>
        <w:tc>
          <w:tcPr>
            <w:tcW w:w="1361" w:type="dxa"/>
            <w:vAlign w:val="center"/>
          </w:tcPr>
          <w:p>
            <w:pPr>
              <w:pStyle w:val="13"/>
            </w:pPr>
            <w:r>
              <w:t>216.00</w:t>
            </w:r>
          </w:p>
        </w:tc>
        <w:tc>
          <w:tcPr>
            <w:tcW w:w="1361" w:type="dxa"/>
            <w:vAlign w:val="center"/>
          </w:tcPr>
          <w:p>
            <w:pPr>
              <w:pStyle w:val="13"/>
            </w:pPr>
          </w:p>
        </w:tc>
        <w:tc>
          <w:tcPr>
            <w:tcW w:w="1361" w:type="dxa"/>
            <w:vAlign w:val="center"/>
          </w:tcPr>
          <w:p>
            <w:pPr>
              <w:pStyle w:val="13"/>
            </w:pPr>
            <w:r>
              <w:t>216.00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52.05</w:t>
            </w:r>
          </w:p>
        </w:tc>
        <w:tc>
          <w:tcPr>
            <w:tcW w:w="1361" w:type="dxa"/>
            <w:vAlign w:val="center"/>
          </w:tcPr>
          <w:p>
            <w:pPr>
              <w:pStyle w:val="13"/>
            </w:pPr>
            <w:r>
              <w:t>52.05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52.05</w:t>
            </w:r>
          </w:p>
        </w:tc>
        <w:tc>
          <w:tcPr>
            <w:tcW w:w="1361" w:type="dxa"/>
            <w:vAlign w:val="center"/>
          </w:tcPr>
          <w:p>
            <w:pPr>
              <w:pStyle w:val="13"/>
            </w:pPr>
            <w:r>
              <w:t>52.05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50.88</w:t>
            </w:r>
          </w:p>
        </w:tc>
        <w:tc>
          <w:tcPr>
            <w:tcW w:w="1361" w:type="dxa"/>
            <w:vAlign w:val="center"/>
          </w:tcPr>
          <w:p>
            <w:pPr>
              <w:pStyle w:val="13"/>
            </w:pPr>
            <w:r>
              <w:t>50.88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1.16</w:t>
            </w:r>
          </w:p>
        </w:tc>
        <w:tc>
          <w:tcPr>
            <w:tcW w:w="1361" w:type="dxa"/>
            <w:vAlign w:val="center"/>
          </w:tcPr>
          <w:p>
            <w:pPr>
              <w:pStyle w:val="13"/>
            </w:pPr>
            <w:r>
              <w:t>1.16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43.00</w:t>
            </w:r>
          </w:p>
        </w:tc>
        <w:tc>
          <w:tcPr>
            <w:tcW w:w="1361" w:type="dxa"/>
            <w:vAlign w:val="center"/>
          </w:tcPr>
          <w:p>
            <w:pPr>
              <w:pStyle w:val="13"/>
            </w:pPr>
            <w:r>
              <w:t>43.00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43.00</w:t>
            </w:r>
          </w:p>
        </w:tc>
        <w:tc>
          <w:tcPr>
            <w:tcW w:w="1361" w:type="dxa"/>
            <w:vAlign w:val="center"/>
          </w:tcPr>
          <w:p>
            <w:pPr>
              <w:pStyle w:val="13"/>
            </w:pPr>
            <w:r>
              <w:t>43.00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43.00</w:t>
            </w:r>
          </w:p>
        </w:tc>
        <w:tc>
          <w:tcPr>
            <w:tcW w:w="1361" w:type="dxa"/>
            <w:vAlign w:val="center"/>
          </w:tcPr>
          <w:p>
            <w:pPr>
              <w:pStyle w:val="13"/>
            </w:pPr>
            <w:r>
              <w:t>43.00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40.38</w:t>
            </w:r>
          </w:p>
        </w:tc>
        <w:tc>
          <w:tcPr>
            <w:tcW w:w="1361" w:type="dxa"/>
            <w:vAlign w:val="center"/>
          </w:tcPr>
          <w:p>
            <w:pPr>
              <w:pStyle w:val="13"/>
            </w:pPr>
            <w:r>
              <w:t>40.38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40.38</w:t>
            </w:r>
          </w:p>
        </w:tc>
        <w:tc>
          <w:tcPr>
            <w:tcW w:w="1361" w:type="dxa"/>
            <w:vAlign w:val="center"/>
          </w:tcPr>
          <w:p>
            <w:pPr>
              <w:pStyle w:val="13"/>
            </w:pPr>
            <w:r>
              <w:t>40.38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40.38</w:t>
            </w:r>
          </w:p>
        </w:tc>
        <w:tc>
          <w:tcPr>
            <w:tcW w:w="1361" w:type="dxa"/>
            <w:vAlign w:val="center"/>
          </w:tcPr>
          <w:p>
            <w:pPr>
              <w:pStyle w:val="13"/>
            </w:pPr>
            <w:r>
              <w:t>40.38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334秦皇岛北戴河新区旅游发展局</w:t>
            </w:r>
          </w:p>
        </w:tc>
        <w:tc>
          <w:tcPr>
            <w:tcW w:w="3402" w:type="dxa"/>
            <w:tcBorders>
              <w:top w:val="single" w:color="FFFFFF" w:sz="6" w:space="0"/>
              <w:left w:val="single" w:color="FFFFFF"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755.53</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620.10</w:t>
            </w:r>
          </w:p>
        </w:tc>
        <w:tc>
          <w:tcPr>
            <w:tcW w:w="1474" w:type="dxa"/>
            <w:vAlign w:val="center"/>
          </w:tcPr>
          <w:p>
            <w:pPr>
              <w:pStyle w:val="13"/>
            </w:pPr>
            <w:r>
              <w:t>620.10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52.05</w:t>
            </w:r>
          </w:p>
        </w:tc>
        <w:tc>
          <w:tcPr>
            <w:tcW w:w="1474" w:type="dxa"/>
            <w:vAlign w:val="center"/>
          </w:tcPr>
          <w:p>
            <w:pPr>
              <w:pStyle w:val="13"/>
            </w:pPr>
            <w:r>
              <w:t>52.05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43.00</w:t>
            </w:r>
          </w:p>
        </w:tc>
        <w:tc>
          <w:tcPr>
            <w:tcW w:w="1474" w:type="dxa"/>
            <w:vAlign w:val="center"/>
          </w:tcPr>
          <w:p>
            <w:pPr>
              <w:pStyle w:val="13"/>
            </w:pPr>
            <w:r>
              <w:t>43.00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40.38</w:t>
            </w:r>
          </w:p>
        </w:tc>
        <w:tc>
          <w:tcPr>
            <w:tcW w:w="1474" w:type="dxa"/>
            <w:vAlign w:val="center"/>
          </w:tcPr>
          <w:p>
            <w:pPr>
              <w:pStyle w:val="13"/>
            </w:pPr>
            <w:r>
              <w:t>40.38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6"/>
            </w:pPr>
            <w:r>
              <w:t>本年收入合计</w:t>
            </w:r>
          </w:p>
        </w:tc>
        <w:tc>
          <w:tcPr>
            <w:tcW w:w="1474" w:type="dxa"/>
            <w:vAlign w:val="center"/>
          </w:tcPr>
          <w:p>
            <w:pPr>
              <w:pStyle w:val="17"/>
            </w:pPr>
            <w:r>
              <w:t>755.53</w:t>
            </w:r>
          </w:p>
        </w:tc>
        <w:tc>
          <w:tcPr>
            <w:tcW w:w="3402" w:type="dxa"/>
            <w:vAlign w:val="center"/>
          </w:tcPr>
          <w:p>
            <w:pPr>
              <w:pStyle w:val="16"/>
            </w:pPr>
            <w:r>
              <w:t>本年支出合计</w:t>
            </w:r>
          </w:p>
        </w:tc>
        <w:tc>
          <w:tcPr>
            <w:tcW w:w="1474" w:type="dxa"/>
            <w:vAlign w:val="center"/>
          </w:tcPr>
          <w:p>
            <w:pPr>
              <w:pStyle w:val="17"/>
            </w:pPr>
            <w:r>
              <w:t>755.53</w:t>
            </w:r>
          </w:p>
        </w:tc>
        <w:tc>
          <w:tcPr>
            <w:tcW w:w="1474" w:type="dxa"/>
            <w:vAlign w:val="center"/>
          </w:tcPr>
          <w:p>
            <w:pPr>
              <w:pStyle w:val="17"/>
            </w:pPr>
            <w:r>
              <w:t>755.53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6"/>
            </w:pPr>
            <w:r>
              <w:t>收入总计</w:t>
            </w:r>
          </w:p>
        </w:tc>
        <w:tc>
          <w:tcPr>
            <w:tcW w:w="1474" w:type="dxa"/>
            <w:vAlign w:val="center"/>
          </w:tcPr>
          <w:p>
            <w:pPr>
              <w:pStyle w:val="17"/>
            </w:pPr>
            <w:r>
              <w:t>755.53</w:t>
            </w:r>
          </w:p>
        </w:tc>
        <w:tc>
          <w:tcPr>
            <w:tcW w:w="3402" w:type="dxa"/>
            <w:vAlign w:val="center"/>
          </w:tcPr>
          <w:p>
            <w:pPr>
              <w:pStyle w:val="16"/>
            </w:pPr>
            <w:r>
              <w:t>支出总计</w:t>
            </w:r>
          </w:p>
        </w:tc>
        <w:tc>
          <w:tcPr>
            <w:tcW w:w="1474" w:type="dxa"/>
            <w:vAlign w:val="center"/>
          </w:tcPr>
          <w:p>
            <w:pPr>
              <w:pStyle w:val="17"/>
            </w:pPr>
            <w:r>
              <w:t>755.53</w:t>
            </w:r>
          </w:p>
        </w:tc>
        <w:tc>
          <w:tcPr>
            <w:tcW w:w="1474" w:type="dxa"/>
            <w:vAlign w:val="center"/>
          </w:tcPr>
          <w:p>
            <w:pPr>
              <w:pStyle w:val="17"/>
            </w:pPr>
            <w:r>
              <w:t>755.53</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334秦皇岛北戴河新区旅游发展局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755.53</w:t>
            </w:r>
          </w:p>
        </w:tc>
        <w:tc>
          <w:tcPr>
            <w:tcW w:w="2551" w:type="dxa"/>
            <w:vAlign w:val="center"/>
          </w:tcPr>
          <w:p>
            <w:pPr>
              <w:pStyle w:val="17"/>
            </w:pPr>
            <w:r>
              <w:t>530.53</w:t>
            </w:r>
          </w:p>
        </w:tc>
        <w:tc>
          <w:tcPr>
            <w:tcW w:w="2551" w:type="dxa"/>
            <w:vAlign w:val="center"/>
          </w:tcPr>
          <w:p>
            <w:pPr>
              <w:pStyle w:val="17"/>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620.10</w:t>
            </w:r>
          </w:p>
        </w:tc>
        <w:tc>
          <w:tcPr>
            <w:tcW w:w="2551" w:type="dxa"/>
            <w:vAlign w:val="center"/>
          </w:tcPr>
          <w:p>
            <w:pPr>
              <w:pStyle w:val="13"/>
            </w:pPr>
            <w:r>
              <w:t>395.10</w:t>
            </w:r>
          </w:p>
        </w:tc>
        <w:tc>
          <w:tcPr>
            <w:tcW w:w="2551" w:type="dxa"/>
            <w:vAlign w:val="center"/>
          </w:tcPr>
          <w:p>
            <w:pPr>
              <w:pStyle w:val="13"/>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20701</w:t>
            </w:r>
          </w:p>
        </w:tc>
        <w:tc>
          <w:tcPr>
            <w:tcW w:w="4535" w:type="dxa"/>
            <w:vAlign w:val="center"/>
          </w:tcPr>
          <w:p>
            <w:pPr>
              <w:pStyle w:val="14"/>
            </w:pPr>
            <w:r>
              <w:t>文化和旅游</w:t>
            </w:r>
          </w:p>
        </w:tc>
        <w:tc>
          <w:tcPr>
            <w:tcW w:w="2551" w:type="dxa"/>
            <w:vAlign w:val="center"/>
          </w:tcPr>
          <w:p>
            <w:pPr>
              <w:pStyle w:val="13"/>
            </w:pPr>
            <w:r>
              <w:t>620.10</w:t>
            </w:r>
          </w:p>
        </w:tc>
        <w:tc>
          <w:tcPr>
            <w:tcW w:w="2551" w:type="dxa"/>
            <w:vAlign w:val="center"/>
          </w:tcPr>
          <w:p>
            <w:pPr>
              <w:pStyle w:val="13"/>
            </w:pPr>
            <w:r>
              <w:t>395.10</w:t>
            </w:r>
          </w:p>
        </w:tc>
        <w:tc>
          <w:tcPr>
            <w:tcW w:w="2551" w:type="dxa"/>
            <w:vAlign w:val="center"/>
          </w:tcPr>
          <w:p>
            <w:pPr>
              <w:pStyle w:val="13"/>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2070101</w:t>
            </w:r>
          </w:p>
        </w:tc>
        <w:tc>
          <w:tcPr>
            <w:tcW w:w="4535" w:type="dxa"/>
            <w:vAlign w:val="center"/>
          </w:tcPr>
          <w:p>
            <w:pPr>
              <w:pStyle w:val="14"/>
            </w:pPr>
            <w:r>
              <w:t>行政运行</w:t>
            </w:r>
          </w:p>
        </w:tc>
        <w:tc>
          <w:tcPr>
            <w:tcW w:w="2551" w:type="dxa"/>
            <w:vAlign w:val="center"/>
          </w:tcPr>
          <w:p>
            <w:pPr>
              <w:pStyle w:val="13"/>
            </w:pPr>
            <w:r>
              <w:t>395.10</w:t>
            </w:r>
          </w:p>
        </w:tc>
        <w:tc>
          <w:tcPr>
            <w:tcW w:w="2551" w:type="dxa"/>
            <w:vAlign w:val="center"/>
          </w:tcPr>
          <w:p>
            <w:pPr>
              <w:pStyle w:val="13"/>
            </w:pPr>
            <w:r>
              <w:t>395.10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2070114</w:t>
            </w:r>
          </w:p>
        </w:tc>
        <w:tc>
          <w:tcPr>
            <w:tcW w:w="4535" w:type="dxa"/>
            <w:vAlign w:val="center"/>
          </w:tcPr>
          <w:p>
            <w:pPr>
              <w:pStyle w:val="14"/>
            </w:pPr>
            <w:r>
              <w:t>文化和旅游管理事务</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2070199</w:t>
            </w:r>
          </w:p>
        </w:tc>
        <w:tc>
          <w:tcPr>
            <w:tcW w:w="4535" w:type="dxa"/>
            <w:vAlign w:val="center"/>
          </w:tcPr>
          <w:p>
            <w:pPr>
              <w:pStyle w:val="14"/>
            </w:pPr>
            <w:r>
              <w:t>其他文化和旅游支出</w:t>
            </w:r>
          </w:p>
        </w:tc>
        <w:tc>
          <w:tcPr>
            <w:tcW w:w="2551" w:type="dxa"/>
            <w:vAlign w:val="center"/>
          </w:tcPr>
          <w:p>
            <w:pPr>
              <w:pStyle w:val="13"/>
            </w:pPr>
            <w:r>
              <w:t>216.00</w:t>
            </w:r>
          </w:p>
        </w:tc>
        <w:tc>
          <w:tcPr>
            <w:tcW w:w="2551" w:type="dxa"/>
            <w:vAlign w:val="center"/>
          </w:tcPr>
          <w:p>
            <w:pPr>
              <w:pStyle w:val="13"/>
            </w:pPr>
          </w:p>
        </w:tc>
        <w:tc>
          <w:tcPr>
            <w:tcW w:w="2551" w:type="dxa"/>
            <w:vAlign w:val="center"/>
          </w:tcPr>
          <w:p>
            <w:pPr>
              <w:pStyle w:val="13"/>
            </w:pPr>
            <w:r>
              <w:t>216.00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52.05</w:t>
            </w:r>
          </w:p>
        </w:tc>
        <w:tc>
          <w:tcPr>
            <w:tcW w:w="2551" w:type="dxa"/>
            <w:vAlign w:val="center"/>
          </w:tcPr>
          <w:p>
            <w:pPr>
              <w:pStyle w:val="13"/>
            </w:pPr>
            <w:r>
              <w:t>52.05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52.05</w:t>
            </w:r>
          </w:p>
        </w:tc>
        <w:tc>
          <w:tcPr>
            <w:tcW w:w="2551" w:type="dxa"/>
            <w:vAlign w:val="center"/>
          </w:tcPr>
          <w:p>
            <w:pPr>
              <w:pStyle w:val="13"/>
            </w:pPr>
            <w:r>
              <w:t>52.05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50.88</w:t>
            </w:r>
          </w:p>
        </w:tc>
        <w:tc>
          <w:tcPr>
            <w:tcW w:w="2551" w:type="dxa"/>
            <w:vAlign w:val="center"/>
          </w:tcPr>
          <w:p>
            <w:pPr>
              <w:pStyle w:val="13"/>
            </w:pPr>
            <w:r>
              <w:t>50.88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1.16</w:t>
            </w:r>
          </w:p>
        </w:tc>
        <w:tc>
          <w:tcPr>
            <w:tcW w:w="2551" w:type="dxa"/>
            <w:vAlign w:val="center"/>
          </w:tcPr>
          <w:p>
            <w:pPr>
              <w:pStyle w:val="13"/>
            </w:pPr>
            <w:r>
              <w:t>1.16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43.00</w:t>
            </w:r>
          </w:p>
        </w:tc>
        <w:tc>
          <w:tcPr>
            <w:tcW w:w="2551" w:type="dxa"/>
            <w:vAlign w:val="center"/>
          </w:tcPr>
          <w:p>
            <w:pPr>
              <w:pStyle w:val="13"/>
            </w:pPr>
            <w:r>
              <w:t>43.00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43.00</w:t>
            </w:r>
          </w:p>
        </w:tc>
        <w:tc>
          <w:tcPr>
            <w:tcW w:w="2551" w:type="dxa"/>
            <w:vAlign w:val="center"/>
          </w:tcPr>
          <w:p>
            <w:pPr>
              <w:pStyle w:val="13"/>
            </w:pPr>
            <w:r>
              <w:t>43.00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43.00</w:t>
            </w:r>
          </w:p>
        </w:tc>
        <w:tc>
          <w:tcPr>
            <w:tcW w:w="2551" w:type="dxa"/>
            <w:vAlign w:val="center"/>
          </w:tcPr>
          <w:p>
            <w:pPr>
              <w:pStyle w:val="13"/>
            </w:pPr>
            <w:r>
              <w:t>43.00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40.38</w:t>
            </w:r>
          </w:p>
        </w:tc>
        <w:tc>
          <w:tcPr>
            <w:tcW w:w="2551" w:type="dxa"/>
            <w:vAlign w:val="center"/>
          </w:tcPr>
          <w:p>
            <w:pPr>
              <w:pStyle w:val="13"/>
            </w:pPr>
            <w:r>
              <w:t>40.38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40.38</w:t>
            </w:r>
          </w:p>
        </w:tc>
        <w:tc>
          <w:tcPr>
            <w:tcW w:w="2551" w:type="dxa"/>
            <w:vAlign w:val="center"/>
          </w:tcPr>
          <w:p>
            <w:pPr>
              <w:pStyle w:val="13"/>
            </w:pPr>
            <w:r>
              <w:t>40.38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40.38</w:t>
            </w:r>
          </w:p>
        </w:tc>
        <w:tc>
          <w:tcPr>
            <w:tcW w:w="2551" w:type="dxa"/>
            <w:vAlign w:val="center"/>
          </w:tcPr>
          <w:p>
            <w:pPr>
              <w:pStyle w:val="13"/>
            </w:pPr>
            <w:r>
              <w:t>40.38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334秦皇岛北戴河新区旅游发展局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530.53</w:t>
            </w:r>
          </w:p>
        </w:tc>
        <w:tc>
          <w:tcPr>
            <w:tcW w:w="2551" w:type="dxa"/>
            <w:vAlign w:val="center"/>
          </w:tcPr>
          <w:p>
            <w:pPr>
              <w:pStyle w:val="17"/>
            </w:pPr>
            <w:r>
              <w:t>497.55</w:t>
            </w:r>
          </w:p>
        </w:tc>
        <w:tc>
          <w:tcPr>
            <w:tcW w:w="2551" w:type="dxa"/>
            <w:vAlign w:val="center"/>
          </w:tcPr>
          <w:p>
            <w:pPr>
              <w:pStyle w:val="17"/>
            </w:pPr>
            <w:r>
              <w:t>32.98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497.53</w:t>
            </w:r>
          </w:p>
        </w:tc>
        <w:tc>
          <w:tcPr>
            <w:tcW w:w="2551" w:type="dxa"/>
            <w:vAlign w:val="center"/>
          </w:tcPr>
          <w:p>
            <w:pPr>
              <w:pStyle w:val="13"/>
            </w:pPr>
            <w:r>
              <w:t>497.53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95.12</w:t>
            </w:r>
          </w:p>
        </w:tc>
        <w:tc>
          <w:tcPr>
            <w:tcW w:w="2551" w:type="dxa"/>
            <w:vAlign w:val="center"/>
          </w:tcPr>
          <w:p>
            <w:pPr>
              <w:pStyle w:val="13"/>
            </w:pPr>
            <w:r>
              <w:t>95.12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39.41</w:t>
            </w:r>
          </w:p>
        </w:tc>
        <w:tc>
          <w:tcPr>
            <w:tcW w:w="2551" w:type="dxa"/>
            <w:vAlign w:val="center"/>
          </w:tcPr>
          <w:p>
            <w:pPr>
              <w:pStyle w:val="13"/>
            </w:pPr>
            <w:r>
              <w:t>39.41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57.32</w:t>
            </w:r>
          </w:p>
        </w:tc>
        <w:tc>
          <w:tcPr>
            <w:tcW w:w="2551" w:type="dxa"/>
            <w:vAlign w:val="center"/>
          </w:tcPr>
          <w:p>
            <w:pPr>
              <w:pStyle w:val="13"/>
            </w:pPr>
            <w:r>
              <w:t>57.32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166.71</w:t>
            </w:r>
          </w:p>
        </w:tc>
        <w:tc>
          <w:tcPr>
            <w:tcW w:w="2551" w:type="dxa"/>
            <w:vAlign w:val="center"/>
          </w:tcPr>
          <w:p>
            <w:pPr>
              <w:pStyle w:val="13"/>
            </w:pPr>
            <w:r>
              <w:t>166.71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50.88</w:t>
            </w:r>
          </w:p>
        </w:tc>
        <w:tc>
          <w:tcPr>
            <w:tcW w:w="2551" w:type="dxa"/>
            <w:vAlign w:val="center"/>
          </w:tcPr>
          <w:p>
            <w:pPr>
              <w:pStyle w:val="13"/>
            </w:pPr>
            <w:r>
              <w:t>50.88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1.16</w:t>
            </w:r>
          </w:p>
        </w:tc>
        <w:tc>
          <w:tcPr>
            <w:tcW w:w="2551" w:type="dxa"/>
            <w:vAlign w:val="center"/>
          </w:tcPr>
          <w:p>
            <w:pPr>
              <w:pStyle w:val="13"/>
            </w:pPr>
            <w:r>
              <w:t>1.16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43.00</w:t>
            </w:r>
          </w:p>
        </w:tc>
        <w:tc>
          <w:tcPr>
            <w:tcW w:w="2551" w:type="dxa"/>
            <w:vAlign w:val="center"/>
          </w:tcPr>
          <w:p>
            <w:pPr>
              <w:pStyle w:val="13"/>
            </w:pPr>
            <w:r>
              <w:t>43.00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3.53</w:t>
            </w:r>
          </w:p>
        </w:tc>
        <w:tc>
          <w:tcPr>
            <w:tcW w:w="2551" w:type="dxa"/>
            <w:vAlign w:val="center"/>
          </w:tcPr>
          <w:p>
            <w:pPr>
              <w:pStyle w:val="13"/>
            </w:pPr>
            <w:r>
              <w:t>3.53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40.38</w:t>
            </w:r>
          </w:p>
        </w:tc>
        <w:tc>
          <w:tcPr>
            <w:tcW w:w="2551" w:type="dxa"/>
            <w:vAlign w:val="center"/>
          </w:tcPr>
          <w:p>
            <w:pPr>
              <w:pStyle w:val="13"/>
            </w:pPr>
            <w:r>
              <w:t>40.38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31.90</w:t>
            </w:r>
          </w:p>
        </w:tc>
        <w:tc>
          <w:tcPr>
            <w:tcW w:w="2551" w:type="dxa"/>
            <w:vAlign w:val="center"/>
          </w:tcPr>
          <w:p>
            <w:pPr>
              <w:pStyle w:val="13"/>
            </w:pPr>
          </w:p>
        </w:tc>
        <w:tc>
          <w:tcPr>
            <w:tcW w:w="2551" w:type="dxa"/>
            <w:vAlign w:val="center"/>
          </w:tcPr>
          <w:p>
            <w:pPr>
              <w:pStyle w:val="13"/>
            </w:pPr>
            <w:r>
              <w:t>31.90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8.10</w:t>
            </w:r>
          </w:p>
        </w:tc>
        <w:tc>
          <w:tcPr>
            <w:tcW w:w="2551" w:type="dxa"/>
            <w:vAlign w:val="center"/>
          </w:tcPr>
          <w:p>
            <w:pPr>
              <w:pStyle w:val="13"/>
            </w:pPr>
          </w:p>
        </w:tc>
        <w:tc>
          <w:tcPr>
            <w:tcW w:w="2551" w:type="dxa"/>
            <w:vAlign w:val="center"/>
          </w:tcPr>
          <w:p>
            <w:pPr>
              <w:pStyle w:val="13"/>
            </w:pPr>
            <w: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1.08</w:t>
            </w:r>
          </w:p>
        </w:tc>
        <w:tc>
          <w:tcPr>
            <w:tcW w:w="2551" w:type="dxa"/>
            <w:vAlign w:val="center"/>
          </w:tcPr>
          <w:p>
            <w:pPr>
              <w:pStyle w:val="13"/>
            </w:pPr>
          </w:p>
        </w:tc>
        <w:tc>
          <w:tcPr>
            <w:tcW w:w="2551" w:type="dxa"/>
            <w:vAlign w:val="center"/>
          </w:tcPr>
          <w:p>
            <w:pPr>
              <w:pStyle w:val="13"/>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4.32</w:t>
            </w:r>
          </w:p>
        </w:tc>
        <w:tc>
          <w:tcPr>
            <w:tcW w:w="2551" w:type="dxa"/>
            <w:vAlign w:val="center"/>
          </w:tcPr>
          <w:p>
            <w:pPr>
              <w:pStyle w:val="13"/>
            </w:pPr>
          </w:p>
        </w:tc>
        <w:tc>
          <w:tcPr>
            <w:tcW w:w="2551" w:type="dxa"/>
            <w:vAlign w:val="center"/>
          </w:tcPr>
          <w:p>
            <w:pPr>
              <w:pStyle w:val="13"/>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2.40</w:t>
            </w:r>
          </w:p>
        </w:tc>
        <w:tc>
          <w:tcPr>
            <w:tcW w:w="2551" w:type="dxa"/>
            <w:vAlign w:val="center"/>
          </w:tcPr>
          <w:p>
            <w:pPr>
              <w:pStyle w:val="13"/>
            </w:pPr>
          </w:p>
        </w:tc>
        <w:tc>
          <w:tcPr>
            <w:tcW w:w="2551" w:type="dxa"/>
            <w:vAlign w:val="center"/>
          </w:tcPr>
          <w:p>
            <w:pPr>
              <w:pStyle w:val="13"/>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2.93</w:t>
            </w:r>
          </w:p>
        </w:tc>
        <w:tc>
          <w:tcPr>
            <w:tcW w:w="2551" w:type="dxa"/>
            <w:vAlign w:val="center"/>
          </w:tcPr>
          <w:p>
            <w:pPr>
              <w:pStyle w:val="13"/>
            </w:pPr>
          </w:p>
        </w:tc>
        <w:tc>
          <w:tcPr>
            <w:tcW w:w="2551" w:type="dxa"/>
            <w:vAlign w:val="center"/>
          </w:tcPr>
          <w:p>
            <w:pPr>
              <w:pStyle w:val="13"/>
            </w:pPr>
            <w:r>
              <w:t>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0.34</w:t>
            </w:r>
          </w:p>
        </w:tc>
        <w:tc>
          <w:tcPr>
            <w:tcW w:w="2551" w:type="dxa"/>
            <w:vAlign w:val="center"/>
          </w:tcPr>
          <w:p>
            <w:pPr>
              <w:pStyle w:val="13"/>
            </w:pPr>
          </w:p>
        </w:tc>
        <w:tc>
          <w:tcPr>
            <w:tcW w:w="2551" w:type="dxa"/>
            <w:vAlign w:val="center"/>
          </w:tcPr>
          <w:p>
            <w:pPr>
              <w:pStyle w:val="13"/>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3.91</w:t>
            </w:r>
          </w:p>
        </w:tc>
        <w:tc>
          <w:tcPr>
            <w:tcW w:w="2551" w:type="dxa"/>
            <w:vAlign w:val="center"/>
          </w:tcPr>
          <w:p>
            <w:pPr>
              <w:pStyle w:val="13"/>
            </w:pPr>
          </w:p>
        </w:tc>
        <w:tc>
          <w:tcPr>
            <w:tcW w:w="2551" w:type="dxa"/>
            <w:vAlign w:val="center"/>
          </w:tcPr>
          <w:p>
            <w:pPr>
              <w:pStyle w:val="13"/>
            </w:pPr>
            <w:r>
              <w:t>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2.92</w:t>
            </w:r>
          </w:p>
        </w:tc>
        <w:tc>
          <w:tcPr>
            <w:tcW w:w="2551" w:type="dxa"/>
            <w:vAlign w:val="center"/>
          </w:tcPr>
          <w:p>
            <w:pPr>
              <w:pStyle w:val="13"/>
            </w:pPr>
          </w:p>
        </w:tc>
        <w:tc>
          <w:tcPr>
            <w:tcW w:w="2551" w:type="dxa"/>
            <w:vAlign w:val="center"/>
          </w:tcPr>
          <w:p>
            <w:pPr>
              <w:pStyle w:val="13"/>
            </w:pPr>
            <w:r>
              <w:t>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2.30</w:t>
            </w:r>
          </w:p>
        </w:tc>
        <w:tc>
          <w:tcPr>
            <w:tcW w:w="2551" w:type="dxa"/>
            <w:vAlign w:val="center"/>
          </w:tcPr>
          <w:p>
            <w:pPr>
              <w:pStyle w:val="13"/>
            </w:pPr>
          </w:p>
        </w:tc>
        <w:tc>
          <w:tcPr>
            <w:tcW w:w="2551" w:type="dxa"/>
            <w:vAlign w:val="center"/>
          </w:tcPr>
          <w:p>
            <w:pPr>
              <w:pStyle w:val="13"/>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0.02</w:t>
            </w:r>
          </w:p>
        </w:tc>
        <w:tc>
          <w:tcPr>
            <w:tcW w:w="2551" w:type="dxa"/>
            <w:vAlign w:val="center"/>
          </w:tcPr>
          <w:p>
            <w:pPr>
              <w:pStyle w:val="13"/>
            </w:pPr>
            <w:r>
              <w:t>0.02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0.02</w:t>
            </w:r>
          </w:p>
        </w:tc>
        <w:tc>
          <w:tcPr>
            <w:tcW w:w="2551" w:type="dxa"/>
            <w:vAlign w:val="center"/>
          </w:tcPr>
          <w:p>
            <w:pPr>
              <w:pStyle w:val="13"/>
            </w:pPr>
            <w:r>
              <w:t>0.02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1.08</w:t>
            </w:r>
          </w:p>
        </w:tc>
        <w:tc>
          <w:tcPr>
            <w:tcW w:w="2551" w:type="dxa"/>
            <w:vAlign w:val="center"/>
          </w:tcPr>
          <w:p>
            <w:pPr>
              <w:pStyle w:val="13"/>
            </w:pPr>
          </w:p>
        </w:tc>
        <w:tc>
          <w:tcPr>
            <w:tcW w:w="2551" w:type="dxa"/>
            <w:vAlign w:val="center"/>
          </w:tcPr>
          <w:p>
            <w:pPr>
              <w:pStyle w:val="13"/>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1.08</w:t>
            </w:r>
          </w:p>
        </w:tc>
        <w:tc>
          <w:tcPr>
            <w:tcW w:w="2551" w:type="dxa"/>
            <w:vAlign w:val="center"/>
          </w:tcPr>
          <w:p>
            <w:pPr>
              <w:pStyle w:val="13"/>
            </w:pPr>
          </w:p>
        </w:tc>
        <w:tc>
          <w:tcPr>
            <w:tcW w:w="2551" w:type="dxa"/>
            <w:vAlign w:val="center"/>
          </w:tcPr>
          <w:p>
            <w:pPr>
              <w:pStyle w:val="13"/>
            </w:pPr>
            <w:r>
              <w:t>1.08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334秦皇岛北戴河新区旅游发展局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334秦皇岛北戴河新区旅游发展局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334秦皇岛北戴河新区旅游发展局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pPr>
            <w:r>
              <w:t>2.64</w:t>
            </w:r>
          </w:p>
        </w:tc>
        <w:tc>
          <w:tcPr>
            <w:tcW w:w="1643" w:type="dxa"/>
            <w:vAlign w:val="center"/>
          </w:tcPr>
          <w:p>
            <w:pPr>
              <w:pStyle w:val="17"/>
            </w:pPr>
            <w:r>
              <w:t>2.64</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2.64</w:t>
            </w:r>
          </w:p>
        </w:tc>
        <w:tc>
          <w:tcPr>
            <w:tcW w:w="1643" w:type="dxa"/>
            <w:vAlign w:val="center"/>
          </w:tcPr>
          <w:p>
            <w:pPr>
              <w:pStyle w:val="13"/>
            </w:pPr>
            <w:r>
              <w:t>2.64</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2.30</w:t>
            </w:r>
          </w:p>
        </w:tc>
        <w:tc>
          <w:tcPr>
            <w:tcW w:w="1643" w:type="dxa"/>
            <w:vAlign w:val="center"/>
          </w:tcPr>
          <w:p>
            <w:pPr>
              <w:pStyle w:val="13"/>
            </w:pPr>
            <w:r>
              <w:t>2.30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2.30</w:t>
            </w:r>
          </w:p>
        </w:tc>
        <w:tc>
          <w:tcPr>
            <w:tcW w:w="1643" w:type="dxa"/>
            <w:vAlign w:val="center"/>
          </w:tcPr>
          <w:p>
            <w:pPr>
              <w:pStyle w:val="13"/>
            </w:pPr>
            <w:r>
              <w:t>2.30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r>
              <w:t>0.34</w:t>
            </w:r>
          </w:p>
        </w:tc>
        <w:tc>
          <w:tcPr>
            <w:tcW w:w="1643" w:type="dxa"/>
            <w:vAlign w:val="center"/>
          </w:tcPr>
          <w:p>
            <w:pPr>
              <w:pStyle w:val="13"/>
            </w:pPr>
            <w:r>
              <w:t>0.34</w:t>
            </w:r>
          </w:p>
        </w:tc>
        <w:tc>
          <w:tcPr>
            <w:tcW w:w="1643" w:type="dxa"/>
            <w:vAlign w:val="center"/>
          </w:tcPr>
          <w:p>
            <w:pPr>
              <w:pStyle w:val="13"/>
            </w:pPr>
          </w:p>
        </w:tc>
        <w:tc>
          <w:tcPr>
            <w:tcW w:w="1643"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秦皇岛北戴河新区旅游发展局2022年部门预算信息公开情况说明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秦皇岛北戴河新区旅游发展局2022年部门预算信息公开情况说明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按照《预算法》、《地方预决算公开操作规程》和《关于进一步推进预算公开工作的实施意见》规定，现将秦皇岛北戴河新区旅游发展局2022年部门预算公开如下：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第一条 根据《中共秦皇岛北戴河新区工作委员会办公室、秦皇岛北戴河新区管理委员会办公室关于印发&lt;秦皇岛北戴河新区机构改革总体方案&gt;的通知》（秦北新字[2016]3号）和《北戴河新区第1次编委会议纪要》（秦北新编纪﹝2019﹞1号）制定本规定。</w:t>
      </w:r>
    </w:p>
    <w:p>
      <w:pPr>
        <w:pStyle w:val="19"/>
      </w:pPr>
      <w:r>
        <w:t>第二条 秦皇岛北戴河新区旅游文化体育广电局（简称新区旅游文体广局）为新区政府工作部门，机构规格副处级。</w:t>
      </w:r>
    </w:p>
    <w:p>
      <w:pPr>
        <w:pStyle w:val="19"/>
      </w:pPr>
      <w:r>
        <w:t>第三条 贯彻落实党中央和省、市委关于旅游、文化、广播电视、文物和体育工作的方针政策和决策部署，坚持和加强党对旅游、文化、广播电视、文物和体育工作的集中统一领导。主要职责是：</w:t>
      </w:r>
    </w:p>
    <w:p>
      <w:pPr>
        <w:pStyle w:val="19"/>
      </w:pPr>
      <w:r>
        <w:t xml:space="preserve">（一）负责贯彻执行党、国家、省、市有关旅游、文化、广播电视、文物和体育工作方针政策和法律法规；编制并组织实施全区旅游、文化、广播电视、文物、体育产业发展中长期规划、专项规划、年度计划。 </w:t>
      </w:r>
    </w:p>
    <w:p>
      <w:pPr>
        <w:pStyle w:val="19"/>
      </w:pPr>
      <w:r>
        <w:t>（二）管理全区性重大文化活动。指导全区重点旅游和文化设施建设，促进文化产业和旅游产业对外合作与交流，指导推进全区全域旅游示范区、旅游度假区创建工作。</w:t>
      </w:r>
    </w:p>
    <w:p>
      <w:pPr>
        <w:pStyle w:val="19"/>
      </w:pPr>
      <w:r>
        <w:t>（三）负责全区旅游和文化公共服务体系的建设和管理；负责旅游项目日常管理；负责旅游专项资金的申报、审批。</w:t>
      </w:r>
    </w:p>
    <w:p>
      <w:pPr>
        <w:pStyle w:val="19"/>
      </w:pPr>
      <w:r>
        <w:t>（四）指导、管理全区文艺事业。指导艺术创作生产，扶持体现社会主义核心价值观、具有导向性代表性示范性的文艺作品，推动全区各门类艺术、各艺术品种发展。</w:t>
      </w:r>
    </w:p>
    <w:p>
      <w:pPr>
        <w:pStyle w:val="19"/>
      </w:pPr>
      <w:r>
        <w:t>（五）推进全区旅游、文化、广播电视、文物科技创新发展，推进文化和旅游行业信息化、标准化建设。</w:t>
      </w:r>
    </w:p>
    <w:p>
      <w:pPr>
        <w:pStyle w:val="19"/>
      </w:pPr>
      <w:r>
        <w:t>（六）规划全区旅游产业、文化产业和广播电视产业。推动旅游、文化资源普查、挖掘、保护和利用工作，促进旅游产业和文化产业发展。</w:t>
      </w:r>
    </w:p>
    <w:p>
      <w:pPr>
        <w:pStyle w:val="19"/>
      </w:pPr>
      <w:r>
        <w:t>（七）指导全区旅游和文化市场发展。根据授权集中行使旅游、文化、体育市场秩序监管，推进旅游和文化行业信用体系建设。</w:t>
      </w:r>
    </w:p>
    <w:p>
      <w:pPr>
        <w:pStyle w:val="19"/>
      </w:pPr>
      <w:r>
        <w:t>（八）贯彻落实全区旅游、文化、体育安全生产工作，负责旅游、文化、体育安全的综合协调与监督管理。</w:t>
      </w:r>
    </w:p>
    <w:p>
      <w:pPr>
        <w:pStyle w:val="19"/>
      </w:pPr>
      <w:r>
        <w:t>（九）引导旅游业投资，组织开展旅游招商引资工作。</w:t>
      </w:r>
    </w:p>
    <w:p>
      <w:pPr>
        <w:pStyle w:val="19"/>
      </w:pPr>
      <w:r>
        <w:t>（十）指导、管理全区文艺事业。指导艺术创作生产，扶持体现社会主义核心价值观、具有导向性代表性示范性的文艺作品，推动全区各门类艺术、各艺术品种发展。</w:t>
      </w:r>
    </w:p>
    <w:p>
      <w:pPr>
        <w:pStyle w:val="19"/>
      </w:pPr>
      <w:r>
        <w:t>（十一）负责推动非物质文化遗产的保护、传承、普及、弘扬和振兴。</w:t>
      </w:r>
    </w:p>
    <w:p>
      <w:pPr>
        <w:pStyle w:val="19"/>
      </w:pPr>
      <w:r>
        <w:t>（十二）负责全区广播电视管理工作。负责对辖区内各类广播电视机构进行业务指导和行业监管，指导和监管全区广播电视广告播放安全播出，指导全区电视剧行业发展和电视剧创作生产，组织实施全区广播电视公共服务公益工程和公益活动。</w:t>
      </w:r>
    </w:p>
    <w:p>
      <w:pPr>
        <w:pStyle w:val="19"/>
      </w:pPr>
      <w:r>
        <w:t>（十三）指导、监督和协调全区各部门、行业、社会团体积极开展体育活动，推进体育社会化和全民健身活动的开展。</w:t>
      </w:r>
    </w:p>
    <w:p>
      <w:pPr>
        <w:pStyle w:val="19"/>
      </w:pPr>
      <w:r>
        <w:t>（十四）统一规划全区运动项目的布局，研究和指导全区业余训练工作。</w:t>
      </w:r>
    </w:p>
    <w:p>
      <w:pPr>
        <w:pStyle w:val="19"/>
      </w:pPr>
      <w:r>
        <w:t>（十五）负责在新区举办的国内、省和市体育比赛的组织管理及统筹工作，指导、协调、监督全区性的体育竞赛工作。</w:t>
      </w:r>
    </w:p>
    <w:p>
      <w:pPr>
        <w:pStyle w:val="19"/>
      </w:pPr>
      <w:r>
        <w:t>（十六）负责北戴河游客服务中心建设和运营管理；负责北戴河游客服务中心入驻单位的综合协调、管理及后勤保障工作。</w:t>
      </w:r>
    </w:p>
    <w:p>
      <w:pPr>
        <w:pStyle w:val="19"/>
      </w:pPr>
      <w:r>
        <w:t>（十七）负责游客咨询、投诉、举报、求助等诉求的受理、处理、移交、督办、反馈工作。</w:t>
      </w:r>
    </w:p>
    <w:p>
      <w:pPr>
        <w:pStyle w:val="19"/>
      </w:pPr>
      <w:r>
        <w:t>（十八）新区党工委、管委会交办的其他事项。</w:t>
      </w:r>
    </w:p>
    <w:p>
      <w:pPr>
        <w:pStyle w:val="19"/>
      </w:pPr>
      <w:r>
        <w:t>第四条 新区旅游文体广局设下列内设机构</w:t>
      </w:r>
    </w:p>
    <w:p>
      <w:pPr>
        <w:pStyle w:val="19"/>
      </w:pPr>
      <w:r>
        <w:t>（一）综合科。负责机关日常运转工作。负责机关文电、会务、机要、档案等工作。负责财务、人事、劳资、印章管理等工作。负责机关党务和廉政工作。负责承担机关督查督办、信息、宣传、安全保密、政务公开、来信来访、综合协调、车辆管理等工作。</w:t>
      </w:r>
    </w:p>
    <w:p>
      <w:pPr>
        <w:pStyle w:val="19"/>
      </w:pPr>
      <w:r>
        <w:t>（二）旅游文化促进科。</w:t>
      </w:r>
    </w:p>
    <w:p>
      <w:pPr>
        <w:pStyle w:val="19"/>
      </w:pPr>
      <w:r>
        <w:t>1.负责贯彻执行国家、省、市有关旅游文化发展战略、方针政策；拟定全区旅游文化发展战略，编制并组织实施全区旅游文化产业发展中长期规划、专项规划、年度计划；负责指导旅游景区、旅游文化小镇等的规划编制；指导、促进旅游产业和文化产业相关门类及新型业态发展。</w:t>
      </w:r>
    </w:p>
    <w:p>
      <w:pPr>
        <w:pStyle w:val="19"/>
      </w:pPr>
      <w:r>
        <w:t>2.组织开展旅游和文化资源普查、规划、开发和保护。统筹推进旅游“六要素”协调发展。推广旅游文化行业标准化建设，指导推进全区全域旅游示范区、旅游度假区创建工作。负责引导促进旅游文化产业投融资、招商引资，协调推进旅游文化产业项目建设和运营及负责项目日常管理。</w:t>
      </w:r>
    </w:p>
    <w:p>
      <w:pPr>
        <w:pStyle w:val="19"/>
      </w:pPr>
      <w:r>
        <w:t>3.负责全区对外及港澳台交流合作工作，负责拟定全区文化和旅游品牌宣传推广规划，制定品牌战略并组织实施；负责组织、管理全区文化和旅游对外及港澳台交流、合作和推广；负责建立完善旅游市场营销体系，组织开展国（境）内外旅游市场开发、宣传、推广、营销及交流与合作活动；负责全区旅游线路、产品的规划，策划组织旅游文化节庆活动、会展活动和专题活动；负责全区旅游市场区域合作、区域旅游品牌打造培育和宣传推广工作，协调组织假日旅游、乡村旅游等工作。</w:t>
      </w:r>
    </w:p>
    <w:p>
      <w:pPr>
        <w:pStyle w:val="19"/>
      </w:pPr>
      <w:r>
        <w:t>4.负责统筹协调与各级各媒体的对接和联络工作，承担全区文化和旅游形象及推广活动的媒体宣传推广工作。负责建立区级文化和旅游宣传推介体系。承担对外宣传网站及新媒体平台的建设和管理工作。负责组织协调旅游文化系统新闻发布、重大主题宣传活动，管理微信公众号及相关网络宣传等；负责全区文化和旅游产品创新及开发体系建设。</w:t>
      </w:r>
    </w:p>
    <w:p>
      <w:pPr>
        <w:pStyle w:val="19"/>
      </w:pPr>
      <w:r>
        <w:t>5.负责贯彻执行相关法律、法规；承担旅游政策研究，向行业提供政策咨询服务，承担旅游文化行业规范性文件起草并组织实施；负责A级景区、星级饭店、旅行社的日常管理工作；拟定旅游行业人才培养规划、旅游行业人员培训计划并组织实施，指导旅游协会和旅游专业机构的相关业务工作；指导服务质量提升。</w:t>
      </w:r>
    </w:p>
    <w:p>
      <w:pPr>
        <w:pStyle w:val="19"/>
      </w:pPr>
      <w:r>
        <w:t>6.负责协调推进全区旅游标识体系建设、旅游厕所革命工作。</w:t>
      </w:r>
    </w:p>
    <w:p>
      <w:pPr>
        <w:pStyle w:val="19"/>
      </w:pPr>
      <w:r>
        <w:t>（三）公共服务科（文物艺术非遗科）</w:t>
      </w:r>
    </w:p>
    <w:p>
      <w:pPr>
        <w:pStyle w:val="19"/>
      </w:pPr>
      <w:r>
        <w:t>1.拟定全区文化和旅游公共服务发展规划和公共服务政策并组织实施；承担全区文化和旅游公共服务的指导、协调和推动工作；协调推进文化和旅游公共设施建设；拟定文化和旅游公共服务标准并监督实施；拟定全区文化和旅游公共服务惠民便民政策并组织实施；负责指导、推动全区基层群众文化活动和群众文艺创作，组织实施全区性群众文化活动；负责指导全区基层文化队伍培训和群众业余文艺骨干培养工作；负责全区公共文化服务体系示范区建设工作；指导文化馆、图书馆事业和基层文化站建设；指导公共数字文化和古籍保护工作。</w:t>
      </w:r>
    </w:p>
    <w:p>
      <w:pPr>
        <w:pStyle w:val="19"/>
      </w:pPr>
      <w:r>
        <w:t>2.负责拟定全区文物保护政策和发展规划并组织实施。负责全区文物资源资产普查、登记、评估工作。管理和指导全区考古、文物修缮工作。推动完善全区文物和博物馆公共服务体系建设，指导业务工作。</w:t>
      </w:r>
    </w:p>
    <w:p>
      <w:pPr>
        <w:pStyle w:val="19"/>
      </w:pPr>
      <w:r>
        <w:t>3.拟订音乐、舞蹈、戏曲、戏剧、美术等文艺事业发展规划和扶持政策并组织实施。扶持体现社会主义核心价值观，具有导向性、代表性、示范性的文艺作品创作和生产；推动全区各门类艺术、各艺术品种发展。指导、协调艺术展演、展览旅游演艺及重大文艺活动。拟订文艺人才队伍建设规划并组织实施。</w:t>
      </w:r>
    </w:p>
    <w:p>
      <w:pPr>
        <w:pStyle w:val="19"/>
      </w:pPr>
      <w:r>
        <w:t>4.拟定全区非物质文化遗产保护政策和规划并组织实施。组织开展非物质文化遗产保护工作。负责推动非物质文化遗产的挖掘、整理、传承、普及、弘扬和振兴工作。</w:t>
      </w:r>
    </w:p>
    <w:p>
      <w:pPr>
        <w:pStyle w:val="19"/>
      </w:pPr>
      <w:r>
        <w:t>5.负责落实分管领域的党风廉政建设主体责任和安全生产监管职责。</w:t>
      </w:r>
    </w:p>
    <w:p>
      <w:pPr>
        <w:pStyle w:val="19"/>
      </w:pPr>
      <w:r>
        <w:t>（四）文化市场综合行政执法大队（游客中心办公室和广电科）</w:t>
      </w:r>
    </w:p>
    <w:p>
      <w:pPr>
        <w:pStyle w:val="19"/>
      </w:pPr>
      <w:r>
        <w:t>1.对全区旅游和文化市场经营进行行业监管。监督落实上级文化和旅游经营场所、设施、服务、产业标准。承担全区文化和旅游行业信用体系建设与监管。承担假日旅游文化市场、旅游文化安全综合协调和监督管理。开展旅游文化安全生产宣传教育。</w:t>
      </w:r>
    </w:p>
    <w:p>
      <w:pPr>
        <w:pStyle w:val="19"/>
      </w:pPr>
      <w:r>
        <w:t>2.负责游客咨询、投诉、举报、求助等诉求的受理、处理、移交、督办、反馈工作；负责旅游文化行业舆情管理；负责全区旅游和文化市场扫黑除恶工作。</w:t>
      </w:r>
    </w:p>
    <w:p>
      <w:pPr>
        <w:pStyle w:val="19"/>
      </w:pPr>
      <w:r>
        <w:t>3.负责北戴河游客服务中心建设和运营管理的全面工作；负责北戴河新区游客中心体系建设；负责指导各景区游客中心规范化建设。</w:t>
      </w:r>
    </w:p>
    <w:p>
      <w:pPr>
        <w:pStyle w:val="19"/>
      </w:pPr>
      <w:r>
        <w:t>4.负责北戴河游客服务中心入驻单位的综合协调、管理及后勤保障工作。</w:t>
      </w:r>
    </w:p>
    <w:p>
      <w:pPr>
        <w:pStyle w:val="19"/>
      </w:pPr>
      <w:r>
        <w:t>5.负责应急指挥中心系统软硬件的管理维护、升级优化及运营管理；负责大数据中心、智慧旅游及旅游信息化公共服务系统软硬件的管理维护和升级优化；负责北戴河新区旅游大数据分析工作。</w:t>
      </w:r>
    </w:p>
    <w:p>
      <w:pPr>
        <w:pStyle w:val="19"/>
      </w:pPr>
      <w:r>
        <w:t>6.负责对全区各类广播电视机构进行业务指导和行业监管，负责对各类广播电视节目、网络视听节目、公共视听载体播放的视听节目和对广播电视广告播放进行监管。推进广播电视和新媒体新业态融合发展。协调调度全区广播电视安全播出。组织实施全区广播电视公共服务公益工程和公益活动。</w:t>
      </w:r>
    </w:p>
    <w:p>
      <w:pPr>
        <w:pStyle w:val="19"/>
      </w:pPr>
      <w:r>
        <w:t>（五）体育科</w:t>
      </w:r>
    </w:p>
    <w:p>
      <w:pPr>
        <w:pStyle w:val="19"/>
      </w:pPr>
      <w:r>
        <w:t>1.贯彻执行国家、省、市的有关体育工作的方针政策和法律法规；研究制定全区体育工作发展目标；编制全区体育事业的中长期发展规划和年度计划；指导全区体育工作，协调全区体育事业的发展。</w:t>
      </w:r>
    </w:p>
    <w:p>
      <w:pPr>
        <w:pStyle w:val="19"/>
      </w:pPr>
      <w:r>
        <w:t>2．指导、监督和协调全区各部门、行业、社会团体积极开展体育活动，推进体育社会化和全民健身活动的开展。</w:t>
      </w:r>
    </w:p>
    <w:p>
      <w:pPr>
        <w:pStyle w:val="19"/>
      </w:pPr>
      <w:r>
        <w:t>3.统一规划全区运动项目的布局，研究和指导全区业余训练工作；负责对全区各运动项目的指导和管理工作，组织各运动项目训练竞赛，促进运动发展。</w:t>
      </w:r>
    </w:p>
    <w:p>
      <w:pPr>
        <w:pStyle w:val="19"/>
      </w:pPr>
      <w:r>
        <w:t>4.负责在新区举办的国内、省和市体育比赛的组织管理及统筹工作，指导、协调、监督全区性的体育竞赛工作。</w:t>
      </w:r>
    </w:p>
    <w:p>
      <w:pPr>
        <w:pStyle w:val="19"/>
      </w:pPr>
      <w:r>
        <w:t>5.组织和指导体育科学研究和体育宣传工作，协同有关部门、加强体育教育，培训体育骨干和体育后备人才。</w:t>
      </w:r>
    </w:p>
    <w:p>
      <w:pPr>
        <w:pStyle w:val="19"/>
      </w:pPr>
      <w:r>
        <w:t>6.指导新区体育总会、各运动协会和体育协会等社团的工作。</w:t>
      </w:r>
    </w:p>
    <w:p>
      <w:pPr>
        <w:pStyle w:val="19"/>
      </w:pPr>
      <w:r>
        <w:t>7.做好体育建设项目的跟踪服务，加强体育对外合作交流，积极为体育产业项目引进创造条件。</w:t>
      </w:r>
    </w:p>
    <w:p>
      <w:pPr>
        <w:pStyle w:val="19"/>
      </w:pPr>
      <w:r>
        <w:t>8.根据授权集中行使体育市场秩序监管。</w:t>
      </w:r>
    </w:p>
    <w:p>
      <w:pPr>
        <w:pStyle w:val="19"/>
      </w:pPr>
      <w:r>
        <w:t>9.贯彻执行国家、省、市体育行业安全生产标准、规范和相关政策法规。负责结合体育工作的特点，开展安全生产宣传教育工作，督促各涉体育行业单位建立安全管理制度和应急预案，落实安全防范措施，消除事故隐患。</w:t>
      </w:r>
    </w:p>
    <w:p>
      <w:pPr>
        <w:pStyle w:val="19"/>
      </w:pPr>
      <w:r>
        <w:t>10.负责对体育行业监督检查，发现违法行为，在职责范围内依法依规进行处理，超出职责范围的及时报告政府或告知有关部门处理，并承担相应的管理责任。</w:t>
      </w:r>
    </w:p>
    <w:p>
      <w:pPr>
        <w:pStyle w:val="19"/>
      </w:pPr>
      <w:r>
        <w:t>11.负责落实分管领域的党风廉政建设主体责任和安全生产监管职责。</w:t>
      </w:r>
    </w:p>
    <w:p>
      <w:pPr>
        <w:pStyle w:val="19"/>
      </w:pPr>
      <w:r>
        <w:t>第五条 新区旅游文体广局岗位设置30名，其中部门领导1正2副，内设科室岗位正职5名，内设科室岗位副职6名。</w:t>
      </w:r>
    </w:p>
    <w:p>
      <w:pPr>
        <w:pStyle w:val="19"/>
      </w:pPr>
      <w:r>
        <w:t>第六条 本规定具体解释工作由新区编办承担，其调整由新区编办按规定程序办理。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秦皇岛北戴河新区旅游发展局本级</w:t>
            </w:r>
          </w:p>
        </w:tc>
        <w:tc>
          <w:tcPr>
            <w:tcW w:w="1843" w:type="dxa"/>
            <w:vAlign w:val="center"/>
          </w:tcPr>
          <w:p>
            <w:pPr>
              <w:pStyle w:val="15"/>
            </w:pPr>
            <w:r>
              <w:t>行政</w:t>
            </w:r>
          </w:p>
        </w:tc>
        <w:tc>
          <w:tcPr>
            <w:tcW w:w="2126" w:type="dxa"/>
            <w:vAlign w:val="center"/>
          </w:tcPr>
          <w:p>
            <w:pPr>
              <w:pStyle w:val="15"/>
            </w:pPr>
            <w:r>
              <w:t>副处（县）级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rPr>
          <w:rFonts w:hint="eastAsia"/>
        </w:rPr>
      </w:pPr>
      <w:r>
        <w:rPr>
          <w:rFonts w:hint="eastAsia"/>
        </w:rPr>
        <w:t>按照预算管理有关规定，目前我部门预算的编制实行综合预算管理，即全部收入和支出都反映在预算中。秦皇岛北戴河新区</w:t>
      </w:r>
      <w:r>
        <w:rPr>
          <w:rFonts w:hint="eastAsia"/>
          <w:lang w:eastAsia="zh-CN"/>
        </w:rPr>
        <w:t>旅游发展局</w:t>
      </w:r>
      <w:r>
        <w:rPr>
          <w:rFonts w:hint="eastAsia"/>
        </w:rPr>
        <w:t>机关及所属事业单位的收支包含在部门预算中。</w:t>
      </w:r>
    </w:p>
    <w:p>
      <w:pPr>
        <w:pStyle w:val="19"/>
        <w:rPr>
          <w:rFonts w:hint="default"/>
        </w:rPr>
      </w:pPr>
      <w:r>
        <w:rPr>
          <w:rFonts w:hint="eastAsia"/>
          <w:lang w:eastAsia="zh-CN"/>
        </w:rPr>
        <w:t>（</w:t>
      </w:r>
      <w:r>
        <w:rPr>
          <w:rFonts w:hint="eastAsia"/>
          <w:lang w:val="en-US" w:eastAsia="zh-CN"/>
        </w:rPr>
        <w:t>一</w:t>
      </w:r>
      <w:r>
        <w:rPr>
          <w:rFonts w:hint="eastAsia"/>
          <w:lang w:eastAsia="zh-CN"/>
        </w:rPr>
        <w:t>）</w:t>
      </w:r>
      <w:r>
        <w:rPr>
          <w:rFonts w:hint="default"/>
        </w:rPr>
        <w:t>收入说明</w:t>
      </w:r>
    </w:p>
    <w:p>
      <w:pPr>
        <w:ind w:firstLine="560" w:firstLineChars="200"/>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反映本</w:t>
      </w:r>
      <w:r>
        <w:rPr>
          <w:rFonts w:hint="eastAsia" w:eastAsia="方正仿宋_GBK" w:cs="Times New Roman"/>
          <w:sz w:val="28"/>
          <w:szCs w:val="24"/>
          <w:lang w:val="en-US" w:eastAsia="zh-CN" w:bidi="ar-SA"/>
        </w:rPr>
        <w:t>部门</w:t>
      </w:r>
      <w:r>
        <w:rPr>
          <w:rFonts w:hint="eastAsia" w:ascii="Times New Roman" w:hAnsi="Times New Roman" w:eastAsia="方正仿宋_GBK" w:cs="Times New Roman"/>
          <w:sz w:val="28"/>
          <w:szCs w:val="24"/>
          <w:lang w:val="en-US" w:eastAsia="zh-CN" w:bidi="ar-SA"/>
        </w:rPr>
        <w:t>当年全部收入。2022年</w:t>
      </w:r>
      <w:r>
        <w:rPr>
          <w:rFonts w:hint="default" w:ascii="Times New Roman" w:hAnsi="Times New Roman" w:eastAsia="方正仿宋_GBK" w:cs="Times New Roman"/>
          <w:sz w:val="28"/>
          <w:szCs w:val="24"/>
          <w:lang w:val="en-US" w:eastAsia="zh-CN" w:bidi="ar-SA"/>
        </w:rPr>
        <w:t>预算收入</w:t>
      </w:r>
      <w:r>
        <w:rPr>
          <w:rFonts w:hint="eastAsia" w:ascii="Times New Roman" w:hAnsi="Times New Roman" w:eastAsia="方正仿宋_GBK" w:cs="Times New Roman"/>
          <w:sz w:val="28"/>
          <w:szCs w:val="24"/>
          <w:lang w:val="en-US" w:eastAsia="zh-CN" w:bidi="ar-SA"/>
        </w:rPr>
        <w:t>755.53</w:t>
      </w:r>
      <w:r>
        <w:rPr>
          <w:rFonts w:hint="default" w:ascii="Times New Roman" w:hAnsi="Times New Roman" w:eastAsia="方正仿宋_GBK" w:cs="Times New Roman"/>
          <w:sz w:val="28"/>
          <w:szCs w:val="24"/>
          <w:lang w:val="en-US" w:eastAsia="zh-CN" w:bidi="ar-SA"/>
        </w:rPr>
        <w:t>万元，一般公共预算拨款</w:t>
      </w:r>
      <w:r>
        <w:rPr>
          <w:rFonts w:hint="eastAsia" w:ascii="Times New Roman" w:hAnsi="Times New Roman" w:eastAsia="方正仿宋_GBK" w:cs="Times New Roman"/>
          <w:sz w:val="28"/>
          <w:szCs w:val="24"/>
          <w:lang w:val="en-US" w:eastAsia="zh-CN" w:bidi="ar-SA"/>
        </w:rPr>
        <w:t>755.53</w:t>
      </w:r>
      <w:r>
        <w:rPr>
          <w:rFonts w:hint="default" w:ascii="Times New Roman" w:hAnsi="Times New Roman" w:eastAsia="方正仿宋_GBK" w:cs="Times New Roman"/>
          <w:sz w:val="28"/>
          <w:szCs w:val="24"/>
          <w:lang w:val="en-US" w:eastAsia="zh-CN" w:bidi="ar-SA"/>
        </w:rPr>
        <w:t>万元。</w:t>
      </w:r>
    </w:p>
    <w:p>
      <w:pPr>
        <w:pStyle w:val="19"/>
        <w:rPr>
          <w:rFonts w:hint="default"/>
        </w:rPr>
      </w:pPr>
      <w:r>
        <w:rPr>
          <w:rFonts w:hint="eastAsia"/>
          <w:lang w:eastAsia="zh-CN"/>
        </w:rPr>
        <w:t>（</w:t>
      </w:r>
      <w:r>
        <w:rPr>
          <w:rFonts w:hint="eastAsia"/>
          <w:lang w:val="en-US" w:eastAsia="zh-CN"/>
        </w:rPr>
        <w:t>二</w:t>
      </w:r>
      <w:r>
        <w:rPr>
          <w:rFonts w:hint="eastAsia"/>
          <w:lang w:eastAsia="zh-CN"/>
        </w:rPr>
        <w:t>）</w:t>
      </w:r>
      <w:r>
        <w:rPr>
          <w:rFonts w:hint="default"/>
        </w:rPr>
        <w:t>支出说明</w:t>
      </w:r>
    </w:p>
    <w:p>
      <w:pPr>
        <w:ind w:firstLine="560" w:firstLineChars="200"/>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收支预算总表支出栏、基本支出表、项目支出表按经济分类和支出功能分类科目编制，反映年度</w:t>
      </w:r>
      <w:r>
        <w:rPr>
          <w:rFonts w:hint="eastAsia" w:eastAsia="方正仿宋_GBK" w:cs="Times New Roman"/>
          <w:sz w:val="28"/>
          <w:szCs w:val="24"/>
          <w:lang w:val="en-US" w:eastAsia="zh-CN" w:bidi="ar-SA"/>
        </w:rPr>
        <w:t>部门</w:t>
      </w:r>
      <w:bookmarkStart w:id="18" w:name="_GoBack"/>
      <w:bookmarkEnd w:id="18"/>
      <w:r>
        <w:rPr>
          <w:rFonts w:hint="eastAsia" w:ascii="Times New Roman" w:hAnsi="Times New Roman" w:eastAsia="方正仿宋_GBK" w:cs="Times New Roman"/>
          <w:sz w:val="28"/>
          <w:szCs w:val="24"/>
          <w:lang w:val="en-US" w:eastAsia="zh-CN" w:bidi="ar-SA"/>
        </w:rPr>
        <w:t>预算中支出预算的总体情况。2022年</w:t>
      </w:r>
      <w:r>
        <w:rPr>
          <w:rFonts w:hint="default" w:ascii="Times New Roman" w:hAnsi="Times New Roman" w:eastAsia="方正仿宋_GBK" w:cs="Times New Roman"/>
          <w:sz w:val="28"/>
          <w:szCs w:val="24"/>
          <w:lang w:val="en-US" w:eastAsia="zh-CN" w:bidi="ar-SA"/>
        </w:rPr>
        <w:t>部门支出预算为</w:t>
      </w:r>
      <w:r>
        <w:rPr>
          <w:rFonts w:hint="eastAsia" w:ascii="Times New Roman" w:hAnsi="Times New Roman" w:eastAsia="方正仿宋_GBK" w:cs="Times New Roman"/>
          <w:sz w:val="28"/>
          <w:szCs w:val="24"/>
          <w:lang w:val="en-US" w:eastAsia="zh-CN" w:bidi="ar-SA"/>
        </w:rPr>
        <w:t>755.53</w:t>
      </w:r>
      <w:r>
        <w:rPr>
          <w:rFonts w:hint="default" w:ascii="Times New Roman" w:hAnsi="Times New Roman" w:eastAsia="方正仿宋_GBK" w:cs="Times New Roman"/>
          <w:sz w:val="28"/>
          <w:szCs w:val="24"/>
          <w:lang w:val="en-US" w:eastAsia="zh-CN" w:bidi="ar-SA"/>
        </w:rPr>
        <w:t>万元，其中基本支出</w:t>
      </w:r>
      <w:r>
        <w:rPr>
          <w:rFonts w:hint="eastAsia" w:ascii="Times New Roman" w:hAnsi="Times New Roman" w:eastAsia="方正仿宋_GBK" w:cs="Times New Roman"/>
          <w:sz w:val="28"/>
          <w:szCs w:val="24"/>
          <w:lang w:val="en-US" w:eastAsia="zh-CN" w:bidi="ar-SA"/>
        </w:rPr>
        <w:t>530.53</w:t>
      </w:r>
      <w:r>
        <w:rPr>
          <w:rFonts w:hint="default" w:ascii="Times New Roman" w:hAnsi="Times New Roman" w:eastAsia="方正仿宋_GBK" w:cs="Times New Roman"/>
          <w:sz w:val="28"/>
          <w:szCs w:val="24"/>
          <w:lang w:val="en-US" w:eastAsia="zh-CN" w:bidi="ar-SA"/>
        </w:rPr>
        <w:t>万元，包括人员经费</w:t>
      </w:r>
      <w:r>
        <w:rPr>
          <w:rFonts w:hint="eastAsia" w:ascii="Times New Roman" w:hAnsi="Times New Roman" w:eastAsia="方正仿宋_GBK" w:cs="Times New Roman"/>
          <w:sz w:val="28"/>
          <w:szCs w:val="24"/>
          <w:lang w:val="en-US" w:eastAsia="zh-CN" w:bidi="ar-SA"/>
        </w:rPr>
        <w:t>497.55</w:t>
      </w:r>
      <w:r>
        <w:rPr>
          <w:rFonts w:hint="default" w:ascii="Times New Roman" w:hAnsi="Times New Roman" w:eastAsia="方正仿宋_GBK" w:cs="Times New Roman"/>
          <w:sz w:val="28"/>
          <w:szCs w:val="24"/>
          <w:lang w:val="en-US" w:eastAsia="zh-CN" w:bidi="ar-SA"/>
        </w:rPr>
        <w:t>万元和日常公用经费</w:t>
      </w:r>
      <w:r>
        <w:rPr>
          <w:rFonts w:hint="eastAsia" w:ascii="Times New Roman" w:hAnsi="Times New Roman" w:eastAsia="方正仿宋_GBK" w:cs="Times New Roman"/>
          <w:sz w:val="28"/>
          <w:szCs w:val="24"/>
          <w:lang w:val="en-US" w:eastAsia="zh-CN" w:bidi="ar-SA"/>
        </w:rPr>
        <w:t>32.98</w:t>
      </w:r>
      <w:r>
        <w:rPr>
          <w:rFonts w:hint="default" w:ascii="Times New Roman" w:hAnsi="Times New Roman" w:eastAsia="方正仿宋_GBK" w:cs="Times New Roman"/>
          <w:sz w:val="28"/>
          <w:szCs w:val="24"/>
          <w:lang w:val="en-US" w:eastAsia="zh-CN" w:bidi="ar-SA"/>
        </w:rPr>
        <w:t>万元；项目支出</w:t>
      </w:r>
      <w:r>
        <w:rPr>
          <w:rFonts w:hint="eastAsia" w:ascii="Times New Roman" w:hAnsi="Times New Roman" w:eastAsia="方正仿宋_GBK" w:cs="Times New Roman"/>
          <w:sz w:val="28"/>
          <w:szCs w:val="24"/>
          <w:lang w:val="en-US" w:eastAsia="zh-CN" w:bidi="ar-SA"/>
        </w:rPr>
        <w:t>225</w:t>
      </w:r>
      <w:r>
        <w:rPr>
          <w:rFonts w:hint="default" w:ascii="Times New Roman" w:hAnsi="Times New Roman" w:eastAsia="方正仿宋_GBK" w:cs="Times New Roman"/>
          <w:sz w:val="28"/>
          <w:szCs w:val="24"/>
          <w:lang w:val="en-US" w:eastAsia="zh-CN" w:bidi="ar-SA"/>
        </w:rPr>
        <w:t>万元，全部为本级支出</w:t>
      </w:r>
      <w:r>
        <w:rPr>
          <w:rFonts w:hint="eastAsia" w:ascii="Times New Roman" w:hAnsi="Times New Roman" w:eastAsia="方正仿宋_GBK" w:cs="Times New Roman"/>
          <w:sz w:val="28"/>
          <w:szCs w:val="24"/>
          <w:lang w:val="en-US" w:eastAsia="zh-CN" w:bidi="ar-SA"/>
        </w:rPr>
        <w:t>，主要为</w:t>
      </w:r>
      <w:r>
        <w:rPr>
          <w:rFonts w:hint="eastAsia" w:ascii="Times New Roman" w:hAnsi="Times New Roman" w:eastAsia="方正仿宋_GBK" w:cs="Times New Roman"/>
          <w:sz w:val="28"/>
          <w:szCs w:val="24"/>
          <w:lang w:val="en-US" w:eastAsia="uk-UA" w:bidi="ar-SA"/>
        </w:rPr>
        <w:t>旅游行业管理经费</w:t>
      </w:r>
      <w:r>
        <w:rPr>
          <w:rFonts w:hint="eastAsia"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uk-UA" w:bidi="ar-SA"/>
        </w:rPr>
        <w:t>文化体育事务管理经费</w:t>
      </w:r>
      <w:r>
        <w:rPr>
          <w:rFonts w:hint="eastAsia"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uk-UA" w:bidi="ar-SA"/>
        </w:rPr>
        <w:t>旅游文化体育发展专项资金（含游客中心运营费、冰雪运动项目资金）</w:t>
      </w:r>
      <w:r>
        <w:rPr>
          <w:rFonts w:hint="eastAsia" w:ascii="Times New Roman" w:hAnsi="Times New Roman" w:eastAsia="方正仿宋_GBK" w:cs="Times New Roman"/>
          <w:sz w:val="28"/>
          <w:szCs w:val="24"/>
          <w:lang w:val="en-US" w:eastAsia="zh-CN" w:bidi="ar-SA"/>
        </w:rPr>
        <w:t>项目</w:t>
      </w:r>
      <w:r>
        <w:rPr>
          <w:rFonts w:hint="default" w:ascii="Times New Roman" w:hAnsi="Times New Roman" w:eastAsia="方正仿宋_GBK" w:cs="Times New Roman"/>
          <w:sz w:val="28"/>
          <w:szCs w:val="24"/>
          <w:lang w:val="en-US" w:eastAsia="zh-CN" w:bidi="ar-SA"/>
        </w:rPr>
        <w:t>。</w:t>
      </w:r>
    </w:p>
    <w:p>
      <w:pPr>
        <w:pStyle w:val="19"/>
        <w:rPr>
          <w:rFonts w:hint="default"/>
        </w:rPr>
      </w:pPr>
      <w:r>
        <w:rPr>
          <w:rFonts w:hint="eastAsia"/>
          <w:lang w:eastAsia="zh-CN"/>
        </w:rPr>
        <w:t>（</w:t>
      </w:r>
      <w:r>
        <w:rPr>
          <w:rFonts w:hint="eastAsia"/>
          <w:lang w:val="en-US" w:eastAsia="zh-CN"/>
        </w:rPr>
        <w:t>三</w:t>
      </w:r>
      <w:r>
        <w:rPr>
          <w:rFonts w:hint="eastAsia"/>
          <w:lang w:eastAsia="zh-CN"/>
        </w:rPr>
        <w:t>）</w:t>
      </w:r>
      <w:r>
        <w:rPr>
          <w:rFonts w:hint="default"/>
        </w:rPr>
        <w:t>比上年增减情况</w:t>
      </w:r>
    </w:p>
    <w:p>
      <w:pPr>
        <w:pStyle w:val="19"/>
        <w:rPr>
          <w:rFonts w:hint="eastAsia" w:eastAsia="方正仿宋_GBK"/>
          <w:color w:val="FF0000"/>
          <w:lang w:eastAsia="zh-CN"/>
        </w:rPr>
      </w:pPr>
      <w:r>
        <w:rPr>
          <w:rFonts w:hint="eastAsia"/>
          <w:lang w:eastAsia="zh-CN"/>
        </w:rPr>
        <w:t>202</w:t>
      </w:r>
      <w:r>
        <w:rPr>
          <w:rFonts w:hint="eastAsia"/>
          <w:lang w:val="en-US" w:eastAsia="zh-CN"/>
        </w:rPr>
        <w:t>2</w:t>
      </w:r>
      <w:r>
        <w:rPr>
          <w:rFonts w:hint="eastAsia"/>
          <w:lang w:eastAsia="zh-CN"/>
        </w:rPr>
        <w:t>年</w:t>
      </w:r>
      <w:r>
        <w:rPr>
          <w:rFonts w:hint="default"/>
          <w:lang w:val="en-US" w:eastAsia="zh-CN"/>
        </w:rPr>
        <w:t>部门</w:t>
      </w:r>
      <w:r>
        <w:rPr>
          <w:rFonts w:hint="default"/>
        </w:rPr>
        <w:t>预算较20</w:t>
      </w:r>
      <w:r>
        <w:rPr>
          <w:rFonts w:hint="eastAsia"/>
          <w:lang w:val="en-US" w:eastAsia="zh-CN"/>
        </w:rPr>
        <w:t>21</w:t>
      </w:r>
      <w:r>
        <w:rPr>
          <w:rFonts w:hint="default"/>
        </w:rPr>
        <w:t>年</w:t>
      </w:r>
      <w:r>
        <w:rPr>
          <w:rFonts w:hint="eastAsia"/>
          <w:lang w:val="en-US" w:eastAsia="zh-CN"/>
        </w:rPr>
        <w:t>增加1154.64</w:t>
      </w:r>
      <w:r>
        <w:rPr>
          <w:rFonts w:hint="default"/>
        </w:rPr>
        <w:t>万元，其中基本支出</w:t>
      </w:r>
      <w:r>
        <w:rPr>
          <w:rFonts w:hint="eastAsia"/>
          <w:lang w:val="en-US" w:eastAsia="zh-CN"/>
        </w:rPr>
        <w:t>增加399.11</w:t>
      </w:r>
      <w:r>
        <w:rPr>
          <w:rFonts w:hint="default"/>
        </w:rPr>
        <w:t>万元</w:t>
      </w:r>
      <w:r>
        <w:rPr>
          <w:rFonts w:hint="eastAsia"/>
          <w:lang w:eastAsia="zh-CN"/>
        </w:rPr>
        <w:t>，</w:t>
      </w:r>
      <w:r>
        <w:rPr>
          <w:rFonts w:hint="eastAsia"/>
          <w:lang w:val="en-US" w:eastAsia="zh-CN"/>
        </w:rPr>
        <w:t>主要原因是</w:t>
      </w:r>
      <w:r>
        <w:rPr>
          <w:rFonts w:hint="eastAsia"/>
          <w:lang w:eastAsia="zh-CN"/>
        </w:rPr>
        <w:t>减少旅发大会项目支出。</w:t>
      </w:r>
    </w:p>
    <w:p>
      <w:pPr>
        <w:numPr>
          <w:ilvl w:val="0"/>
          <w:numId w:val="1"/>
        </w:numPr>
        <w:spacing w:before="10" w:after="10" w:line="360" w:lineRule="auto"/>
        <w:ind w:firstLine="640"/>
        <w:jc w:val="left"/>
        <w:outlineLvl w:val="2"/>
        <w:rPr>
          <w:rFonts w:ascii="黑体" w:hAnsi="黑体" w:eastAsia="黑体" w:cs="黑体"/>
          <w:color w:val="000000"/>
          <w:sz w:val="32"/>
          <w:highlight w:val="none"/>
        </w:rPr>
      </w:pPr>
      <w:bookmarkStart w:id="11" w:name="_Toc_3_3_0000000012"/>
      <w:r>
        <w:rPr>
          <w:rFonts w:ascii="黑体" w:hAnsi="黑体" w:eastAsia="黑体" w:cs="黑体"/>
          <w:color w:val="000000"/>
          <w:sz w:val="32"/>
          <w:highlight w:val="none"/>
        </w:rPr>
        <w:t>机关运行经费安排情况</w:t>
      </w:r>
      <w:bookmarkEnd w:id="11"/>
    </w:p>
    <w:p>
      <w:pPr>
        <w:spacing w:before="0" w:after="0" w:line="500" w:lineRule="exact"/>
        <w:ind w:firstLine="560"/>
        <w:jc w:val="left"/>
        <w:outlineLvl w:val="9"/>
        <w:rPr>
          <w:rFonts w:ascii="Times New Roman" w:hAnsi="Times New Roman" w:eastAsia="方正仿宋_GBK" w:cs="Times New Roman"/>
          <w:color w:val="000000"/>
          <w:sz w:val="28"/>
          <w:highlight w:val="none"/>
        </w:rPr>
      </w:pPr>
      <w:r>
        <w:rPr>
          <w:rFonts w:ascii="Times New Roman" w:hAnsi="Times New Roman" w:eastAsia="方正仿宋_GBK" w:cs="Times New Roman"/>
          <w:color w:val="000000"/>
          <w:sz w:val="28"/>
          <w:highlight w:val="none"/>
        </w:rPr>
        <w:t>机关运行经费共计安排</w:t>
      </w:r>
      <w:r>
        <w:rPr>
          <w:rFonts w:hint="eastAsia" w:ascii="Times New Roman" w:hAnsi="Times New Roman" w:eastAsia="方正仿宋_GBK" w:cs="Times New Roman"/>
          <w:color w:val="000000"/>
          <w:sz w:val="28"/>
          <w:highlight w:val="none"/>
          <w:lang w:val="en-US" w:eastAsia="zh-CN"/>
        </w:rPr>
        <w:t>32.98</w:t>
      </w:r>
      <w:r>
        <w:rPr>
          <w:rFonts w:ascii="Times New Roman" w:hAnsi="Times New Roman" w:eastAsia="方正仿宋_GBK" w:cs="Times New Roman"/>
          <w:color w:val="000000"/>
          <w:sz w:val="28"/>
          <w:highlight w:val="none"/>
        </w:rPr>
        <w:t>万元，主要用于机关办公区的办公及印刷费、差旅费、会议费、培训费、公务用车运行维护费等日常运行支出。其中：办公费</w:t>
      </w:r>
      <w:r>
        <w:rPr>
          <w:rFonts w:hint="eastAsia" w:ascii="Times New Roman" w:hAnsi="Times New Roman" w:eastAsia="方正仿宋_GBK" w:cs="Times New Roman"/>
          <w:color w:val="000000"/>
          <w:sz w:val="28"/>
          <w:highlight w:val="none"/>
          <w:lang w:val="en-US" w:eastAsia="zh-CN"/>
        </w:rPr>
        <w:t>8.1</w:t>
      </w:r>
      <w:r>
        <w:rPr>
          <w:rFonts w:ascii="Times New Roman" w:hAnsi="Times New Roman" w:eastAsia="方正仿宋_GBK" w:cs="Times New Roman"/>
          <w:color w:val="000000"/>
          <w:sz w:val="28"/>
          <w:highlight w:val="none"/>
        </w:rPr>
        <w:t>万元，差旅费</w:t>
      </w:r>
      <w:r>
        <w:rPr>
          <w:rFonts w:hint="eastAsia" w:ascii="Times New Roman" w:hAnsi="Times New Roman" w:eastAsia="方正仿宋_GBK" w:cs="Times New Roman"/>
          <w:color w:val="000000"/>
          <w:sz w:val="28"/>
          <w:highlight w:val="none"/>
          <w:lang w:val="en-US" w:eastAsia="zh-CN"/>
        </w:rPr>
        <w:t>4.32</w:t>
      </w:r>
      <w:r>
        <w:rPr>
          <w:rFonts w:hint="eastAsia" w:eastAsia="方正仿宋_GBK" w:cs="Times New Roman"/>
          <w:color w:val="000000"/>
          <w:sz w:val="28"/>
          <w:highlight w:val="none"/>
          <w:lang w:val="en-US" w:eastAsia="zh-CN"/>
        </w:rPr>
        <w:t>万元</w:t>
      </w:r>
      <w:r>
        <w:rPr>
          <w:rFonts w:ascii="Times New Roman" w:hAnsi="Times New Roman" w:eastAsia="方正仿宋_GBK" w:cs="Times New Roman"/>
          <w:color w:val="000000"/>
          <w:sz w:val="28"/>
          <w:highlight w:val="none"/>
        </w:rPr>
        <w:t>元，会议费</w:t>
      </w:r>
      <w:r>
        <w:rPr>
          <w:rFonts w:hint="eastAsia" w:ascii="Times New Roman" w:hAnsi="Times New Roman" w:eastAsia="方正仿宋_GBK" w:cs="Times New Roman"/>
          <w:color w:val="000000"/>
          <w:sz w:val="28"/>
          <w:highlight w:val="none"/>
          <w:lang w:val="en-US" w:eastAsia="zh-CN"/>
        </w:rPr>
        <w:t>2.4</w:t>
      </w:r>
      <w:r>
        <w:rPr>
          <w:rFonts w:ascii="Times New Roman" w:hAnsi="Times New Roman" w:eastAsia="方正仿宋_GBK" w:cs="Times New Roman"/>
          <w:color w:val="000000"/>
          <w:sz w:val="28"/>
          <w:highlight w:val="none"/>
        </w:rPr>
        <w:t>万</w:t>
      </w:r>
      <w:r>
        <w:rPr>
          <w:rFonts w:hint="eastAsia" w:eastAsia="方正仿宋_GBK" w:cs="Times New Roman"/>
          <w:color w:val="000000"/>
          <w:sz w:val="28"/>
          <w:highlight w:val="none"/>
          <w:lang w:eastAsia="zh-CN"/>
        </w:rPr>
        <w:t>元</w:t>
      </w:r>
      <w:r>
        <w:rPr>
          <w:rFonts w:hint="eastAsia" w:ascii="Times New Roman" w:hAnsi="Times New Roman" w:eastAsia="方正仿宋_GBK" w:cs="Times New Roman"/>
          <w:color w:val="000000"/>
          <w:sz w:val="28"/>
          <w:highlight w:val="none"/>
          <w:lang w:eastAsia="zh-CN"/>
        </w:rPr>
        <w:t>，</w:t>
      </w:r>
      <w:r>
        <w:rPr>
          <w:rFonts w:ascii="Times New Roman" w:hAnsi="Times New Roman" w:eastAsia="方正仿宋_GBK" w:cs="Times New Roman"/>
          <w:color w:val="000000"/>
          <w:sz w:val="28"/>
          <w:highlight w:val="none"/>
        </w:rPr>
        <w:t>办公设备购置费</w:t>
      </w:r>
      <w:r>
        <w:rPr>
          <w:rFonts w:hint="eastAsia" w:ascii="Times New Roman" w:hAnsi="Times New Roman" w:eastAsia="方正仿宋_GBK" w:cs="Times New Roman"/>
          <w:color w:val="000000"/>
          <w:sz w:val="28"/>
          <w:highlight w:val="none"/>
          <w:lang w:val="en-US" w:eastAsia="zh-CN"/>
        </w:rPr>
        <w:t>1.08</w:t>
      </w:r>
      <w:r>
        <w:rPr>
          <w:rFonts w:ascii="Times New Roman" w:hAnsi="Times New Roman" w:eastAsia="方正仿宋_GBK" w:cs="Times New Roman"/>
          <w:color w:val="000000"/>
          <w:sz w:val="28"/>
          <w:highlight w:val="none"/>
        </w:rPr>
        <w:t>万元，公务用车运行维护费</w:t>
      </w:r>
      <w:r>
        <w:rPr>
          <w:rFonts w:hint="eastAsia" w:ascii="Times New Roman" w:hAnsi="Times New Roman" w:eastAsia="方正仿宋_GBK" w:cs="Times New Roman"/>
          <w:color w:val="000000"/>
          <w:sz w:val="28"/>
          <w:highlight w:val="none"/>
          <w:lang w:val="en-US" w:eastAsia="zh-CN"/>
        </w:rPr>
        <w:t>2.3</w:t>
      </w:r>
      <w:r>
        <w:rPr>
          <w:rFonts w:ascii="Times New Roman" w:hAnsi="Times New Roman" w:eastAsia="方正仿宋_GBK" w:cs="Times New Roman"/>
          <w:color w:val="000000"/>
          <w:sz w:val="28"/>
          <w:highlight w:val="none"/>
        </w:rPr>
        <w:t>万元，公务交通补贴</w:t>
      </w:r>
      <w:r>
        <w:rPr>
          <w:rFonts w:hint="eastAsia" w:ascii="Times New Roman" w:hAnsi="Times New Roman" w:eastAsia="方正仿宋_GBK" w:cs="Times New Roman"/>
          <w:color w:val="000000"/>
          <w:sz w:val="28"/>
          <w:highlight w:val="none"/>
          <w:lang w:val="en-US" w:eastAsia="zh-CN"/>
        </w:rPr>
        <w:t>3.6</w:t>
      </w:r>
      <w:r>
        <w:rPr>
          <w:rFonts w:ascii="Times New Roman" w:hAnsi="Times New Roman" w:eastAsia="方正仿宋_GBK" w:cs="Times New Roman"/>
          <w:color w:val="000000"/>
          <w:sz w:val="28"/>
          <w:highlight w:val="none"/>
        </w:rPr>
        <w:t>万元，印刷费</w:t>
      </w:r>
      <w:r>
        <w:rPr>
          <w:rFonts w:hint="eastAsia" w:ascii="Times New Roman" w:hAnsi="Times New Roman" w:eastAsia="方正仿宋_GBK" w:cs="Times New Roman"/>
          <w:color w:val="000000"/>
          <w:sz w:val="28"/>
          <w:highlight w:val="none"/>
          <w:lang w:val="en-US" w:eastAsia="zh-CN"/>
        </w:rPr>
        <w:t>1.08</w:t>
      </w:r>
      <w:r>
        <w:rPr>
          <w:rFonts w:ascii="Times New Roman" w:hAnsi="Times New Roman" w:eastAsia="方正仿宋_GBK" w:cs="Times New Roman"/>
          <w:color w:val="000000"/>
          <w:sz w:val="28"/>
          <w:highlight w:val="none"/>
        </w:rPr>
        <w:t>万元，培训费</w:t>
      </w:r>
      <w:r>
        <w:rPr>
          <w:rFonts w:hint="eastAsia" w:ascii="Times New Roman" w:hAnsi="Times New Roman" w:eastAsia="方正仿宋_GBK" w:cs="Times New Roman"/>
          <w:color w:val="000000"/>
          <w:sz w:val="28"/>
          <w:highlight w:val="none"/>
          <w:lang w:val="en-US" w:eastAsia="zh-CN"/>
        </w:rPr>
        <w:t>2.93</w:t>
      </w:r>
      <w:r>
        <w:rPr>
          <w:rFonts w:ascii="Times New Roman" w:hAnsi="Times New Roman" w:eastAsia="方正仿宋_GBK" w:cs="Times New Roman"/>
          <w:color w:val="000000"/>
          <w:sz w:val="28"/>
          <w:highlight w:val="none"/>
        </w:rPr>
        <w:t>万元，公务接待费0.</w:t>
      </w:r>
      <w:r>
        <w:rPr>
          <w:rFonts w:hint="eastAsia" w:ascii="Times New Roman" w:hAnsi="Times New Roman" w:eastAsia="方正仿宋_GBK" w:cs="Times New Roman"/>
          <w:color w:val="000000"/>
          <w:sz w:val="28"/>
          <w:highlight w:val="none"/>
          <w:lang w:val="en-US" w:eastAsia="zh-CN"/>
        </w:rPr>
        <w:t>34</w:t>
      </w:r>
      <w:r>
        <w:rPr>
          <w:rFonts w:ascii="Times New Roman" w:hAnsi="Times New Roman" w:eastAsia="方正仿宋_GBK" w:cs="Times New Roman"/>
          <w:color w:val="000000"/>
          <w:sz w:val="28"/>
          <w:highlight w:val="none"/>
        </w:rPr>
        <w:t>万元，工会经费</w:t>
      </w:r>
      <w:r>
        <w:rPr>
          <w:rFonts w:hint="eastAsia" w:ascii="Times New Roman" w:hAnsi="Times New Roman" w:eastAsia="方正仿宋_GBK" w:cs="Times New Roman"/>
          <w:color w:val="000000"/>
          <w:sz w:val="28"/>
          <w:highlight w:val="none"/>
          <w:lang w:val="en-US" w:eastAsia="zh-CN"/>
        </w:rPr>
        <w:t>3.91</w:t>
      </w:r>
      <w:r>
        <w:rPr>
          <w:rFonts w:ascii="Times New Roman" w:hAnsi="Times New Roman" w:eastAsia="方正仿宋_GBK" w:cs="Times New Roman"/>
          <w:color w:val="000000"/>
          <w:sz w:val="28"/>
          <w:highlight w:val="none"/>
        </w:rPr>
        <w:t>元，福利费</w:t>
      </w:r>
      <w:r>
        <w:rPr>
          <w:rFonts w:hint="eastAsia" w:ascii="Times New Roman" w:hAnsi="Times New Roman" w:eastAsia="方正仿宋_GBK" w:cs="Times New Roman"/>
          <w:color w:val="000000"/>
          <w:sz w:val="28"/>
          <w:highlight w:val="none"/>
          <w:lang w:val="en-US" w:eastAsia="zh-CN"/>
        </w:rPr>
        <w:t>2.92</w:t>
      </w:r>
      <w:r>
        <w:rPr>
          <w:rFonts w:ascii="Times New Roman" w:hAnsi="Times New Roman" w:eastAsia="方正仿宋_GBK" w:cs="Times New Roman"/>
          <w:color w:val="000000"/>
          <w:sz w:val="28"/>
          <w:highlight w:val="none"/>
        </w:rPr>
        <w:t>万元。</w:t>
      </w:r>
    </w:p>
    <w:p>
      <w:pPr>
        <w:spacing w:before="10" w:after="10" w:line="360" w:lineRule="auto"/>
        <w:ind w:firstLine="640"/>
        <w:jc w:val="left"/>
        <w:outlineLvl w:val="2"/>
        <w:rPr>
          <w:highlight w:val="none"/>
        </w:rPr>
      </w:pPr>
      <w:bookmarkStart w:id="12" w:name="_Toc_3_3_0000000013"/>
      <w:r>
        <w:rPr>
          <w:rFonts w:ascii="黑体" w:hAnsi="黑体" w:eastAsia="黑体" w:cs="黑体"/>
          <w:color w:val="000000"/>
          <w:sz w:val="32"/>
          <w:highlight w:val="none"/>
        </w:rPr>
        <w:t>四、财政拨款“三公”经费预算情况及增减变化原因</w:t>
      </w:r>
      <w:bookmarkEnd w:id="12"/>
    </w:p>
    <w:p>
      <w:pPr>
        <w:spacing w:before="0" w:after="0" w:line="500" w:lineRule="exact"/>
        <w:ind w:firstLine="560"/>
        <w:jc w:val="left"/>
        <w:outlineLvl w:val="9"/>
      </w:pPr>
      <w:r>
        <w:rPr>
          <w:rFonts w:ascii="Times New Roman" w:hAnsi="Times New Roman" w:eastAsia="方正仿宋_GBK" w:cs="Times New Roman"/>
          <w:color w:val="000000"/>
          <w:sz w:val="28"/>
          <w:highlight w:val="none"/>
        </w:rPr>
        <w:t>20</w:t>
      </w:r>
      <w:r>
        <w:rPr>
          <w:rFonts w:hint="eastAsia" w:ascii="Times New Roman" w:hAnsi="Times New Roman" w:eastAsia="方正仿宋_GBK" w:cs="Times New Roman"/>
          <w:color w:val="000000"/>
          <w:sz w:val="28"/>
          <w:highlight w:val="none"/>
          <w:lang w:val="en-US" w:eastAsia="zh-CN"/>
        </w:rPr>
        <w:t>22</w:t>
      </w:r>
      <w:r>
        <w:rPr>
          <w:rFonts w:ascii="Times New Roman" w:hAnsi="Times New Roman" w:eastAsia="方正仿宋_GBK" w:cs="Times New Roman"/>
          <w:color w:val="000000"/>
          <w:sz w:val="28"/>
          <w:highlight w:val="none"/>
        </w:rPr>
        <w:t>年，秦皇岛北戴河新区旅游文化体育局部门财政拨款“三公”经费预</w:t>
      </w:r>
      <w:r>
        <w:rPr>
          <w:rFonts w:ascii="Times New Roman" w:hAnsi="Times New Roman" w:eastAsia="方正仿宋_GBK" w:cs="Times New Roman"/>
          <w:color w:val="000000"/>
          <w:sz w:val="28"/>
        </w:rPr>
        <w:t>算安排</w:t>
      </w:r>
      <w:r>
        <w:rPr>
          <w:rFonts w:hint="eastAsia" w:ascii="Times New Roman" w:hAnsi="Times New Roman" w:eastAsia="方正仿宋_GBK" w:cs="Times New Roman"/>
          <w:color w:val="000000"/>
          <w:sz w:val="28"/>
          <w:lang w:val="en-US" w:eastAsia="zh-CN"/>
        </w:rPr>
        <w:t>2.64</w:t>
      </w:r>
      <w:r>
        <w:rPr>
          <w:rFonts w:ascii="Times New Roman" w:hAnsi="Times New Roman" w:eastAsia="方正仿宋_GBK" w:cs="Times New Roman"/>
          <w:color w:val="000000"/>
          <w:sz w:val="28"/>
        </w:rPr>
        <w:t>万元，其中：因公出国（境）费0万元；公务用车购置及运行维护费</w:t>
      </w:r>
      <w:r>
        <w:rPr>
          <w:rFonts w:hint="eastAsia" w:ascii="Times New Roman" w:hAnsi="Times New Roman" w:eastAsia="方正仿宋_GBK" w:cs="Times New Roman"/>
          <w:color w:val="000000"/>
          <w:sz w:val="28"/>
          <w:lang w:val="en-US" w:eastAsia="zh-CN"/>
        </w:rPr>
        <w:t>2.3</w:t>
      </w:r>
      <w:r>
        <w:rPr>
          <w:rFonts w:ascii="Times New Roman" w:hAnsi="Times New Roman" w:eastAsia="方正仿宋_GBK" w:cs="Times New Roman"/>
          <w:color w:val="000000"/>
          <w:sz w:val="28"/>
        </w:rPr>
        <w:t>万元（其中：公务用车购置费为0，公务用车运行费</w:t>
      </w:r>
      <w:r>
        <w:rPr>
          <w:rFonts w:hint="eastAsia" w:ascii="Times New Roman" w:hAnsi="Times New Roman" w:eastAsia="方正仿宋_GBK" w:cs="Times New Roman"/>
          <w:color w:val="000000"/>
          <w:sz w:val="28"/>
          <w:lang w:val="en-US" w:eastAsia="zh-CN"/>
        </w:rPr>
        <w:t>2.3</w:t>
      </w:r>
      <w:r>
        <w:rPr>
          <w:rFonts w:ascii="Times New Roman" w:hAnsi="Times New Roman" w:eastAsia="方正仿宋_GBK" w:cs="Times New Roman"/>
          <w:color w:val="000000"/>
          <w:sz w:val="28"/>
        </w:rPr>
        <w:t>万元)；公务接待费</w:t>
      </w:r>
      <w:r>
        <w:rPr>
          <w:rFonts w:hint="eastAsia" w:ascii="Times New Roman" w:hAnsi="Times New Roman" w:eastAsia="方正仿宋_GBK" w:cs="Times New Roman"/>
          <w:color w:val="000000"/>
          <w:sz w:val="28"/>
          <w:lang w:val="en-US" w:eastAsia="zh-CN"/>
        </w:rPr>
        <w:t>0.34</w:t>
      </w:r>
      <w:r>
        <w:rPr>
          <w:rFonts w:ascii="Times New Roman" w:hAnsi="Times New Roman" w:eastAsia="方正仿宋_GBK" w:cs="Times New Roman"/>
          <w:color w:val="000000"/>
          <w:sz w:val="28"/>
        </w:rPr>
        <w:t>万元。较20</w:t>
      </w:r>
      <w:r>
        <w:rPr>
          <w:rFonts w:hint="eastAsia" w:ascii="Times New Roman" w:hAnsi="Times New Roman" w:eastAsia="方正仿宋_GBK" w:cs="Times New Roman"/>
          <w:color w:val="000000"/>
          <w:sz w:val="28"/>
          <w:lang w:val="en-US" w:eastAsia="zh-CN"/>
        </w:rPr>
        <w:t>21</w:t>
      </w:r>
      <w:r>
        <w:rPr>
          <w:rFonts w:ascii="Times New Roman" w:hAnsi="Times New Roman" w:eastAsia="方正仿宋_GBK" w:cs="Times New Roman"/>
          <w:color w:val="000000"/>
          <w:sz w:val="28"/>
        </w:rPr>
        <w:t>年</w:t>
      </w:r>
      <w:r>
        <w:rPr>
          <w:rFonts w:hint="eastAsia" w:ascii="Times New Roman" w:hAnsi="Times New Roman" w:eastAsia="方正仿宋_GBK" w:cs="Times New Roman"/>
          <w:color w:val="000000"/>
          <w:sz w:val="28"/>
          <w:lang w:eastAsia="zh-CN"/>
        </w:rPr>
        <w:t>减少</w:t>
      </w:r>
      <w:r>
        <w:rPr>
          <w:rFonts w:ascii="Times New Roman" w:hAnsi="Times New Roman" w:eastAsia="方正仿宋_GBK" w:cs="Times New Roman"/>
          <w:color w:val="000000"/>
          <w:sz w:val="28"/>
        </w:rPr>
        <w:t>公务用车运行费</w:t>
      </w:r>
      <w:r>
        <w:rPr>
          <w:rFonts w:hint="eastAsia" w:ascii="Times New Roman" w:hAnsi="Times New Roman" w:eastAsia="方正仿宋_GBK" w:cs="Times New Roman"/>
          <w:color w:val="000000"/>
          <w:sz w:val="28"/>
          <w:lang w:val="en-US" w:eastAsia="zh-CN"/>
        </w:rPr>
        <w:t>0.3万元，公务接待费减少0.02元</w:t>
      </w:r>
      <w:r>
        <w:rPr>
          <w:rFonts w:ascii="Times New Roman" w:hAnsi="Times New Roman" w:eastAsia="方正仿宋_GBK" w:cs="Times New Roman"/>
          <w:color w:val="000000"/>
          <w:sz w:val="28"/>
        </w:rPr>
        <w:t>。</w:t>
      </w:r>
      <w:r>
        <w:rPr>
          <w:rFonts w:hint="eastAsia" w:eastAsia="方正仿宋_GBK" w:cs="Times New Roman"/>
          <w:color w:val="000000"/>
          <w:sz w:val="28"/>
          <w:lang w:eastAsia="zh-CN"/>
        </w:rPr>
        <w:t>原因为缩减三公经费。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2022年，旅游文化体育广电局将以习近平新时代中国特色社会主义思想为指导，全面贯彻党的十九大精神，坚持国际一流康养旅游度假目的地这一总体定位，深化文化与旅游融合、体育与旅游融合、康养与旅游融合的三大领域融合，坚持产业高质量发展，不断完善基础配套，健全产业体系，丰富旅游业态、提升消费供给，健全公共文化服务体系，将新区打造成“生态优、业态强、形态美”的一流国际旅游城市先行区。</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一、加大旅游招商引资力度</w:t>
      </w:r>
    </w:p>
    <w:p>
      <w:pPr>
        <w:pStyle w:val="24"/>
      </w:pPr>
      <w:r>
        <w:t>绩效目标：配合招商局，积极与大型旅游集团、财团对接，力争引进旅游大项目，并积极走出去，加大旅游招商推介，参加各类招商活动。</w:t>
      </w:r>
    </w:p>
    <w:p>
      <w:pPr>
        <w:pStyle w:val="24"/>
      </w:pPr>
      <w:r>
        <w:t>绩效指标：利用现有旅游企业名气和影响力以商会商，以商招商，营造浓厚招商氛围。</w:t>
      </w:r>
    </w:p>
    <w:p>
      <w:pPr>
        <w:pStyle w:val="24"/>
      </w:pPr>
      <w:r>
        <w:t>二、推进一流国际旅游城市建设</w:t>
      </w:r>
    </w:p>
    <w:p>
      <w:pPr>
        <w:pStyle w:val="24"/>
      </w:pPr>
      <w:r>
        <w:t>绩效目标：全面落实市第十三次党代会精神，分析面临的新形势、新机遇、新情况、新问题，全面梳理建设一流国际旅游城市的具体工作思路和工作目标，制定工作举措，按照目前确定的17个重点项目和6个重大活动。</w:t>
      </w:r>
    </w:p>
    <w:p>
      <w:pPr>
        <w:pStyle w:val="24"/>
      </w:pPr>
      <w:r>
        <w:t>绩效指标：全力推进北戴河新区一流国际旅游城市先行区、示范区建设。</w:t>
      </w:r>
    </w:p>
    <w:p>
      <w:pPr>
        <w:pStyle w:val="24"/>
      </w:pPr>
      <w:r>
        <w:t>三、创建国家级全域旅游示范区及省级、国家级旅游度假区</w:t>
      </w:r>
    </w:p>
    <w:p>
      <w:pPr>
        <w:pStyle w:val="24"/>
      </w:pPr>
      <w:r>
        <w:t>绩效目标：在已获评省级全域旅游示范区基础上，在国家开放申报评定后（此项工作2020年为暂停状态），积极申报创建国家级全域旅游示范区并力求成功通过。以滨海康养为特色，以阿那亚、阿尔卡迪亚等区域为核心，积极创建省级、国家级旅游度假区。按照国家级旅游度假区高标准确定工作内容，初步拟定度假区创建范围四至（北至大蒲河口，南至渔岛景区，西至生命科学园西侧，东至海岸线），整体面积约11.39平方公里（省级度假区5平方公里，国家级8平方公里，该范围已满足两级度假区面积标准）。</w:t>
      </w:r>
    </w:p>
    <w:p>
      <w:pPr>
        <w:pStyle w:val="24"/>
      </w:pPr>
      <w:r>
        <w:t>绩效指标：继续完善提升全域旅游示范区各项创建指标，</w:t>
      </w:r>
    </w:p>
    <w:p>
      <w:pPr>
        <w:pStyle w:val="24"/>
      </w:pPr>
      <w:r>
        <w:t>四、推进项目建设，丰富旅游业态</w:t>
      </w:r>
    </w:p>
    <w:p>
      <w:pPr>
        <w:pStyle w:val="24"/>
      </w:pPr>
      <w:r>
        <w:t>绩效目标：一是推进宏兴文旅在鱼嘴板块97亩地块、如是海板块（沙雕景区）、七里海板块上的至少5个度假酒店建设进度。推动我省首家万豪品牌酒店明年顺利对外运营。加快推进渔田小镇、魔法城旅游综合体和奥特莱斯商业综合体建设进度。二是推进资源整合，做大做强现有项目，积极引进战略合作伙伴，力争将渔田小镇、魔法城等打造成全市乃至全省的标志性、龙头型旅游项目</w:t>
      </w:r>
    </w:p>
    <w:p>
      <w:pPr>
        <w:pStyle w:val="24"/>
      </w:pPr>
      <w:r>
        <w:t>绩效指标：项目正常推进。</w:t>
      </w:r>
    </w:p>
    <w:p>
      <w:pPr>
        <w:pStyle w:val="24"/>
      </w:pPr>
      <w:r>
        <w:t>五、举办特色活动和品牌赛事，扩大新区知名度</w:t>
      </w:r>
    </w:p>
    <w:p>
      <w:pPr>
        <w:pStyle w:val="24"/>
      </w:pPr>
      <w:r>
        <w:t>绩效目标：依托新区特色资源，举办槐花节、开海节、戏剧节、音乐节等特色节庆活动；以帆船帆板为聚焦点，举办北戴河新区帆船节、京津冀体验季（北戴河新区站）、沙滩运动嘉年华等活动；承接高级别帆船帆板赛事活动，着力打造“帆船帆板赛事目的地”，做大做强新区帆船帆板运动。</w:t>
      </w:r>
    </w:p>
    <w:p>
      <w:pPr>
        <w:pStyle w:val="24"/>
      </w:pPr>
      <w:r>
        <w:t>绩效指标：以活动赛事为载体，进一步提升新区旅游品牌知名度。</w:t>
      </w:r>
    </w:p>
    <w:p>
      <w:pPr>
        <w:pStyle w:val="24"/>
      </w:pPr>
      <w:r>
        <w:t>六、加快人才集聚，赋能高质量发展</w:t>
      </w:r>
    </w:p>
    <w:p>
      <w:pPr>
        <w:pStyle w:val="24"/>
      </w:pPr>
      <w:r>
        <w:t>绩效目标：一是建立文旅智库。邀请中国旅游研究院、浙江大学城市学院、河北大学等院校和企业专家组成人才专家库，为一流国际旅游城市建设、文旅行业发展建言献策。二是强化校企、政企交流合作。与燕山大学、环保学院等高校合作进行定向定岗专业培养，阿那亚、阿尔卡迪亚等企业提供实训基地和就业岗位，在会议会展、酒店管理、政务接待等方面提供人才支撑和技能孵化转化。三是开展从业者素质提升行动。集中培训政务讲解，景区、酒店、民宿从业人员进行职业技能、服务技巧、礼仪修养等专业培训。</w:t>
      </w:r>
    </w:p>
    <w:p>
      <w:pPr>
        <w:pStyle w:val="24"/>
      </w:pPr>
      <w:r>
        <w:t>绩效指标：加快人才集聚，赋能高质量发展。</w:t>
      </w:r>
    </w:p>
    <w:p>
      <w:pPr>
        <w:pStyle w:val="24"/>
      </w:pPr>
      <w:r>
        <w:t>七、全面落实民心工程</w:t>
      </w:r>
    </w:p>
    <w:p>
      <w:pPr>
        <w:pStyle w:val="24"/>
      </w:pPr>
      <w:r>
        <w:t>绩效目标：一是深入开展文化惠民工程。通过推进公共文化场所免费开放、开展文化惠民“七进”演出活动、基层业余文艺骨干培训等方式，丰富群众文化生活。二是完善公共文化服务体系建设。对标国家公共文化服务体系示范区创建标准，推进综合文化站、基层综合文化服务中心等建设，保障综合文化站人员配置达标。</w:t>
      </w:r>
    </w:p>
    <w:p>
      <w:pPr>
        <w:pStyle w:val="24"/>
      </w:pPr>
      <w:r>
        <w:t>绩效指标：完善基本公共服务目录并组织实施，规范免费开放标识，增强公共文化服务的供给能力。</w:t>
      </w:r>
    </w:p>
    <w:p>
      <w:pPr>
        <w:pStyle w:val="24"/>
      </w:pPr>
    </w:p>
    <w:p>
      <w:pPr>
        <w:pStyle w:val="24"/>
      </w:pPr>
      <w:r>
        <w:t>八、大力推进全民健身工作</w:t>
      </w:r>
    </w:p>
    <w:p>
      <w:pPr>
        <w:pStyle w:val="24"/>
      </w:pPr>
      <w:r>
        <w:t>绩效目标：一是贯彻落实省、市全民健身实施计划，结合新区实际，制定《北戴河新区全民健身实施计划（2021-2025）》，明确总体要求、主要任务、保障措施等。二是实施公共体育基础设施提升工程。围绕省、市全民健身设施补短板工程，从新区实际出发，实施“体育公园建设”“健身步道优化”“健身设施增修”三项工程，改善新区现有公共体育设施种类单一、陈年老旧、质量不高的现状，构建更高水平的全面健身公共服务体系。三是广泛开展全民健身赛事活动。举办“全民健康跑”“职工篮球赛”“迷你马拉松”“趣味运动会”等系列赛事活动，全年不少于10次，通过赛事活动引导体育健身运动成为新区居民的生活方式，促进全民健身更高水平发展。四是壮大科学健身指导人才队伍。全年开展两次专项社会体育指导员培训，人数不少于50人，逐步培养一批专业性强的群众健身指导者、组织者、引领者。</w:t>
      </w:r>
    </w:p>
    <w:p>
      <w:pPr>
        <w:pStyle w:val="24"/>
      </w:pPr>
      <w:r>
        <w:t>九、大力推进全民健身工作。</w:t>
      </w:r>
    </w:p>
    <w:p>
      <w:pPr>
        <w:pStyle w:val="24"/>
      </w:pPr>
      <w:r>
        <w:t>绩效目标：举办“北戴河新区第三届冰雪运动会”“社区冰雪运动会”“冰雪六进活动”等系列活动，营造喜迎冬奥宣传氛围，进一步提升冰雪运动的影响力和体验度。着力推进冰雪与旅游、文化等业态融合发展，指导蔚蓝海岸、阿尔卡迪亚等项目单位打造冰雪嘉年华项目，延伸冰雪消费链条。</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（一）从严治党，加强党建和意识形态工作</w:t>
      </w:r>
    </w:p>
    <w:p>
      <w:pPr>
        <w:pStyle w:val="25"/>
      </w:pPr>
      <w:r>
        <w:t>一是继续深化理论武装，落实党组会议第一议题学习制度和理论学习中心组学习制度，引导党员干部用党的创新理论成果武装头脑，在推动改革发展稳定中作表率。二是严格执行《关于新形势下党内政治生活的若干准则》，营造风清气正的政治生态。三是进一步提高意识形态工作能力和水平，履行“一岗双责”，落实主体责任，推动党风廉政建设落到实处。</w:t>
      </w:r>
    </w:p>
    <w:p>
      <w:pPr>
        <w:pStyle w:val="25"/>
      </w:pPr>
      <w:r>
        <w:t>（二）完善制度建设</w:t>
      </w:r>
    </w:p>
    <w:p>
      <w:pPr>
        <w:pStyle w:val="25"/>
      </w:pPr>
      <w:r>
        <w:t>预算绩效管理是一项系统性工程，贯穿财政资金使用的全过程，2021年要构建一个“预算编制有目标、预算执行有监控、预算完成有评价、评价结果有反馈、反馈结果有应用”的“闭环形、穿透式”预算绩效管理体系。</w:t>
      </w:r>
    </w:p>
    <w:p>
      <w:pPr>
        <w:pStyle w:val="25"/>
      </w:pPr>
      <w:r>
        <w:t>（三）加强支出管理</w:t>
      </w:r>
    </w:p>
    <w:p>
      <w:pPr>
        <w:pStyle w:val="25"/>
      </w:pPr>
      <w:r>
        <w:t>首先根据部门职责优化支出结构，重大项目通过事前绩效评估程序，精心选择必须实施的项目作为年度申请预算的依据；其次是通过年初详细编制准确、细化、科学、合理的预算确保预算资金的有效控制，重大支出项目委托第三方进行事前预算评审，确保预算资金的合理性；第三是需要履行政府采购程序的项目，尽早办理政府采购程序，确保尽快启动项目资金，按规定及时下达项目资金，确保在支出手续完备的前提下支出进度达标，有效控制预算执行率及支出进度。</w:t>
      </w:r>
    </w:p>
    <w:p>
      <w:pPr>
        <w:pStyle w:val="25"/>
      </w:pPr>
      <w:r>
        <w:t>（四）加强绩效运行监控</w:t>
      </w:r>
    </w:p>
    <w:p>
      <w:pPr>
        <w:pStyle w:val="25"/>
      </w:pPr>
      <w:r>
        <w:t>绩效监控工作是全流程的持续性管理，我局将对绩效实现情况与预期绩效目标进行比较，对目标完成、预算执行、组织实施、资金管理等情况进行分析评判。</w:t>
      </w:r>
    </w:p>
    <w:p>
      <w:pPr>
        <w:pStyle w:val="25"/>
      </w:pPr>
      <w:r>
        <w:t>（五）做好绩效自评工作</w:t>
      </w:r>
    </w:p>
    <w:p>
      <w:pPr>
        <w:pStyle w:val="25"/>
      </w:pPr>
      <w:r>
        <w:t>我局将按照财政局文件要求对项目资金全面开展自评工作，通过绩效自评结果对比倒查的年初绩效目标设定质量情况，全面总结绩效目标设定是否清晰准确，绩效指标是否全面完整、科学合理，绩效标准是否恰当适宜、易于评价，深入分析原因，逐项查找差距，并且针对存在的问题，研究制定的整改思路和工作措施，健全制度、完善政策、改进管理、优化流程及部门支出结构。</w:t>
      </w:r>
    </w:p>
    <w:p>
      <w:pPr>
        <w:pStyle w:val="25"/>
      </w:pPr>
      <w:r>
        <w:t>（六）加强内部监督</w:t>
      </w:r>
    </w:p>
    <w:p>
      <w:pPr>
        <w:pStyle w:val="25"/>
      </w:pPr>
      <w:r>
        <w:t>?我局积极加强内部监督监督机制建设及工作制度，专门安排内部监督人员，对内部制度建设情况、绩效运行情况、重大支出决策、对外投资、资产处置等重要经济事项进行督导，及时完善不规范的方面，确保各项经济活动合法合规；对重大支出项目在绩效自评的基础上委托第三方进行重点评价，及时指出存在问题及整改措施，确保项目资金实现在支出合法合规的基础上全面实现绩效目标。</w:t>
      </w:r>
    </w:p>
    <w:p>
      <w:pPr>
        <w:pStyle w:val="25"/>
      </w:pPr>
      <w:r>
        <w:t>（七）压实责任，全力做好旅游旺季工作</w:t>
      </w:r>
    </w:p>
    <w:p>
      <w:pPr>
        <w:pStyle w:val="25"/>
      </w:pPr>
      <w:r>
        <w:t>一是抽调精干力量加入到旅游旺季综合管控组，进一步加强文化旅游市场巡查，全面排查文化旅游市场违法违规经营行为，稳步提升新区文化旅游市场环境。二是加强广电市场排查，联合工商、公安等部门对主要景区、宾馆和人群密集场所查处违法地面接收设施。三是组织文化旅游行业经营单位签订《2022年文化旅游行业安全生产责任状》，通过层层传导压力，压实安全生产责任。四是大力推动安全生产专项整治三年行动，针对整治中的重点难点问题，通过召开现场推进会、专项攻坚等措施，强力推进问题整改。对于问题严重且经整改后仍不符合安全要求的企业和高风险旅游项目，坚决依法予以关闭退出，推动旅游文化行业安全生产监管能力得到明显提升。五是加大检查力度，采取“双随机一公开”随机抽查与定期组织部门联合检查相结合的方式，重点在清明节、五一、十一、春节等重大节日假期前，对旅游文化市场经营单位加大安全检查力度和深度，全力消除安全生产隐患。</w:t>
      </w:r>
    </w:p>
    <w:p>
      <w:pPr>
        <w:pStyle w:val="25"/>
      </w:pPr>
      <w:r>
        <w:t>（八）规范财务资产管理</w:t>
      </w:r>
    </w:p>
    <w:p>
      <w:pPr>
        <w:pStyle w:val="25"/>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pPr>
        <w:pStyle w:val="25"/>
      </w:pPr>
      <w:r>
        <w:t>（九）加强宣传培训调研等</w:t>
      </w:r>
    </w:p>
    <w:p>
      <w:pPr>
        <w:pStyle w:val="25"/>
      </w:pPr>
      <w:r>
        <w:t>强化信息宣传，营造良好氛围。进一步加大信息宣传工作力度，扩大宣传范围，创新宣传方式，让各项制度简单明了、人人掌握，确保业务工作顺利进行。</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hint="default" w:ascii="方正楷体_GBK" w:hAnsi="方正楷体_GBK" w:eastAsia="方正楷体_GBK" w:cs="方正楷体_GBK"/>
          <w:b/>
          <w:color w:val="000000"/>
          <w:sz w:val="32"/>
          <w:lang w:val="en-US" w:eastAsia="zh-CN"/>
        </w:rPr>
      </w:pPr>
      <w:r>
        <w:rPr>
          <w:rFonts w:hint="eastAsia" w:ascii="方正楷体_GBK" w:hAnsi="方正楷体_GBK" w:eastAsia="方正楷体_GBK" w:cs="方正楷体_GBK"/>
          <w:b/>
          <w:color w:val="000000"/>
          <w:sz w:val="32"/>
          <w:lang w:val="en-US" w:eastAsia="zh-CN"/>
        </w:rPr>
        <w:t>第二部分 预算项目绩效目标</w:t>
      </w:r>
    </w:p>
    <w:p>
      <w:pPr>
        <w:spacing w:before="0" w:after="0"/>
        <w:jc w:val="left"/>
        <w:outlineLvl w:val="9"/>
      </w:pPr>
      <w:r>
        <w:rPr>
          <w:rFonts w:ascii="方正仿宋_GBK" w:hAnsi="方正仿宋_GBK" w:eastAsia="方正仿宋_GBK" w:cs="方正仿宋_GBK"/>
          <w:b/>
          <w:color w:val="000000"/>
          <w:sz w:val="28"/>
        </w:rPr>
        <w:t>1、旅游行业管理经费绩效目标表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1.通关开展旅游管理、服务、宣传、氛围营造等活动，促进旅游市场开发推广交流合作工作，吸引更多游客参观旅游，推动新区旅游文化体育事业的进一步开展。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开展旅游行业培训、应急演练</w:t>
            </w:r>
          </w:p>
        </w:tc>
        <w:tc>
          <w:tcPr>
            <w:tcW w:w="2835" w:type="dxa"/>
            <w:vAlign w:val="center"/>
          </w:tcPr>
          <w:p>
            <w:pPr>
              <w:pStyle w:val="14"/>
            </w:pPr>
            <w:r>
              <w:t>开展旅游行业培训和应急演练等活动次数</w:t>
            </w:r>
          </w:p>
        </w:tc>
        <w:tc>
          <w:tcPr>
            <w:tcW w:w="2551" w:type="dxa"/>
            <w:vAlign w:val="center"/>
          </w:tcPr>
          <w:p>
            <w:pPr>
              <w:pStyle w:val="14"/>
            </w:pPr>
            <w:r>
              <w:t>≥4次</w:t>
            </w:r>
          </w:p>
        </w:tc>
        <w:tc>
          <w:tcPr>
            <w:tcW w:w="2268" w:type="dxa"/>
            <w:vAlign w:val="center"/>
          </w:tcPr>
          <w:p>
            <w:pPr>
              <w:pStyle w:val="14"/>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综合事务管理工作完成率</w:t>
            </w:r>
          </w:p>
        </w:tc>
        <w:tc>
          <w:tcPr>
            <w:tcW w:w="2835" w:type="dxa"/>
            <w:vAlign w:val="center"/>
          </w:tcPr>
          <w:p>
            <w:pPr>
              <w:pStyle w:val="14"/>
            </w:pPr>
            <w:r>
              <w:t>活动相关经费</w:t>
            </w:r>
          </w:p>
        </w:tc>
        <w:tc>
          <w:tcPr>
            <w:tcW w:w="2551" w:type="dxa"/>
            <w:vAlign w:val="center"/>
          </w:tcPr>
          <w:p>
            <w:pPr>
              <w:pStyle w:val="14"/>
            </w:pPr>
            <w:r>
              <w:t>≥95%</w:t>
            </w:r>
          </w:p>
        </w:tc>
        <w:tc>
          <w:tcPr>
            <w:tcW w:w="2268" w:type="dxa"/>
            <w:vAlign w:val="center"/>
          </w:tcPr>
          <w:p>
            <w:pPr>
              <w:pStyle w:val="14"/>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p>
            <w:pPr>
              <w:pStyle w:val="14"/>
            </w:pPr>
          </w:p>
          <w:p>
            <w:pPr>
              <w:pStyle w:val="14"/>
            </w:pPr>
          </w:p>
        </w:tc>
        <w:tc>
          <w:tcPr>
            <w:tcW w:w="2835" w:type="dxa"/>
            <w:vAlign w:val="center"/>
          </w:tcPr>
          <w:p>
            <w:pPr>
              <w:pStyle w:val="14"/>
            </w:pPr>
            <w:r>
              <w:t>项目完成时间</w:t>
            </w:r>
          </w:p>
          <w:p>
            <w:pPr>
              <w:pStyle w:val="14"/>
            </w:pPr>
          </w:p>
          <w:p>
            <w:pPr>
              <w:pStyle w:val="14"/>
            </w:pPr>
          </w:p>
        </w:tc>
        <w:tc>
          <w:tcPr>
            <w:tcW w:w="2551" w:type="dxa"/>
            <w:vAlign w:val="center"/>
          </w:tcPr>
          <w:p>
            <w:pPr>
              <w:pStyle w:val="14"/>
            </w:pPr>
            <w:r>
              <w:t>2022年</w:t>
            </w:r>
          </w:p>
        </w:tc>
        <w:tc>
          <w:tcPr>
            <w:tcW w:w="2268" w:type="dxa"/>
            <w:vAlign w:val="center"/>
          </w:tcPr>
          <w:p>
            <w:pPr>
              <w:pStyle w:val="14"/>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2835" w:type="dxa"/>
            <w:vAlign w:val="center"/>
          </w:tcPr>
          <w:p>
            <w:pPr>
              <w:pStyle w:val="14"/>
            </w:pPr>
            <w:r>
              <w:t>实际支出金额小于等于预算控制数</w:t>
            </w:r>
          </w:p>
        </w:tc>
        <w:tc>
          <w:tcPr>
            <w:tcW w:w="2551" w:type="dxa"/>
            <w:vAlign w:val="center"/>
          </w:tcPr>
          <w:p>
            <w:pPr>
              <w:pStyle w:val="14"/>
            </w:pPr>
            <w:r>
              <w:t>≤9万元</w:t>
            </w:r>
          </w:p>
        </w:tc>
        <w:tc>
          <w:tcPr>
            <w:tcW w:w="2268" w:type="dxa"/>
            <w:vAlign w:val="center"/>
          </w:tcPr>
          <w:p>
            <w:pPr>
              <w:pStyle w:val="14"/>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项目的实施有助于提高新区旅游收益</w:t>
            </w:r>
          </w:p>
        </w:tc>
        <w:tc>
          <w:tcPr>
            <w:tcW w:w="2551" w:type="dxa"/>
            <w:vAlign w:val="center"/>
          </w:tcPr>
          <w:p>
            <w:pPr>
              <w:pStyle w:val="14"/>
            </w:pPr>
            <w:r>
              <w:t>效果显著</w:t>
            </w:r>
          </w:p>
        </w:tc>
        <w:tc>
          <w:tcPr>
            <w:tcW w:w="2268" w:type="dxa"/>
            <w:vAlign w:val="center"/>
          </w:tcPr>
          <w:p>
            <w:pPr>
              <w:pStyle w:val="14"/>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吸引观众、游客数</w:t>
            </w:r>
          </w:p>
        </w:tc>
        <w:tc>
          <w:tcPr>
            <w:tcW w:w="2835" w:type="dxa"/>
            <w:vAlign w:val="center"/>
          </w:tcPr>
          <w:p>
            <w:pPr>
              <w:pStyle w:val="14"/>
            </w:pPr>
            <w:r>
              <w:t>项目的有效实施，对宣传新区旅游，多大新区知名度和影响力</w:t>
            </w:r>
          </w:p>
        </w:tc>
        <w:tc>
          <w:tcPr>
            <w:tcW w:w="2551" w:type="dxa"/>
            <w:vAlign w:val="center"/>
          </w:tcPr>
          <w:p>
            <w:pPr>
              <w:pStyle w:val="14"/>
            </w:pPr>
            <w:r>
              <w:t>效果显著</w:t>
            </w:r>
          </w:p>
        </w:tc>
        <w:tc>
          <w:tcPr>
            <w:tcW w:w="2268" w:type="dxa"/>
            <w:vAlign w:val="center"/>
          </w:tcPr>
          <w:p>
            <w:pPr>
              <w:pStyle w:val="14"/>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提升行业管理水平</w:t>
            </w:r>
          </w:p>
        </w:tc>
        <w:tc>
          <w:tcPr>
            <w:tcW w:w="2835" w:type="dxa"/>
            <w:vAlign w:val="center"/>
          </w:tcPr>
          <w:p>
            <w:pPr>
              <w:pStyle w:val="14"/>
            </w:pPr>
            <w:r>
              <w:t>提升行业管理水平</w:t>
            </w:r>
          </w:p>
        </w:tc>
        <w:tc>
          <w:tcPr>
            <w:tcW w:w="2551" w:type="dxa"/>
            <w:vAlign w:val="center"/>
          </w:tcPr>
          <w:p>
            <w:pPr>
              <w:pStyle w:val="14"/>
            </w:pPr>
            <w:r>
              <w:t>效果显著</w:t>
            </w:r>
          </w:p>
        </w:tc>
        <w:tc>
          <w:tcPr>
            <w:tcW w:w="2268" w:type="dxa"/>
            <w:vAlign w:val="center"/>
          </w:tcPr>
          <w:p>
            <w:pPr>
              <w:pStyle w:val="14"/>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反映旅游游客的满意度</w:t>
            </w:r>
          </w:p>
        </w:tc>
        <w:tc>
          <w:tcPr>
            <w:tcW w:w="2835" w:type="dxa"/>
            <w:vAlign w:val="center"/>
          </w:tcPr>
          <w:p>
            <w:pPr>
              <w:pStyle w:val="14"/>
            </w:pPr>
            <w:r>
              <w:t>透过抽查问卷的方式，满意和较满意对象占全部调研对象的比例</w:t>
            </w:r>
          </w:p>
        </w:tc>
        <w:tc>
          <w:tcPr>
            <w:tcW w:w="2551" w:type="dxa"/>
            <w:vAlign w:val="center"/>
          </w:tcPr>
          <w:p>
            <w:pPr>
              <w:pStyle w:val="14"/>
            </w:pPr>
            <w:r>
              <w:t>≥95%</w:t>
            </w:r>
          </w:p>
        </w:tc>
        <w:tc>
          <w:tcPr>
            <w:tcW w:w="2268" w:type="dxa"/>
            <w:vAlign w:val="center"/>
          </w:tcPr>
          <w:p>
            <w:pPr>
              <w:pStyle w:val="14"/>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反映经营者的满意度</w:t>
            </w:r>
          </w:p>
        </w:tc>
        <w:tc>
          <w:tcPr>
            <w:tcW w:w="2835" w:type="dxa"/>
            <w:vAlign w:val="center"/>
          </w:tcPr>
          <w:p>
            <w:pPr>
              <w:pStyle w:val="14"/>
            </w:pPr>
            <w:r>
              <w:t>透过抽查问卷的方式，满意和较满意对象占全部调研对象的比例</w:t>
            </w:r>
          </w:p>
        </w:tc>
        <w:tc>
          <w:tcPr>
            <w:tcW w:w="2551" w:type="dxa"/>
            <w:vAlign w:val="center"/>
          </w:tcPr>
          <w:p>
            <w:pPr>
              <w:pStyle w:val="14"/>
            </w:pPr>
            <w:r>
              <w:t>≥95%</w:t>
            </w:r>
          </w:p>
        </w:tc>
        <w:tc>
          <w:tcPr>
            <w:tcW w:w="2268" w:type="dxa"/>
            <w:vAlign w:val="center"/>
          </w:tcPr>
          <w:p>
            <w:pPr>
              <w:pStyle w:val="14"/>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反映投诉游客的满意度</w:t>
            </w:r>
          </w:p>
        </w:tc>
        <w:tc>
          <w:tcPr>
            <w:tcW w:w="2835" w:type="dxa"/>
            <w:vAlign w:val="center"/>
          </w:tcPr>
          <w:p>
            <w:pPr>
              <w:pStyle w:val="14"/>
            </w:pPr>
            <w:r>
              <w:t>透过抽查问卷的方式，满意和较满意对象占全部调研对象的比例</w:t>
            </w:r>
          </w:p>
        </w:tc>
        <w:tc>
          <w:tcPr>
            <w:tcW w:w="2551" w:type="dxa"/>
            <w:vAlign w:val="center"/>
          </w:tcPr>
          <w:p>
            <w:pPr>
              <w:pStyle w:val="14"/>
            </w:pPr>
            <w:r>
              <w:t>≥95%</w:t>
            </w:r>
          </w:p>
        </w:tc>
        <w:tc>
          <w:tcPr>
            <w:tcW w:w="2268" w:type="dxa"/>
            <w:vAlign w:val="center"/>
          </w:tcPr>
          <w:p>
            <w:pPr>
              <w:pStyle w:val="14"/>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2、文化体育事务管理经费绩效目标表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1.公共文化服务体系建设，保障文化体育事务正常运行，确保文化体育工作顺利开展。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举办文体活动数量</w:t>
            </w:r>
          </w:p>
        </w:tc>
        <w:tc>
          <w:tcPr>
            <w:tcW w:w="2835" w:type="dxa"/>
            <w:vAlign w:val="center"/>
          </w:tcPr>
          <w:p>
            <w:pPr>
              <w:pStyle w:val="14"/>
            </w:pPr>
            <w:r>
              <w:t>开展文化体育活动次数</w:t>
            </w:r>
          </w:p>
        </w:tc>
        <w:tc>
          <w:tcPr>
            <w:tcW w:w="2551" w:type="dxa"/>
            <w:vAlign w:val="center"/>
          </w:tcPr>
          <w:p>
            <w:pPr>
              <w:pStyle w:val="14"/>
            </w:pPr>
            <w:r>
              <w:t>≥5次</w:t>
            </w:r>
          </w:p>
        </w:tc>
        <w:tc>
          <w:tcPr>
            <w:tcW w:w="2268" w:type="dxa"/>
            <w:vAlign w:val="center"/>
          </w:tcPr>
          <w:p>
            <w:pPr>
              <w:pStyle w:val="14"/>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高质量且安全完成各项活动</w:t>
            </w:r>
          </w:p>
        </w:tc>
        <w:tc>
          <w:tcPr>
            <w:tcW w:w="2835" w:type="dxa"/>
            <w:vAlign w:val="center"/>
          </w:tcPr>
          <w:p>
            <w:pPr>
              <w:pStyle w:val="14"/>
            </w:pPr>
            <w:r>
              <w:t>活动内容丰富，质量高且安全举办</w:t>
            </w:r>
          </w:p>
        </w:tc>
        <w:tc>
          <w:tcPr>
            <w:tcW w:w="2551" w:type="dxa"/>
            <w:vAlign w:val="center"/>
          </w:tcPr>
          <w:p>
            <w:pPr>
              <w:pStyle w:val="14"/>
            </w:pPr>
            <w:r>
              <w:t>质量高且安全</w:t>
            </w:r>
          </w:p>
        </w:tc>
        <w:tc>
          <w:tcPr>
            <w:tcW w:w="2268" w:type="dxa"/>
            <w:vAlign w:val="center"/>
          </w:tcPr>
          <w:p>
            <w:pPr>
              <w:pStyle w:val="14"/>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2835" w:type="dxa"/>
            <w:vAlign w:val="center"/>
          </w:tcPr>
          <w:p>
            <w:pPr>
              <w:pStyle w:val="14"/>
            </w:pPr>
            <w:r>
              <w:t>及时性</w:t>
            </w:r>
          </w:p>
        </w:tc>
        <w:tc>
          <w:tcPr>
            <w:tcW w:w="2551" w:type="dxa"/>
            <w:vAlign w:val="center"/>
          </w:tcPr>
          <w:p>
            <w:pPr>
              <w:pStyle w:val="14"/>
            </w:pPr>
            <w:r>
              <w:t>及时完成</w:t>
            </w:r>
          </w:p>
        </w:tc>
        <w:tc>
          <w:tcPr>
            <w:tcW w:w="2268" w:type="dxa"/>
            <w:vAlign w:val="center"/>
          </w:tcPr>
          <w:p>
            <w:pPr>
              <w:pStyle w:val="14"/>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2835" w:type="dxa"/>
            <w:vAlign w:val="center"/>
          </w:tcPr>
          <w:p>
            <w:pPr>
              <w:pStyle w:val="14"/>
            </w:pPr>
            <w:r>
              <w:t>预算控制数</w:t>
            </w:r>
          </w:p>
        </w:tc>
        <w:tc>
          <w:tcPr>
            <w:tcW w:w="2551" w:type="dxa"/>
            <w:vAlign w:val="center"/>
          </w:tcPr>
          <w:p>
            <w:pPr>
              <w:pStyle w:val="14"/>
            </w:pPr>
            <w:r>
              <w:t>≤16万元</w:t>
            </w:r>
          </w:p>
        </w:tc>
        <w:tc>
          <w:tcPr>
            <w:tcW w:w="2268" w:type="dxa"/>
            <w:vAlign w:val="center"/>
          </w:tcPr>
          <w:p>
            <w:pPr>
              <w:pStyle w:val="14"/>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提升公共文化服务水平</w:t>
            </w:r>
          </w:p>
        </w:tc>
        <w:tc>
          <w:tcPr>
            <w:tcW w:w="2835" w:type="dxa"/>
            <w:vAlign w:val="center"/>
          </w:tcPr>
          <w:p>
            <w:pPr>
              <w:pStyle w:val="14"/>
            </w:pPr>
            <w:r>
              <w:t>提升公共文化服务水平</w:t>
            </w:r>
          </w:p>
        </w:tc>
        <w:tc>
          <w:tcPr>
            <w:tcW w:w="2551" w:type="dxa"/>
            <w:vAlign w:val="center"/>
          </w:tcPr>
          <w:p>
            <w:pPr>
              <w:pStyle w:val="14"/>
            </w:pPr>
            <w:r>
              <w:t>作用明显</w:t>
            </w:r>
          </w:p>
        </w:tc>
        <w:tc>
          <w:tcPr>
            <w:tcW w:w="2268" w:type="dxa"/>
            <w:vAlign w:val="center"/>
          </w:tcPr>
          <w:p>
            <w:pPr>
              <w:pStyle w:val="14"/>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服务对象满意度指标</w:t>
            </w:r>
          </w:p>
        </w:tc>
        <w:tc>
          <w:tcPr>
            <w:tcW w:w="2551" w:type="dxa"/>
            <w:vAlign w:val="center"/>
          </w:tcPr>
          <w:p>
            <w:pPr>
              <w:pStyle w:val="14"/>
            </w:pPr>
            <w:r>
              <w:t>≥95%</w:t>
            </w:r>
          </w:p>
        </w:tc>
        <w:tc>
          <w:tcPr>
            <w:tcW w:w="2268" w:type="dxa"/>
            <w:vAlign w:val="center"/>
          </w:tcPr>
          <w:p>
            <w:pPr>
              <w:pStyle w:val="14"/>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3、旅游文化体育发展专项资金（含游客中心运营费、冰雪运动项目资金）绩效目标表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1.通过安排游客中心运营费，保证游客中心工作正常运转，更好地发挥游客中心的服务功能，提升新区旅游整体形象。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举办较有影响力的旅游文体活动</w:t>
            </w:r>
          </w:p>
        </w:tc>
        <w:tc>
          <w:tcPr>
            <w:tcW w:w="2835" w:type="dxa"/>
            <w:vAlign w:val="center"/>
          </w:tcPr>
          <w:p>
            <w:pPr>
              <w:pStyle w:val="14"/>
            </w:pPr>
            <w:r>
              <w:t>全民健身，帆船帆板水上运动、冰雪运动会等</w:t>
            </w:r>
          </w:p>
        </w:tc>
        <w:tc>
          <w:tcPr>
            <w:tcW w:w="2551" w:type="dxa"/>
            <w:vAlign w:val="center"/>
          </w:tcPr>
          <w:p>
            <w:pPr>
              <w:pStyle w:val="14"/>
            </w:pPr>
            <w:r>
              <w:t>≥3次</w:t>
            </w:r>
          </w:p>
        </w:tc>
        <w:tc>
          <w:tcPr>
            <w:tcW w:w="2268" w:type="dxa"/>
            <w:vAlign w:val="center"/>
          </w:tcPr>
          <w:p>
            <w:pPr>
              <w:pStyle w:val="14"/>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游客中心正常运行合格率</w:t>
            </w:r>
          </w:p>
        </w:tc>
        <w:tc>
          <w:tcPr>
            <w:tcW w:w="2835" w:type="dxa"/>
            <w:vAlign w:val="center"/>
          </w:tcPr>
          <w:p>
            <w:pPr>
              <w:pStyle w:val="14"/>
            </w:pPr>
            <w:r>
              <w:t>更好发挥游客中心的功能</w:t>
            </w:r>
          </w:p>
        </w:tc>
        <w:tc>
          <w:tcPr>
            <w:tcW w:w="2551" w:type="dxa"/>
            <w:vAlign w:val="center"/>
          </w:tcPr>
          <w:p>
            <w:pPr>
              <w:pStyle w:val="14"/>
            </w:pPr>
            <w:r>
              <w:t>≥95%</w:t>
            </w:r>
          </w:p>
        </w:tc>
        <w:tc>
          <w:tcPr>
            <w:tcW w:w="2268" w:type="dxa"/>
            <w:vAlign w:val="center"/>
          </w:tcPr>
          <w:p>
            <w:pPr>
              <w:pStyle w:val="14"/>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各个项目按时完成</w:t>
            </w:r>
          </w:p>
        </w:tc>
        <w:tc>
          <w:tcPr>
            <w:tcW w:w="2835" w:type="dxa"/>
            <w:vAlign w:val="center"/>
          </w:tcPr>
          <w:p>
            <w:pPr>
              <w:pStyle w:val="14"/>
            </w:pPr>
            <w:r>
              <w:t>项目按时完成</w:t>
            </w:r>
          </w:p>
        </w:tc>
        <w:tc>
          <w:tcPr>
            <w:tcW w:w="2551" w:type="dxa"/>
            <w:vAlign w:val="center"/>
          </w:tcPr>
          <w:p>
            <w:pPr>
              <w:pStyle w:val="14"/>
            </w:pPr>
            <w:r>
              <w:t>2022年</w:t>
            </w:r>
          </w:p>
        </w:tc>
        <w:tc>
          <w:tcPr>
            <w:tcW w:w="2268" w:type="dxa"/>
            <w:vAlign w:val="center"/>
          </w:tcPr>
          <w:p>
            <w:pPr>
              <w:pStyle w:val="14"/>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2835" w:type="dxa"/>
            <w:vAlign w:val="center"/>
          </w:tcPr>
          <w:p>
            <w:pPr>
              <w:pStyle w:val="14"/>
            </w:pPr>
            <w:r>
              <w:t>实际支出金额小于等于预算控制数</w:t>
            </w:r>
          </w:p>
        </w:tc>
        <w:tc>
          <w:tcPr>
            <w:tcW w:w="2551" w:type="dxa"/>
            <w:vAlign w:val="center"/>
          </w:tcPr>
          <w:p>
            <w:pPr>
              <w:pStyle w:val="14"/>
            </w:pPr>
            <w:r>
              <w:t>≤200万元</w:t>
            </w:r>
          </w:p>
        </w:tc>
        <w:tc>
          <w:tcPr>
            <w:tcW w:w="2268" w:type="dxa"/>
            <w:vAlign w:val="center"/>
          </w:tcPr>
          <w:p>
            <w:pPr>
              <w:pStyle w:val="14"/>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资金的使用效率</w:t>
            </w:r>
          </w:p>
        </w:tc>
        <w:tc>
          <w:tcPr>
            <w:tcW w:w="2835" w:type="dxa"/>
            <w:vAlign w:val="center"/>
          </w:tcPr>
          <w:p>
            <w:pPr>
              <w:pStyle w:val="14"/>
            </w:pPr>
            <w:r>
              <w:t>项目的实施有助于提高新区旅游收益</w:t>
            </w:r>
          </w:p>
        </w:tc>
        <w:tc>
          <w:tcPr>
            <w:tcW w:w="2551" w:type="dxa"/>
            <w:vAlign w:val="center"/>
          </w:tcPr>
          <w:p>
            <w:pPr>
              <w:pStyle w:val="14"/>
            </w:pPr>
            <w:r>
              <w:t>旅游收入大于历史数据</w:t>
            </w:r>
          </w:p>
        </w:tc>
        <w:tc>
          <w:tcPr>
            <w:tcW w:w="2268" w:type="dxa"/>
            <w:vAlign w:val="center"/>
          </w:tcPr>
          <w:p>
            <w:pPr>
              <w:pStyle w:val="14"/>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吸引观众、游客数</w:t>
            </w:r>
          </w:p>
        </w:tc>
        <w:tc>
          <w:tcPr>
            <w:tcW w:w="2835" w:type="dxa"/>
            <w:vAlign w:val="center"/>
          </w:tcPr>
          <w:p>
            <w:pPr>
              <w:pStyle w:val="14"/>
            </w:pPr>
            <w:r>
              <w:t>项目的有效实施，对宣传新区旅游文化体育，扩大新区知名度和影响力</w:t>
            </w:r>
          </w:p>
        </w:tc>
        <w:tc>
          <w:tcPr>
            <w:tcW w:w="2551" w:type="dxa"/>
            <w:vAlign w:val="center"/>
          </w:tcPr>
          <w:p>
            <w:pPr>
              <w:pStyle w:val="14"/>
            </w:pPr>
            <w:r>
              <w:t>效果显著</w:t>
            </w:r>
          </w:p>
        </w:tc>
        <w:tc>
          <w:tcPr>
            <w:tcW w:w="2268" w:type="dxa"/>
            <w:vAlign w:val="center"/>
          </w:tcPr>
          <w:p>
            <w:pPr>
              <w:pStyle w:val="14"/>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以各种形式经媒体公开发表的新闻</w:t>
            </w:r>
          </w:p>
        </w:tc>
        <w:tc>
          <w:tcPr>
            <w:tcW w:w="2835" w:type="dxa"/>
            <w:vAlign w:val="center"/>
          </w:tcPr>
          <w:p>
            <w:pPr>
              <w:pStyle w:val="14"/>
            </w:pPr>
            <w:r>
              <w:t>以各种形式经媒体公开发表的新闻报导总数</w:t>
            </w:r>
          </w:p>
        </w:tc>
        <w:tc>
          <w:tcPr>
            <w:tcW w:w="2551" w:type="dxa"/>
            <w:vAlign w:val="center"/>
          </w:tcPr>
          <w:p>
            <w:pPr>
              <w:pStyle w:val="14"/>
            </w:pPr>
            <w:r>
              <w:t>≥10篇</w:t>
            </w:r>
          </w:p>
        </w:tc>
        <w:tc>
          <w:tcPr>
            <w:tcW w:w="2268" w:type="dxa"/>
            <w:vAlign w:val="center"/>
          </w:tcPr>
          <w:p>
            <w:pPr>
              <w:pStyle w:val="14"/>
            </w:pPr>
            <w:r>
              <w:t>发文数量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反映旅游游客的满意度</w:t>
            </w:r>
          </w:p>
        </w:tc>
        <w:tc>
          <w:tcPr>
            <w:tcW w:w="2835" w:type="dxa"/>
            <w:vAlign w:val="center"/>
          </w:tcPr>
          <w:p>
            <w:pPr>
              <w:pStyle w:val="14"/>
            </w:pPr>
            <w:r>
              <w:t>通过抽查问卷的方式，满意和较满意对象占全部调研对象的比例</w:t>
            </w:r>
          </w:p>
        </w:tc>
        <w:tc>
          <w:tcPr>
            <w:tcW w:w="2551" w:type="dxa"/>
            <w:vAlign w:val="center"/>
          </w:tcPr>
          <w:p>
            <w:pPr>
              <w:pStyle w:val="14"/>
            </w:pPr>
            <w:r>
              <w:t>≥95%</w:t>
            </w:r>
          </w:p>
        </w:tc>
        <w:tc>
          <w:tcPr>
            <w:tcW w:w="2268" w:type="dxa"/>
            <w:vAlign w:val="center"/>
          </w:tcPr>
          <w:p>
            <w:pPr>
              <w:pStyle w:val="14"/>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2022年，秦皇岛北戴河新区旅游发展局安排政府采购预算194.00万元。具体内容见下表。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334秦皇岛北戴河新区旅游发展局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194.00</w:t>
            </w:r>
          </w:p>
        </w:tc>
        <w:tc>
          <w:tcPr>
            <w:tcW w:w="964" w:type="dxa"/>
            <w:vAlign w:val="center"/>
          </w:tcPr>
          <w:p>
            <w:pPr>
              <w:pStyle w:val="17"/>
            </w:pPr>
            <w:r>
              <w:t>194.00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秦皇岛北戴河新区旅游发展局本级小计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194.00</w:t>
            </w:r>
          </w:p>
        </w:tc>
        <w:tc>
          <w:tcPr>
            <w:tcW w:w="964" w:type="dxa"/>
            <w:vAlign w:val="center"/>
          </w:tcPr>
          <w:p>
            <w:pPr>
              <w:pStyle w:val="17"/>
            </w:pPr>
            <w:r>
              <w:t>194.00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旅游文化体育发展专项资金（含游客中心运营费、冰雪运动项目资金）</w:t>
            </w:r>
          </w:p>
        </w:tc>
        <w:tc>
          <w:tcPr>
            <w:tcW w:w="964" w:type="dxa"/>
            <w:vAlign w:val="center"/>
          </w:tcPr>
          <w:p>
            <w:pPr>
              <w:pStyle w:val="13"/>
            </w:pPr>
            <w:r>
              <w:t>200.00</w:t>
            </w:r>
          </w:p>
        </w:tc>
        <w:tc>
          <w:tcPr>
            <w:tcW w:w="1134" w:type="dxa"/>
            <w:vAlign w:val="center"/>
          </w:tcPr>
          <w:p>
            <w:pPr>
              <w:pStyle w:val="14"/>
            </w:pPr>
            <w:r>
              <w:t>广播系统工程</w:t>
            </w:r>
          </w:p>
        </w:tc>
        <w:tc>
          <w:tcPr>
            <w:tcW w:w="1134" w:type="dxa"/>
            <w:vAlign w:val="center"/>
          </w:tcPr>
          <w:p>
            <w:pPr>
              <w:pStyle w:val="14"/>
            </w:pPr>
            <w:r>
              <w:t>B060207</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45.00</w:t>
            </w:r>
          </w:p>
        </w:tc>
        <w:tc>
          <w:tcPr>
            <w:tcW w:w="964" w:type="dxa"/>
            <w:vAlign w:val="center"/>
          </w:tcPr>
          <w:p>
            <w:pPr>
              <w:pStyle w:val="13"/>
            </w:pPr>
            <w:r>
              <w:t>45.00</w:t>
            </w:r>
          </w:p>
        </w:tc>
        <w:tc>
          <w:tcPr>
            <w:tcW w:w="964" w:type="dxa"/>
            <w:vAlign w:val="center"/>
          </w:tcPr>
          <w:p>
            <w:pPr>
              <w:pStyle w:val="13"/>
            </w:pPr>
            <w:r>
              <w:t>45.00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旅游文化体育发展专项资金（含游客中心运营费、冰雪运动项目资金）</w:t>
            </w:r>
          </w:p>
        </w:tc>
        <w:tc>
          <w:tcPr>
            <w:tcW w:w="964" w:type="dxa"/>
            <w:vAlign w:val="center"/>
          </w:tcPr>
          <w:p>
            <w:pPr>
              <w:pStyle w:val="13"/>
            </w:pPr>
            <w:r>
              <w:t>200.00</w:t>
            </w:r>
          </w:p>
        </w:tc>
        <w:tc>
          <w:tcPr>
            <w:tcW w:w="1134" w:type="dxa"/>
            <w:vAlign w:val="center"/>
          </w:tcPr>
          <w:p>
            <w:pPr>
              <w:pStyle w:val="14"/>
            </w:pPr>
            <w:r>
              <w:t>广播系统工程</w:t>
            </w:r>
          </w:p>
        </w:tc>
        <w:tc>
          <w:tcPr>
            <w:tcW w:w="1134" w:type="dxa"/>
            <w:vAlign w:val="center"/>
          </w:tcPr>
          <w:p>
            <w:pPr>
              <w:pStyle w:val="14"/>
            </w:pPr>
            <w:r>
              <w:t>B060207</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15.00</w:t>
            </w:r>
          </w:p>
        </w:tc>
        <w:tc>
          <w:tcPr>
            <w:tcW w:w="964" w:type="dxa"/>
            <w:vAlign w:val="center"/>
          </w:tcPr>
          <w:p>
            <w:pPr>
              <w:pStyle w:val="13"/>
            </w:pPr>
            <w:r>
              <w:t>15.00</w:t>
            </w:r>
          </w:p>
        </w:tc>
        <w:tc>
          <w:tcPr>
            <w:tcW w:w="964" w:type="dxa"/>
            <w:vAlign w:val="center"/>
          </w:tcPr>
          <w:p>
            <w:pPr>
              <w:pStyle w:val="13"/>
            </w:pPr>
            <w:r>
              <w:t>15.00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旅游文化体育发展专项资金（含游客中心运营费、冰雪运动项目资金）</w:t>
            </w:r>
          </w:p>
        </w:tc>
        <w:tc>
          <w:tcPr>
            <w:tcW w:w="964" w:type="dxa"/>
            <w:vAlign w:val="center"/>
          </w:tcPr>
          <w:p>
            <w:pPr>
              <w:pStyle w:val="13"/>
            </w:pPr>
            <w:r>
              <w:t>200.00</w:t>
            </w:r>
          </w:p>
        </w:tc>
        <w:tc>
          <w:tcPr>
            <w:tcW w:w="1134" w:type="dxa"/>
            <w:vAlign w:val="center"/>
          </w:tcPr>
          <w:p>
            <w:pPr>
              <w:pStyle w:val="14"/>
            </w:pPr>
            <w:r>
              <w:t>广播系统工程</w:t>
            </w:r>
          </w:p>
        </w:tc>
        <w:tc>
          <w:tcPr>
            <w:tcW w:w="1134" w:type="dxa"/>
            <w:vAlign w:val="center"/>
          </w:tcPr>
          <w:p>
            <w:pPr>
              <w:pStyle w:val="14"/>
            </w:pPr>
            <w:r>
              <w:t>B060207</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15.00</w:t>
            </w:r>
          </w:p>
        </w:tc>
        <w:tc>
          <w:tcPr>
            <w:tcW w:w="964" w:type="dxa"/>
            <w:vAlign w:val="center"/>
          </w:tcPr>
          <w:p>
            <w:pPr>
              <w:pStyle w:val="13"/>
            </w:pPr>
            <w:r>
              <w:t>15.00</w:t>
            </w:r>
          </w:p>
        </w:tc>
        <w:tc>
          <w:tcPr>
            <w:tcW w:w="964" w:type="dxa"/>
            <w:vAlign w:val="center"/>
          </w:tcPr>
          <w:p>
            <w:pPr>
              <w:pStyle w:val="13"/>
            </w:pPr>
            <w:r>
              <w:t>15.00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旅游文化体育发展专项资金（含游客中心运营费、冰雪运动项目资金）</w:t>
            </w:r>
          </w:p>
        </w:tc>
        <w:tc>
          <w:tcPr>
            <w:tcW w:w="964" w:type="dxa"/>
            <w:vAlign w:val="center"/>
          </w:tcPr>
          <w:p>
            <w:pPr>
              <w:pStyle w:val="13"/>
            </w:pPr>
            <w:r>
              <w:t>200.00</w:t>
            </w:r>
          </w:p>
        </w:tc>
        <w:tc>
          <w:tcPr>
            <w:tcW w:w="1134" w:type="dxa"/>
            <w:vAlign w:val="center"/>
          </w:tcPr>
          <w:p>
            <w:pPr>
              <w:pStyle w:val="14"/>
            </w:pPr>
            <w:r>
              <w:t>其他服务</w:t>
            </w:r>
          </w:p>
        </w:tc>
        <w:tc>
          <w:tcPr>
            <w:tcW w:w="1134" w:type="dxa"/>
            <w:vAlign w:val="center"/>
          </w:tcPr>
          <w:p>
            <w:pPr>
              <w:pStyle w:val="14"/>
            </w:pPr>
            <w:r>
              <w:t>C99</w:t>
            </w:r>
          </w:p>
        </w:tc>
        <w:tc>
          <w:tcPr>
            <w:tcW w:w="709" w:type="dxa"/>
            <w:vAlign w:val="center"/>
          </w:tcPr>
          <w:p>
            <w:pPr>
              <w:pStyle w:val="15"/>
            </w:pPr>
            <w:r>
              <w:t>部</w:t>
            </w:r>
          </w:p>
        </w:tc>
        <w:tc>
          <w:tcPr>
            <w:tcW w:w="850" w:type="dxa"/>
            <w:vAlign w:val="center"/>
          </w:tcPr>
          <w:p>
            <w:pPr>
              <w:pStyle w:val="13"/>
            </w:pPr>
            <w:r>
              <w:t>1</w:t>
            </w:r>
          </w:p>
        </w:tc>
        <w:tc>
          <w:tcPr>
            <w:tcW w:w="850" w:type="dxa"/>
            <w:vAlign w:val="center"/>
          </w:tcPr>
          <w:p>
            <w:pPr>
              <w:pStyle w:val="13"/>
            </w:pPr>
            <w:r>
              <w:t>60.00</w:t>
            </w:r>
          </w:p>
        </w:tc>
        <w:tc>
          <w:tcPr>
            <w:tcW w:w="964" w:type="dxa"/>
            <w:vAlign w:val="center"/>
          </w:tcPr>
          <w:p>
            <w:pPr>
              <w:pStyle w:val="13"/>
            </w:pPr>
            <w:r>
              <w:t>60.00</w:t>
            </w:r>
          </w:p>
        </w:tc>
        <w:tc>
          <w:tcPr>
            <w:tcW w:w="964" w:type="dxa"/>
            <w:vAlign w:val="center"/>
          </w:tcPr>
          <w:p>
            <w:pPr>
              <w:pStyle w:val="13"/>
            </w:pPr>
            <w:r>
              <w:t>60.00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旅游文化体育发展专项资金（含游客中心运营费、冰雪运动项目资金）</w:t>
            </w:r>
          </w:p>
        </w:tc>
        <w:tc>
          <w:tcPr>
            <w:tcW w:w="964" w:type="dxa"/>
            <w:vAlign w:val="center"/>
          </w:tcPr>
          <w:p>
            <w:pPr>
              <w:pStyle w:val="13"/>
            </w:pPr>
            <w:r>
              <w:t>200.00</w:t>
            </w:r>
          </w:p>
        </w:tc>
        <w:tc>
          <w:tcPr>
            <w:tcW w:w="1134" w:type="dxa"/>
            <w:vAlign w:val="center"/>
          </w:tcPr>
          <w:p>
            <w:pPr>
              <w:pStyle w:val="14"/>
            </w:pPr>
            <w:r>
              <w:t>其他服务</w:t>
            </w:r>
          </w:p>
        </w:tc>
        <w:tc>
          <w:tcPr>
            <w:tcW w:w="1134" w:type="dxa"/>
            <w:vAlign w:val="center"/>
          </w:tcPr>
          <w:p>
            <w:pPr>
              <w:pStyle w:val="14"/>
            </w:pPr>
            <w:r>
              <w:t>C99</w:t>
            </w:r>
          </w:p>
        </w:tc>
        <w:tc>
          <w:tcPr>
            <w:tcW w:w="709" w:type="dxa"/>
            <w:vAlign w:val="center"/>
          </w:tcPr>
          <w:p>
            <w:pPr>
              <w:pStyle w:val="15"/>
            </w:pPr>
            <w:r>
              <w:t>部</w:t>
            </w:r>
          </w:p>
        </w:tc>
        <w:tc>
          <w:tcPr>
            <w:tcW w:w="850" w:type="dxa"/>
            <w:vAlign w:val="center"/>
          </w:tcPr>
          <w:p>
            <w:pPr>
              <w:pStyle w:val="13"/>
            </w:pPr>
            <w:r>
              <w:t>1</w:t>
            </w:r>
          </w:p>
        </w:tc>
        <w:tc>
          <w:tcPr>
            <w:tcW w:w="850" w:type="dxa"/>
            <w:vAlign w:val="center"/>
          </w:tcPr>
          <w:p>
            <w:pPr>
              <w:pStyle w:val="13"/>
            </w:pPr>
            <w:r>
              <w:t>59.00</w:t>
            </w:r>
          </w:p>
        </w:tc>
        <w:tc>
          <w:tcPr>
            <w:tcW w:w="964" w:type="dxa"/>
            <w:vAlign w:val="center"/>
          </w:tcPr>
          <w:p>
            <w:pPr>
              <w:pStyle w:val="13"/>
            </w:pPr>
            <w:r>
              <w:t>59.00</w:t>
            </w:r>
          </w:p>
        </w:tc>
        <w:tc>
          <w:tcPr>
            <w:tcW w:w="964" w:type="dxa"/>
            <w:vAlign w:val="center"/>
          </w:tcPr>
          <w:p>
            <w:pPr>
              <w:pStyle w:val="13"/>
            </w:pPr>
            <w:r>
              <w:t>59.00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color w:val="000000" w:themeColor="text1"/>
          <w:highlight w:val="none"/>
          <w14:textFill>
            <w14:solidFill>
              <w14:schemeClr w14:val="tx1"/>
            </w14:solidFill>
          </w14:textFill>
        </w:rPr>
      </w:pPr>
      <w:bookmarkStart w:id="15" w:name="_Toc_3_3_0000000016"/>
      <w:r>
        <w:rPr>
          <w:rFonts w:ascii="黑体" w:hAnsi="黑体" w:eastAsia="黑体" w:cs="黑体"/>
          <w:color w:val="000000" w:themeColor="text1"/>
          <w:sz w:val="32"/>
          <w:highlight w:val="none"/>
          <w14:textFill>
            <w14:solidFill>
              <w14:schemeClr w14:val="tx1"/>
            </w14:solidFill>
          </w14:textFill>
        </w:rPr>
        <w:t>七、国有资产信息</w:t>
      </w:r>
      <w:bookmarkEnd w:id="15"/>
    </w:p>
    <w:p>
      <w:pPr>
        <w:spacing w:before="0" w:after="0" w:line="500" w:lineRule="exact"/>
        <w:ind w:firstLine="560"/>
        <w:jc w:val="left"/>
        <w:outlineLvl w:val="9"/>
        <w:rPr>
          <w:color w:val="000000" w:themeColor="text1"/>
          <w:highlight w:val="none"/>
          <w14:textFill>
            <w14:solidFill>
              <w14:schemeClr w14:val="tx1"/>
            </w14:solidFill>
          </w14:textFill>
        </w:rPr>
      </w:pPr>
      <w:r>
        <w:rPr>
          <w:rFonts w:ascii="Times New Roman" w:hAnsi="Times New Roman" w:eastAsia="方正仿宋_GBK" w:cs="Times New Roman"/>
          <w:b w:val="0"/>
          <w:color w:val="000000" w:themeColor="text1"/>
          <w:sz w:val="28"/>
          <w:highlight w:val="none"/>
          <w14:textFill>
            <w14:solidFill>
              <w14:schemeClr w14:val="tx1"/>
            </w14:solidFill>
          </w14:textFill>
        </w:rPr>
        <w:t>秦皇岛北戴河新区旅游发展局（含所属单位）上年末固定资产金额为</w:t>
      </w:r>
      <w:r>
        <w:rPr>
          <w:rFonts w:hint="eastAsia" w:eastAsia="方正仿宋_GBK" w:cs="Times New Roman"/>
          <w:b w:val="0"/>
          <w:color w:val="000000" w:themeColor="text1"/>
          <w:sz w:val="28"/>
          <w:highlight w:val="none"/>
          <w:lang w:val="en-US" w:eastAsia="zh-CN"/>
          <w14:textFill>
            <w14:solidFill>
              <w14:schemeClr w14:val="tx1"/>
            </w14:solidFill>
          </w14:textFill>
        </w:rPr>
        <w:t>232.35938</w:t>
      </w:r>
      <w:r>
        <w:rPr>
          <w:rFonts w:ascii="Times New Roman" w:hAnsi="Times New Roman" w:eastAsia="方正仿宋_GBK" w:cs="Times New Roman"/>
          <w:b w:val="0"/>
          <w:color w:val="000000" w:themeColor="text1"/>
          <w:sz w:val="28"/>
          <w:highlight w:val="none"/>
          <w14:textFill>
            <w14:solidFill>
              <w14:schemeClr w14:val="tx1"/>
            </w14:solidFill>
          </w14:textFill>
        </w:rPr>
        <w:t>万元（详见下表）。</w:t>
      </w:r>
    </w:p>
    <w:p>
      <w:pPr>
        <w:spacing w:before="0" w:after="0" w:line="240" w:lineRule="auto"/>
        <w:ind w:firstLine="0"/>
        <w:jc w:val="center"/>
        <w:outlineLvl w:val="9"/>
        <w:rPr>
          <w:color w:val="000000" w:themeColor="text1"/>
          <w:highlight w:val="none"/>
          <w14:textFill>
            <w14:solidFill>
              <w14:schemeClr w14:val="tx1"/>
            </w14:solidFill>
          </w14:textFill>
        </w:rPr>
      </w:pPr>
      <w:r>
        <w:rPr>
          <w:rFonts w:ascii="方正小标宋_GBK" w:hAnsi="方正小标宋_GBK" w:eastAsia="方正小标宋_GBK" w:cs="方正小标宋_GBK"/>
          <w:color w:val="000000" w:themeColor="text1"/>
          <w:sz w:val="36"/>
          <w:highlight w:val="none"/>
          <w14:textFill>
            <w14:solidFill>
              <w14:schemeClr w14:val="tx1"/>
            </w14:solidFill>
          </w14:textFill>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334秦皇岛北戴河新区旅游发展局</w:t>
            </w:r>
          </w:p>
        </w:tc>
        <w:tc>
          <w:tcPr>
            <w:tcW w:w="9866" w:type="dxa"/>
            <w:gridSpan w:val="2"/>
            <w:tcBorders>
              <w:top w:val="single" w:color="FFFFFF" w:sz="6" w:space="0"/>
              <w:left w:val="single" w:color="FFFFFF" w:sz="6" w:space="0"/>
              <w:right w:val="single" w:color="FFFFFF" w:sz="6" w:space="0"/>
            </w:tcBorders>
            <w:vAlign w:val="center"/>
          </w:tcPr>
          <w:p>
            <w:pPr>
              <w:pStyle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   目</w:t>
            </w:r>
          </w:p>
        </w:tc>
        <w:tc>
          <w:tcPr>
            <w:tcW w:w="4933" w:type="dxa"/>
            <w:vAlign w:val="center"/>
          </w:tcPr>
          <w:p>
            <w:pPr>
              <w:pStyle w:val="1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4933" w:type="dxa"/>
            <w:vAlign w:val="center"/>
          </w:tcPr>
          <w:p>
            <w:pPr>
              <w:pStyle w:val="1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ascii="方正书宋_GBK" w:hAnsi="方正书宋_GBK" w:eastAsia="方正书宋_GBK" w:cs="方正书宋_GBK"/>
                <w:sz w:val="21"/>
                <w:szCs w:val="24"/>
                <w:lang w:val="en-US" w:eastAsia="uk-UA" w:bidi="ar-SA"/>
              </w:rPr>
            </w:pPr>
            <w:r>
              <w:rPr>
                <w:rFonts w:hint="eastAsia"/>
              </w:rPr>
              <w:t>土地、房屋及构筑物</w:t>
            </w:r>
            <w:r>
              <w:rPr>
                <w:rFonts w:hint="eastAsia"/>
              </w:rPr>
              <w:tab/>
            </w:r>
            <w:r>
              <w:rPr>
                <w:rFonts w:hint="eastAsia"/>
              </w:rPr>
              <w:tab/>
            </w:r>
          </w:p>
        </w:tc>
        <w:tc>
          <w:tcPr>
            <w:tcW w:w="4933"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ascii="方正书宋_GBK" w:hAnsi="方正书宋_GBK" w:eastAsia="方正书宋_GBK" w:cs="方正书宋_GBK"/>
                <w:sz w:val="21"/>
                <w:szCs w:val="24"/>
                <w:lang w:val="en-US" w:eastAsia="uk-UA" w:bidi="ar-SA"/>
              </w:rPr>
            </w:pPr>
            <w:r>
              <w:rPr>
                <w:rFonts w:hint="eastAsia"/>
              </w:rPr>
              <w:t>通用设备</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108.70338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ascii="方正书宋_GBK" w:hAnsi="方正书宋_GBK" w:eastAsia="方正书宋_GBK" w:cs="方正书宋_GBK"/>
                <w:sz w:val="21"/>
                <w:szCs w:val="24"/>
                <w:lang w:val="en-US" w:eastAsia="uk-UA" w:bidi="ar-SA"/>
              </w:rPr>
            </w:pPr>
            <w:r>
              <w:rPr>
                <w:rFonts w:hint="eastAsia"/>
              </w:rPr>
              <w:t>专用设备</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ascii="方正书宋_GBK" w:hAnsi="方正书宋_GBK" w:eastAsia="方正书宋_GBK" w:cs="方正书宋_GBK"/>
                <w:sz w:val="21"/>
                <w:szCs w:val="24"/>
                <w:lang w:val="en-US" w:eastAsia="uk-UA" w:bidi="ar-SA"/>
              </w:rPr>
            </w:pPr>
            <w:r>
              <w:rPr>
                <w:rFonts w:hint="eastAsia"/>
              </w:rPr>
              <w:t>文物和陈列品</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ascii="方正书宋_GBK" w:hAnsi="方正书宋_GBK" w:eastAsia="方正书宋_GBK" w:cs="方正书宋_GBK"/>
                <w:sz w:val="21"/>
                <w:szCs w:val="24"/>
                <w:lang w:val="en-US" w:eastAsia="uk-UA" w:bidi="ar-SA"/>
              </w:rPr>
            </w:pPr>
            <w:r>
              <w:rPr>
                <w:rFonts w:hint="eastAsia"/>
              </w:rPr>
              <w:t>图书、档案</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ascii="方正书宋_GBK" w:hAnsi="方正书宋_GBK" w:eastAsia="方正书宋_GBK" w:cs="方正书宋_GBK"/>
                <w:sz w:val="21"/>
                <w:szCs w:val="24"/>
                <w:lang w:val="en-US" w:eastAsia="uk-UA" w:bidi="ar-SA"/>
              </w:rPr>
            </w:pPr>
            <w:r>
              <w:rPr>
                <w:rFonts w:hint="eastAsia"/>
              </w:rPr>
              <w:t>家具、用具、装具及动植物</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ascii="方正书宋_GBK" w:hAnsi="方正书宋_GBK" w:eastAsia="方正书宋_GBK" w:cs="方正书宋_GBK"/>
                <w:sz w:val="21"/>
                <w:szCs w:val="24"/>
                <w:lang w:val="en-US" w:eastAsia="uk-UA" w:bidi="ar-SA"/>
              </w:rPr>
            </w:pPr>
            <w:r>
              <w:rPr>
                <w:rFonts w:hint="eastAsia"/>
              </w:rPr>
              <w:t>无形资产</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0.33</w:t>
            </w:r>
          </w:p>
        </w:tc>
      </w:tr>
    </w:tbl>
    <w:p>
      <w:pPr>
        <w:spacing w:before="0" w:after="0"/>
        <w:ind w:firstLine="640"/>
        <w:jc w:val="left"/>
        <w:outlineLvl w:val="9"/>
        <w:rPr>
          <w:color w:val="FF0000"/>
        </w:rPr>
      </w:pPr>
      <w:r>
        <w:rPr>
          <w:rFonts w:ascii="Times New Roman" w:hAnsi="Times New Roman" w:eastAsia="方正仿宋_GBK" w:cs="Times New Roman"/>
          <w:color w:val="FF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3F6414"/>
    <w:multiLevelType w:val="singleLevel"/>
    <w:tmpl w:val="A33F64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339F1"/>
    <w:rsid w:val="133D6582"/>
    <w:rsid w:val="155B056F"/>
    <w:rsid w:val="1A5066D6"/>
    <w:rsid w:val="30C96FC7"/>
    <w:rsid w:val="404402EE"/>
    <w:rsid w:val="421A585C"/>
    <w:rsid w:val="429412DD"/>
    <w:rsid w:val="44387735"/>
    <w:rsid w:val="4F0C2942"/>
    <w:rsid w:val="534B26CA"/>
    <w:rsid w:val="550B62DE"/>
    <w:rsid w:val="665D7F56"/>
    <w:rsid w:val="75796623"/>
    <w:rsid w:val="78E23CAC"/>
    <w:rsid w:val="7D5C68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2022-02-21T09:25:50Z</dcterms:created>
  <dcterms:modified xsi:type="dcterms:W3CDTF">2022-02-21T01:25:50Z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2022-02-21T09:25:50Z</dcterms:created>
  <dcterms:modified xsi:type="dcterms:W3CDTF">2022-02-21T01:25:50Z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2022-02-21T09:25:50Z</dcterms:created>
  <dcterms:modified xsi:type="dcterms:W3CDTF">2022-02-21T01:25:50Z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2022-02-21T09:25:51Z</dcterms:created>
  <dcterms:modified xsi:type="dcterms:W3CDTF">2022-02-21T01:25:51Z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2022-02-21T09:25:47Z</dcterms:created>
  <dcterms:modified xsi:type="dcterms:W3CDTF">2022-02-21T01:25:47Z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2022-02-21T09:25:47Z</dcterms:created>
  <dcterms:modified xsi:type="dcterms:W3CDTF">2022-02-21T01:25:47Z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2022-02-21T09:25:48Z</dcterms:created>
  <dcterms:modified xsi:type="dcterms:W3CDTF">2022-02-21T01:25:48Z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2022-02-21T09:25:48Z</dcterms:created>
  <dcterms:modified xsi:type="dcterms:W3CDTF">2022-02-21T01:25:48Z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2022-02-21T09:25:47Z</dcterms:created>
  <dcterms:modified xsi:type="dcterms:W3CDTF">2022-02-21T01:25:47Z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2022-02-21T09:25:48Z</dcterms:created>
  <dcterms:modified xsi:type="dcterms:W3CDTF">2022-02-21T01:25:48Z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2022-02-21T09:25:50Z</dcterms:created>
  <dcterms:modified xsi:type="dcterms:W3CDTF">2022-02-21T01:25:50Z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6f8c80f-06f2-4450-9a5f-7265e1959f32}">
  <ds:schemaRefs/>
</ds:datastoreItem>
</file>

<file path=customXml/itemProps11.xml><?xml version="1.0" encoding="utf-8"?>
<ds:datastoreItem xmlns:ds="http://schemas.openxmlformats.org/officeDocument/2006/customXml" ds:itemID="{26fc2135-a138-4329-869f-78e9433ae8fa}">
  <ds:schemaRefs/>
</ds:datastoreItem>
</file>

<file path=customXml/itemProps12.xml><?xml version="1.0" encoding="utf-8"?>
<ds:datastoreItem xmlns:ds="http://schemas.openxmlformats.org/officeDocument/2006/customXml" ds:itemID="{fff671a2-0129-4b04-8345-075bfe51b13e}">
  <ds:schemaRefs/>
</ds:datastoreItem>
</file>

<file path=customXml/itemProps13.xml><?xml version="1.0" encoding="utf-8"?>
<ds:datastoreItem xmlns:ds="http://schemas.openxmlformats.org/officeDocument/2006/customXml" ds:itemID="{ab688783-1983-4c53-8c73-0657913f1a9c}">
  <ds:schemaRefs/>
</ds:datastoreItem>
</file>

<file path=customXml/itemProps14.xml><?xml version="1.0" encoding="utf-8"?>
<ds:datastoreItem xmlns:ds="http://schemas.openxmlformats.org/officeDocument/2006/customXml" ds:itemID="{9760d283-df37-4994-a262-a256d24fb63b}">
  <ds:schemaRefs/>
</ds:datastoreItem>
</file>

<file path=customXml/itemProps15.xml><?xml version="1.0" encoding="utf-8"?>
<ds:datastoreItem xmlns:ds="http://schemas.openxmlformats.org/officeDocument/2006/customXml" ds:itemID="{691db5bf-770f-4a74-b9f0-f88796c0c980}">
  <ds:schemaRefs/>
</ds:datastoreItem>
</file>

<file path=customXml/itemProps16.xml><?xml version="1.0" encoding="utf-8"?>
<ds:datastoreItem xmlns:ds="http://schemas.openxmlformats.org/officeDocument/2006/customXml" ds:itemID="{332de0a2-7413-42b6-973c-fc46a1bd5189}">
  <ds:schemaRefs/>
</ds:datastoreItem>
</file>

<file path=customXml/itemProps17.xml><?xml version="1.0" encoding="utf-8"?>
<ds:datastoreItem xmlns:ds="http://schemas.openxmlformats.org/officeDocument/2006/customXml" ds:itemID="{dff8a8ea-512e-44d4-b1a4-a17682be16d3}">
  <ds:schemaRefs/>
</ds:datastoreItem>
</file>

<file path=customXml/itemProps18.xml><?xml version="1.0" encoding="utf-8"?>
<ds:datastoreItem xmlns:ds="http://schemas.openxmlformats.org/officeDocument/2006/customXml" ds:itemID="{31e0745c-130c-4f2c-aae7-828d90b6b514}">
  <ds:schemaRefs/>
</ds:datastoreItem>
</file>

<file path=customXml/itemProps19.xml><?xml version="1.0" encoding="utf-8"?>
<ds:datastoreItem xmlns:ds="http://schemas.openxmlformats.org/officeDocument/2006/customXml" ds:itemID="{05db201d-410c-4bd3-aec0-796c0552f762}">
  <ds:schemaRefs/>
</ds:datastoreItem>
</file>

<file path=customXml/itemProps2.xml><?xml version="1.0" encoding="utf-8"?>
<ds:datastoreItem xmlns:ds="http://schemas.openxmlformats.org/officeDocument/2006/customXml" ds:itemID="{5e0da2b2-c705-4c15-9d80-21030c8ef84d}">
  <ds:schemaRefs/>
</ds:datastoreItem>
</file>

<file path=customXml/itemProps20.xml><?xml version="1.0" encoding="utf-8"?>
<ds:datastoreItem xmlns:ds="http://schemas.openxmlformats.org/officeDocument/2006/customXml" ds:itemID="{57c37dfa-8441-4843-ac5c-c7b74851146b}">
  <ds:schemaRefs/>
</ds:datastoreItem>
</file>

<file path=customXml/itemProps21.xml><?xml version="1.0" encoding="utf-8"?>
<ds:datastoreItem xmlns:ds="http://schemas.openxmlformats.org/officeDocument/2006/customXml" ds:itemID="{7fd9b18f-5d5d-4e53-a9e6-83ca56ea3b91}">
  <ds:schemaRefs/>
</ds:datastoreItem>
</file>

<file path=customXml/itemProps22.xml><?xml version="1.0" encoding="utf-8"?>
<ds:datastoreItem xmlns:ds="http://schemas.openxmlformats.org/officeDocument/2006/customXml" ds:itemID="{0882f5e3-cb50-46a3-b68a-13b8602f3a85}">
  <ds:schemaRefs/>
</ds:datastoreItem>
</file>

<file path=customXml/itemProps23.xml><?xml version="1.0" encoding="utf-8"?>
<ds:datastoreItem xmlns:ds="http://schemas.openxmlformats.org/officeDocument/2006/customXml" ds:itemID="{764b1532-738c-4d69-867c-f9df2edc50ea}">
  <ds:schemaRefs/>
</ds:datastoreItem>
</file>

<file path=customXml/itemProps3.xml><?xml version="1.0" encoding="utf-8"?>
<ds:datastoreItem xmlns:ds="http://schemas.openxmlformats.org/officeDocument/2006/customXml" ds:itemID="{4db0863c-2791-46e3-b59e-c96d6961aff9}">
  <ds:schemaRefs/>
</ds:datastoreItem>
</file>

<file path=customXml/itemProps4.xml><?xml version="1.0" encoding="utf-8"?>
<ds:datastoreItem xmlns:ds="http://schemas.openxmlformats.org/officeDocument/2006/customXml" ds:itemID="{b4fde677-d1de-463b-9502-63856847e9f7}">
  <ds:schemaRefs/>
</ds:datastoreItem>
</file>

<file path=customXml/itemProps5.xml><?xml version="1.0" encoding="utf-8"?>
<ds:datastoreItem xmlns:ds="http://schemas.openxmlformats.org/officeDocument/2006/customXml" ds:itemID="{05a36f98-a3bb-4308-98cf-e75152411729}">
  <ds:schemaRefs/>
</ds:datastoreItem>
</file>

<file path=customXml/itemProps6.xml><?xml version="1.0" encoding="utf-8"?>
<ds:datastoreItem xmlns:ds="http://schemas.openxmlformats.org/officeDocument/2006/customXml" ds:itemID="{7755ef20-504c-4400-b249-550c7e3d1254}">
  <ds:schemaRefs/>
</ds:datastoreItem>
</file>

<file path=customXml/itemProps7.xml><?xml version="1.0" encoding="utf-8"?>
<ds:datastoreItem xmlns:ds="http://schemas.openxmlformats.org/officeDocument/2006/customXml" ds:itemID="{8685d98f-ef04-4d11-b487-46e3374757ec}">
  <ds:schemaRefs/>
</ds:datastoreItem>
</file>

<file path=customXml/itemProps8.xml><?xml version="1.0" encoding="utf-8"?>
<ds:datastoreItem xmlns:ds="http://schemas.openxmlformats.org/officeDocument/2006/customXml" ds:itemID="{b22fa07d-37cf-49a4-bd6d-108c1121d1a2}">
  <ds:schemaRefs/>
</ds:datastoreItem>
</file>

<file path=customXml/itemProps9.xml><?xml version="1.0" encoding="utf-8"?>
<ds:datastoreItem xmlns:ds="http://schemas.openxmlformats.org/officeDocument/2006/customXml" ds:itemID="{8391660a-44f2-4590-928e-c04155215fbb}">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2022-02-21T09:25:00Z</dcterms:created>
  <dc:creator>Administrator</dc:creator>
  <cp:lastModifiedBy>Alexa</cp:lastModifiedBy>
  <dcterms:modified xsi:type="dcterms:W3CDTF">2023-08-17T12:27:19Z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2C58DAF49DE84331953960CBBA5661B5</vt:lpwstr>
  </property>
</Properties>
</file>