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803.40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803.40</w:t>
            </w:r>
          </w:p>
        </w:tc>
        <w:tc>
          <w:tcPr>
            <w:tcW w:w="4535" w:type="dxa"/>
            <w:vAlign w:val="center"/>
          </w:tcPr>
          <w:p>
            <w:pPr>
              <w:pStyle w:val="16"/>
            </w:pPr>
            <w:r>
              <w:t>本年支出合计</w:t>
            </w:r>
          </w:p>
        </w:tc>
        <w:tc>
          <w:tcPr>
            <w:tcW w:w="2126" w:type="dxa"/>
            <w:vAlign w:val="center"/>
          </w:tcPr>
          <w:p>
            <w:pPr>
              <w:pStyle w:val="17"/>
            </w:pPr>
            <w:r>
              <w:t>809.40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809.40</w:t>
            </w:r>
          </w:p>
        </w:tc>
        <w:tc>
          <w:tcPr>
            <w:tcW w:w="4535" w:type="dxa"/>
            <w:vAlign w:val="center"/>
          </w:tcPr>
          <w:p>
            <w:pPr>
              <w:pStyle w:val="16"/>
            </w:pPr>
            <w:r>
              <w:t>支出总计</w:t>
            </w:r>
          </w:p>
        </w:tc>
        <w:tc>
          <w:tcPr>
            <w:tcW w:w="2126" w:type="dxa"/>
            <w:vAlign w:val="center"/>
          </w:tcPr>
          <w:p>
            <w:pPr>
              <w:pStyle w:val="17"/>
            </w:pPr>
            <w:r>
              <w:t>809.40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809.40</w:t>
            </w:r>
          </w:p>
        </w:tc>
        <w:tc>
          <w:tcPr>
            <w:tcW w:w="1134" w:type="dxa"/>
            <w:vAlign w:val="center"/>
          </w:tcPr>
          <w:p>
            <w:pPr>
              <w:pStyle w:val="17"/>
            </w:pPr>
            <w:r>
              <w:t>803.40</w:t>
            </w:r>
          </w:p>
        </w:tc>
        <w:tc>
          <w:tcPr>
            <w:tcW w:w="1134" w:type="dxa"/>
            <w:vAlign w:val="center"/>
          </w:tcPr>
          <w:p>
            <w:pPr>
              <w:pStyle w:val="17"/>
            </w:pPr>
            <w:r>
              <w:t>803.40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667.20</w:t>
            </w:r>
          </w:p>
        </w:tc>
        <w:tc>
          <w:tcPr>
            <w:tcW w:w="1134" w:type="dxa"/>
            <w:vAlign w:val="center"/>
          </w:tcPr>
          <w:p>
            <w:pPr>
              <w:pStyle w:val="13"/>
            </w:pPr>
            <w:r>
              <w:t>661.20</w:t>
            </w:r>
          </w:p>
        </w:tc>
        <w:tc>
          <w:tcPr>
            <w:tcW w:w="1134" w:type="dxa"/>
            <w:vAlign w:val="center"/>
          </w:tcPr>
          <w:p>
            <w:pPr>
              <w:pStyle w:val="13"/>
            </w:pPr>
            <w:r>
              <w:t>661.20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462.72</w:t>
            </w:r>
          </w:p>
        </w:tc>
        <w:tc>
          <w:tcPr>
            <w:tcW w:w="1134" w:type="dxa"/>
            <w:vAlign w:val="center"/>
          </w:tcPr>
          <w:p>
            <w:pPr>
              <w:pStyle w:val="13"/>
            </w:pPr>
            <w:r>
              <w:t>461.20</w:t>
            </w:r>
          </w:p>
        </w:tc>
        <w:tc>
          <w:tcPr>
            <w:tcW w:w="1134" w:type="dxa"/>
            <w:vAlign w:val="center"/>
          </w:tcPr>
          <w:p>
            <w:pPr>
              <w:pStyle w:val="13"/>
            </w:pPr>
            <w:r>
              <w:t>461.20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301.20</w:t>
            </w:r>
          </w:p>
        </w:tc>
        <w:tc>
          <w:tcPr>
            <w:tcW w:w="1134" w:type="dxa"/>
            <w:vAlign w:val="center"/>
          </w:tcPr>
          <w:p>
            <w:pPr>
              <w:pStyle w:val="13"/>
            </w:pPr>
            <w:r>
              <w:t>301.20</w:t>
            </w:r>
          </w:p>
        </w:tc>
        <w:tc>
          <w:tcPr>
            <w:tcW w:w="1134" w:type="dxa"/>
            <w:vAlign w:val="center"/>
          </w:tcPr>
          <w:p>
            <w:pPr>
              <w:pStyle w:val="13"/>
            </w:pPr>
            <w:r>
              <w:t>301.20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2070114</w:t>
            </w:r>
          </w:p>
        </w:tc>
        <w:tc>
          <w:tcPr>
            <w:tcW w:w="1559" w:type="dxa"/>
            <w:vAlign w:val="center"/>
          </w:tcPr>
          <w:p>
            <w:pPr>
              <w:pStyle w:val="14"/>
            </w:pPr>
            <w:r>
              <w:t>文化和旅游管理事务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151.52</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2070305</w:t>
            </w:r>
          </w:p>
        </w:tc>
        <w:tc>
          <w:tcPr>
            <w:tcW w:w="1559" w:type="dxa"/>
            <w:vAlign w:val="center"/>
          </w:tcPr>
          <w:p>
            <w:pPr>
              <w:pStyle w:val="14"/>
            </w:pPr>
            <w:r>
              <w:t>体育竞赛</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809.40</w:t>
            </w:r>
          </w:p>
        </w:tc>
        <w:tc>
          <w:tcPr>
            <w:tcW w:w="1361" w:type="dxa"/>
            <w:vAlign w:val="center"/>
          </w:tcPr>
          <w:p>
            <w:pPr>
              <w:pStyle w:val="17"/>
            </w:pPr>
            <w:r>
              <w:t>443.40</w:t>
            </w:r>
          </w:p>
        </w:tc>
        <w:tc>
          <w:tcPr>
            <w:tcW w:w="1361" w:type="dxa"/>
            <w:vAlign w:val="center"/>
          </w:tcPr>
          <w:p>
            <w:pPr>
              <w:pStyle w:val="17"/>
            </w:pPr>
            <w:r>
              <w:t>366.00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667.20</w:t>
            </w:r>
          </w:p>
        </w:tc>
        <w:tc>
          <w:tcPr>
            <w:tcW w:w="1361" w:type="dxa"/>
            <w:vAlign w:val="center"/>
          </w:tcPr>
          <w:p>
            <w:pPr>
              <w:pStyle w:val="13"/>
            </w:pPr>
            <w:r>
              <w:t>301.20</w:t>
            </w:r>
          </w:p>
        </w:tc>
        <w:tc>
          <w:tcPr>
            <w:tcW w:w="1361" w:type="dxa"/>
            <w:vAlign w:val="center"/>
          </w:tcPr>
          <w:p>
            <w:pPr>
              <w:pStyle w:val="13"/>
            </w:pPr>
            <w:r>
              <w:t>366.00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462.72</w:t>
            </w:r>
          </w:p>
        </w:tc>
        <w:tc>
          <w:tcPr>
            <w:tcW w:w="1361" w:type="dxa"/>
            <w:vAlign w:val="center"/>
          </w:tcPr>
          <w:p>
            <w:pPr>
              <w:pStyle w:val="13"/>
            </w:pPr>
            <w:r>
              <w:t>301.20</w:t>
            </w:r>
          </w:p>
        </w:tc>
        <w:tc>
          <w:tcPr>
            <w:tcW w:w="1361" w:type="dxa"/>
            <w:vAlign w:val="center"/>
          </w:tcPr>
          <w:p>
            <w:pPr>
              <w:pStyle w:val="13"/>
            </w:pPr>
            <w:r>
              <w:t>161.52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301.20</w:t>
            </w:r>
          </w:p>
        </w:tc>
        <w:tc>
          <w:tcPr>
            <w:tcW w:w="1361" w:type="dxa"/>
            <w:vAlign w:val="center"/>
          </w:tcPr>
          <w:p>
            <w:pPr>
              <w:pStyle w:val="13"/>
            </w:pPr>
            <w:r>
              <w:t>301.20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2070114</w:t>
            </w:r>
          </w:p>
        </w:tc>
        <w:tc>
          <w:tcPr>
            <w:tcW w:w="4535" w:type="dxa"/>
            <w:vAlign w:val="center"/>
          </w:tcPr>
          <w:p>
            <w:pPr>
              <w:pStyle w:val="14"/>
            </w:pPr>
            <w:r>
              <w:t>文化和旅游管理事务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151.52</w:t>
            </w:r>
          </w:p>
        </w:tc>
        <w:tc>
          <w:tcPr>
            <w:tcW w:w="1361" w:type="dxa"/>
            <w:vAlign w:val="center"/>
          </w:tcPr>
          <w:p>
            <w:pPr>
              <w:pStyle w:val="13"/>
            </w:pPr>
          </w:p>
        </w:tc>
        <w:tc>
          <w:tcPr>
            <w:tcW w:w="1361" w:type="dxa"/>
            <w:vAlign w:val="center"/>
          </w:tcPr>
          <w:p>
            <w:pPr>
              <w:pStyle w:val="13"/>
            </w:pPr>
            <w:r>
              <w:t>151.52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2070305</w:t>
            </w:r>
          </w:p>
        </w:tc>
        <w:tc>
          <w:tcPr>
            <w:tcW w:w="4535" w:type="dxa"/>
            <w:vAlign w:val="center"/>
          </w:tcPr>
          <w:p>
            <w:pPr>
              <w:pStyle w:val="14"/>
            </w:pPr>
            <w:r>
              <w:t>体育竞赛</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56.71</w:t>
            </w:r>
          </w:p>
        </w:tc>
        <w:tc>
          <w:tcPr>
            <w:tcW w:w="1361" w:type="dxa"/>
            <w:vAlign w:val="center"/>
          </w:tcPr>
          <w:p>
            <w:pPr>
              <w:pStyle w:val="13"/>
            </w:pPr>
            <w:r>
              <w:t>56.71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56.71</w:t>
            </w:r>
          </w:p>
        </w:tc>
        <w:tc>
          <w:tcPr>
            <w:tcW w:w="1361" w:type="dxa"/>
            <w:vAlign w:val="center"/>
          </w:tcPr>
          <w:p>
            <w:pPr>
              <w:pStyle w:val="13"/>
            </w:pPr>
            <w:r>
              <w:t>56.71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51.88</w:t>
            </w:r>
          </w:p>
        </w:tc>
        <w:tc>
          <w:tcPr>
            <w:tcW w:w="1361" w:type="dxa"/>
            <w:vAlign w:val="center"/>
          </w:tcPr>
          <w:p>
            <w:pPr>
              <w:pStyle w:val="13"/>
            </w:pPr>
            <w:r>
              <w:t>51.88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803.40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667.20</w:t>
            </w:r>
          </w:p>
        </w:tc>
        <w:tc>
          <w:tcPr>
            <w:tcW w:w="1474" w:type="dxa"/>
            <w:vAlign w:val="center"/>
          </w:tcPr>
          <w:p>
            <w:pPr>
              <w:pStyle w:val="13"/>
            </w:pPr>
            <w:r>
              <w:t>667.20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56.71</w:t>
            </w:r>
          </w:p>
        </w:tc>
        <w:tc>
          <w:tcPr>
            <w:tcW w:w="1474" w:type="dxa"/>
            <w:vAlign w:val="center"/>
          </w:tcPr>
          <w:p>
            <w:pPr>
              <w:pStyle w:val="13"/>
            </w:pPr>
            <w:r>
              <w:t>56.71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41.80</w:t>
            </w:r>
          </w:p>
        </w:tc>
        <w:tc>
          <w:tcPr>
            <w:tcW w:w="1474" w:type="dxa"/>
            <w:vAlign w:val="center"/>
          </w:tcPr>
          <w:p>
            <w:pPr>
              <w:pStyle w:val="13"/>
            </w:pPr>
            <w:r>
              <w:t>41.80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43.69</w:t>
            </w:r>
          </w:p>
        </w:tc>
        <w:tc>
          <w:tcPr>
            <w:tcW w:w="1474" w:type="dxa"/>
            <w:vAlign w:val="center"/>
          </w:tcPr>
          <w:p>
            <w:pPr>
              <w:pStyle w:val="13"/>
            </w:pPr>
            <w:r>
              <w:t>43.69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803.40</w:t>
            </w:r>
          </w:p>
        </w:tc>
        <w:tc>
          <w:tcPr>
            <w:tcW w:w="3402" w:type="dxa"/>
            <w:vAlign w:val="center"/>
          </w:tcPr>
          <w:p>
            <w:pPr>
              <w:pStyle w:val="16"/>
            </w:pPr>
            <w:r>
              <w:t>本年支出合计</w:t>
            </w:r>
          </w:p>
        </w:tc>
        <w:tc>
          <w:tcPr>
            <w:tcW w:w="1474" w:type="dxa"/>
            <w:vAlign w:val="center"/>
          </w:tcPr>
          <w:p>
            <w:pPr>
              <w:pStyle w:val="17"/>
            </w:pPr>
            <w:r>
              <w:t>809.40</w:t>
            </w:r>
          </w:p>
        </w:tc>
        <w:tc>
          <w:tcPr>
            <w:tcW w:w="1474" w:type="dxa"/>
            <w:vAlign w:val="center"/>
          </w:tcPr>
          <w:p>
            <w:pPr>
              <w:pStyle w:val="17"/>
            </w:pPr>
            <w:r>
              <w:t>809.40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6.00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6.00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809.40</w:t>
            </w:r>
          </w:p>
        </w:tc>
        <w:tc>
          <w:tcPr>
            <w:tcW w:w="3402" w:type="dxa"/>
            <w:vAlign w:val="center"/>
          </w:tcPr>
          <w:p>
            <w:pPr>
              <w:pStyle w:val="16"/>
            </w:pPr>
            <w:r>
              <w:t>支出总计</w:t>
            </w:r>
          </w:p>
        </w:tc>
        <w:tc>
          <w:tcPr>
            <w:tcW w:w="1474" w:type="dxa"/>
            <w:vAlign w:val="center"/>
          </w:tcPr>
          <w:p>
            <w:pPr>
              <w:pStyle w:val="17"/>
            </w:pPr>
            <w:r>
              <w:t>809.40</w:t>
            </w:r>
          </w:p>
        </w:tc>
        <w:tc>
          <w:tcPr>
            <w:tcW w:w="1474" w:type="dxa"/>
            <w:vAlign w:val="center"/>
          </w:tcPr>
          <w:p>
            <w:pPr>
              <w:pStyle w:val="17"/>
            </w:pPr>
            <w:r>
              <w:t>809.40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809.40</w:t>
            </w:r>
          </w:p>
        </w:tc>
        <w:tc>
          <w:tcPr>
            <w:tcW w:w="2551" w:type="dxa"/>
            <w:vAlign w:val="center"/>
          </w:tcPr>
          <w:p>
            <w:pPr>
              <w:pStyle w:val="17"/>
            </w:pPr>
            <w:r>
              <w:t>443.40</w:t>
            </w:r>
          </w:p>
        </w:tc>
        <w:tc>
          <w:tcPr>
            <w:tcW w:w="2551" w:type="dxa"/>
            <w:vAlign w:val="center"/>
          </w:tcPr>
          <w:p>
            <w:pPr>
              <w:pStyle w:val="17"/>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667.20</w:t>
            </w:r>
          </w:p>
        </w:tc>
        <w:tc>
          <w:tcPr>
            <w:tcW w:w="2551" w:type="dxa"/>
            <w:vAlign w:val="center"/>
          </w:tcPr>
          <w:p>
            <w:pPr>
              <w:pStyle w:val="13"/>
            </w:pPr>
            <w:r>
              <w:t>301.20</w:t>
            </w:r>
          </w:p>
        </w:tc>
        <w:tc>
          <w:tcPr>
            <w:tcW w:w="2551" w:type="dxa"/>
            <w:vAlign w:val="center"/>
          </w:tcPr>
          <w:p>
            <w:pPr>
              <w:pStyle w:val="13"/>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462.72</w:t>
            </w:r>
          </w:p>
        </w:tc>
        <w:tc>
          <w:tcPr>
            <w:tcW w:w="2551" w:type="dxa"/>
            <w:vAlign w:val="center"/>
          </w:tcPr>
          <w:p>
            <w:pPr>
              <w:pStyle w:val="13"/>
            </w:pPr>
            <w:r>
              <w:t>301.20</w:t>
            </w:r>
          </w:p>
        </w:tc>
        <w:tc>
          <w:tcPr>
            <w:tcW w:w="2551" w:type="dxa"/>
            <w:vAlign w:val="center"/>
          </w:tcPr>
          <w:p>
            <w:pPr>
              <w:pStyle w:val="13"/>
            </w:pPr>
            <w:r>
              <w:t>161.52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301.20</w:t>
            </w:r>
          </w:p>
        </w:tc>
        <w:tc>
          <w:tcPr>
            <w:tcW w:w="2551" w:type="dxa"/>
            <w:vAlign w:val="center"/>
          </w:tcPr>
          <w:p>
            <w:pPr>
              <w:pStyle w:val="13"/>
            </w:pPr>
            <w:r>
              <w:t>301.20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2070114</w:t>
            </w:r>
          </w:p>
        </w:tc>
        <w:tc>
          <w:tcPr>
            <w:tcW w:w="4535" w:type="dxa"/>
            <w:vAlign w:val="center"/>
          </w:tcPr>
          <w:p>
            <w:pPr>
              <w:pStyle w:val="14"/>
            </w:pPr>
            <w:r>
              <w:t>文化和旅游管理事务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151.52</w:t>
            </w:r>
          </w:p>
        </w:tc>
        <w:tc>
          <w:tcPr>
            <w:tcW w:w="2551" w:type="dxa"/>
            <w:vAlign w:val="center"/>
          </w:tcPr>
          <w:p>
            <w:pPr>
              <w:pStyle w:val="13"/>
            </w:pPr>
          </w:p>
        </w:tc>
        <w:tc>
          <w:tcPr>
            <w:tcW w:w="2551" w:type="dxa"/>
            <w:vAlign w:val="center"/>
          </w:tcPr>
          <w:p>
            <w:pPr>
              <w:pStyle w:val="13"/>
            </w:pPr>
            <w:r>
              <w:t>151.52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2070305</w:t>
            </w:r>
          </w:p>
        </w:tc>
        <w:tc>
          <w:tcPr>
            <w:tcW w:w="4535" w:type="dxa"/>
            <w:vAlign w:val="center"/>
          </w:tcPr>
          <w:p>
            <w:pPr>
              <w:pStyle w:val="14"/>
            </w:pPr>
            <w:r>
              <w:t>体育竞赛</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4.48</w:t>
            </w:r>
          </w:p>
        </w:tc>
        <w:tc>
          <w:tcPr>
            <w:tcW w:w="2551" w:type="dxa"/>
            <w:vAlign w:val="center"/>
          </w:tcPr>
          <w:p>
            <w:pPr>
              <w:pStyle w:val="13"/>
            </w:pPr>
          </w:p>
        </w:tc>
        <w:tc>
          <w:tcPr>
            <w:tcW w:w="2551"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4.48</w:t>
            </w:r>
          </w:p>
        </w:tc>
        <w:tc>
          <w:tcPr>
            <w:tcW w:w="2551" w:type="dxa"/>
            <w:vAlign w:val="center"/>
          </w:tcPr>
          <w:p>
            <w:pPr>
              <w:pStyle w:val="13"/>
            </w:pPr>
          </w:p>
        </w:tc>
        <w:tc>
          <w:tcPr>
            <w:tcW w:w="2551"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56.71</w:t>
            </w:r>
          </w:p>
        </w:tc>
        <w:tc>
          <w:tcPr>
            <w:tcW w:w="2551" w:type="dxa"/>
            <w:vAlign w:val="center"/>
          </w:tcPr>
          <w:p>
            <w:pPr>
              <w:pStyle w:val="13"/>
            </w:pPr>
            <w:r>
              <w:t>56.71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56.71</w:t>
            </w:r>
          </w:p>
        </w:tc>
        <w:tc>
          <w:tcPr>
            <w:tcW w:w="2551" w:type="dxa"/>
            <w:vAlign w:val="center"/>
          </w:tcPr>
          <w:p>
            <w:pPr>
              <w:pStyle w:val="13"/>
            </w:pPr>
            <w:r>
              <w:t>56.71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443.40</w:t>
            </w:r>
          </w:p>
        </w:tc>
        <w:tc>
          <w:tcPr>
            <w:tcW w:w="2551" w:type="dxa"/>
            <w:vAlign w:val="center"/>
          </w:tcPr>
          <w:p>
            <w:pPr>
              <w:pStyle w:val="17"/>
            </w:pPr>
            <w:r>
              <w:t>411.31</w:t>
            </w:r>
          </w:p>
        </w:tc>
        <w:tc>
          <w:tcPr>
            <w:tcW w:w="2551" w:type="dxa"/>
            <w:vAlign w:val="center"/>
          </w:tcPr>
          <w:p>
            <w:pPr>
              <w:pStyle w:val="17"/>
            </w:pPr>
            <w:r>
              <w:t>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411.31</w:t>
            </w:r>
          </w:p>
        </w:tc>
        <w:tc>
          <w:tcPr>
            <w:tcW w:w="2551" w:type="dxa"/>
            <w:vAlign w:val="center"/>
          </w:tcPr>
          <w:p>
            <w:pPr>
              <w:pStyle w:val="13"/>
            </w:pPr>
            <w:r>
              <w:t>411.31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100.82</w:t>
            </w:r>
          </w:p>
        </w:tc>
        <w:tc>
          <w:tcPr>
            <w:tcW w:w="2551" w:type="dxa"/>
            <w:vAlign w:val="center"/>
          </w:tcPr>
          <w:p>
            <w:pPr>
              <w:pStyle w:val="13"/>
            </w:pPr>
            <w:r>
              <w:t>100.82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35.52</w:t>
            </w:r>
          </w:p>
        </w:tc>
        <w:tc>
          <w:tcPr>
            <w:tcW w:w="2551" w:type="dxa"/>
            <w:vAlign w:val="center"/>
          </w:tcPr>
          <w:p>
            <w:pPr>
              <w:pStyle w:val="13"/>
            </w:pPr>
            <w:r>
              <w:t>35.52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68.22</w:t>
            </w:r>
          </w:p>
        </w:tc>
        <w:tc>
          <w:tcPr>
            <w:tcW w:w="2551" w:type="dxa"/>
            <w:vAlign w:val="center"/>
          </w:tcPr>
          <w:p>
            <w:pPr>
              <w:pStyle w:val="13"/>
            </w:pPr>
            <w:r>
              <w:t>68.22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61.29</w:t>
            </w:r>
          </w:p>
        </w:tc>
        <w:tc>
          <w:tcPr>
            <w:tcW w:w="2551" w:type="dxa"/>
            <w:vAlign w:val="center"/>
          </w:tcPr>
          <w:p>
            <w:pPr>
              <w:pStyle w:val="13"/>
            </w:pPr>
            <w:r>
              <w:t>61.29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3.26</w:t>
            </w:r>
          </w:p>
        </w:tc>
        <w:tc>
          <w:tcPr>
            <w:tcW w:w="2551" w:type="dxa"/>
            <w:vAlign w:val="center"/>
          </w:tcPr>
          <w:p>
            <w:pPr>
              <w:pStyle w:val="13"/>
            </w:pPr>
            <w:r>
              <w:t>3.26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31.05</w:t>
            </w:r>
          </w:p>
        </w:tc>
        <w:tc>
          <w:tcPr>
            <w:tcW w:w="2551" w:type="dxa"/>
            <w:vAlign w:val="center"/>
          </w:tcPr>
          <w:p>
            <w:pPr>
              <w:pStyle w:val="13"/>
            </w:pPr>
          </w:p>
        </w:tc>
        <w:tc>
          <w:tcPr>
            <w:tcW w:w="2551" w:type="dxa"/>
            <w:vAlign w:val="center"/>
          </w:tcPr>
          <w:p>
            <w:pPr>
              <w:pStyle w:val="13"/>
            </w:pPr>
            <w:r>
              <w:t>31.05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4.16</w:t>
            </w:r>
          </w:p>
        </w:tc>
        <w:tc>
          <w:tcPr>
            <w:tcW w:w="2551" w:type="dxa"/>
            <w:vAlign w:val="center"/>
          </w:tcPr>
          <w:p>
            <w:pPr>
              <w:pStyle w:val="13"/>
            </w:pPr>
          </w:p>
        </w:tc>
        <w:tc>
          <w:tcPr>
            <w:tcW w:w="2551" w:type="dxa"/>
            <w:vAlign w:val="center"/>
          </w:tcPr>
          <w:p>
            <w:pPr>
              <w:pStyle w:val="13"/>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3.79</w:t>
            </w:r>
          </w:p>
        </w:tc>
        <w:tc>
          <w:tcPr>
            <w:tcW w:w="2551" w:type="dxa"/>
            <w:vAlign w:val="center"/>
          </w:tcPr>
          <w:p>
            <w:pPr>
              <w:pStyle w:val="13"/>
            </w:pPr>
          </w:p>
        </w:tc>
        <w:tc>
          <w:tcPr>
            <w:tcW w:w="2551" w:type="dxa"/>
            <w:vAlign w:val="center"/>
          </w:tcPr>
          <w:p>
            <w:pPr>
              <w:pStyle w:val="13"/>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3.07</w:t>
            </w:r>
          </w:p>
        </w:tc>
        <w:tc>
          <w:tcPr>
            <w:tcW w:w="2551" w:type="dxa"/>
            <w:vAlign w:val="center"/>
          </w:tcPr>
          <w:p>
            <w:pPr>
              <w:pStyle w:val="13"/>
            </w:pPr>
          </w:p>
        </w:tc>
        <w:tc>
          <w:tcPr>
            <w:tcW w:w="2551" w:type="dxa"/>
            <w:vAlign w:val="center"/>
          </w:tcPr>
          <w:p>
            <w:pPr>
              <w:pStyle w:val="13"/>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92"/>
        <w:gridCol w:w="13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892" w:type="dxa"/>
            <w:vMerge w:val="restart"/>
            <w:vAlign w:val="center"/>
          </w:tcPr>
          <w:p>
            <w:pPr>
              <w:pStyle w:val="12"/>
            </w:pPr>
            <w:r>
              <w:t>项  目</w:t>
            </w:r>
          </w:p>
        </w:tc>
        <w:tc>
          <w:tcPr>
            <w:tcW w:w="632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892" w:type="dxa"/>
            <w:vMerge w:val="continue"/>
          </w:tcPr>
          <w:p/>
        </w:tc>
        <w:tc>
          <w:tcPr>
            <w:tcW w:w="1394"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892" w:type="dxa"/>
            <w:vAlign w:val="center"/>
          </w:tcPr>
          <w:p>
            <w:pPr>
              <w:pStyle w:val="12"/>
            </w:pPr>
            <w:r>
              <w:t>1</w:t>
            </w:r>
          </w:p>
        </w:tc>
        <w:tc>
          <w:tcPr>
            <w:tcW w:w="139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892" w:type="dxa"/>
            <w:vAlign w:val="center"/>
          </w:tcPr>
          <w:p>
            <w:pPr>
              <w:pStyle w:val="16"/>
            </w:pPr>
            <w:r>
              <w:t>合计</w:t>
            </w:r>
          </w:p>
        </w:tc>
        <w:tc>
          <w:tcPr>
            <w:tcW w:w="1394" w:type="dxa"/>
            <w:vAlign w:val="center"/>
          </w:tcPr>
          <w:p>
            <w:pPr>
              <w:pStyle w:val="17"/>
            </w:pPr>
            <w:r>
              <w:t>2.64</w:t>
            </w:r>
          </w:p>
        </w:tc>
        <w:tc>
          <w:tcPr>
            <w:tcW w:w="1643" w:type="dxa"/>
            <w:vAlign w:val="center"/>
          </w:tcPr>
          <w:p>
            <w:pPr>
              <w:pStyle w:val="17"/>
            </w:pPr>
            <w:r>
              <w:t>2.64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892" w:type="dxa"/>
            <w:vAlign w:val="center"/>
          </w:tcPr>
          <w:p>
            <w:pPr>
              <w:pStyle w:val="14"/>
            </w:pPr>
            <w:r>
              <w:t>一、因公出国（境）费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892" w:type="dxa"/>
            <w:vAlign w:val="center"/>
          </w:tcPr>
          <w:p>
            <w:pPr>
              <w:pStyle w:val="14"/>
            </w:pPr>
            <w:r>
              <w:t xml:space="preserve">    其中：教学科研人员因公出国（境）费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892" w:type="dxa"/>
            <w:vAlign w:val="center"/>
          </w:tcPr>
          <w:p>
            <w:pPr>
              <w:pStyle w:val="14"/>
            </w:pPr>
            <w:r>
              <w:t xml:space="preserve">          其他因公出国（境）费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892" w:type="dxa"/>
            <w:vAlign w:val="center"/>
          </w:tcPr>
          <w:p>
            <w:pPr>
              <w:pStyle w:val="14"/>
            </w:pPr>
            <w:r>
              <w:t>二、公务用车购置及运维费</w:t>
            </w:r>
          </w:p>
        </w:tc>
        <w:tc>
          <w:tcPr>
            <w:tcW w:w="1394"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892" w:type="dxa"/>
            <w:vAlign w:val="center"/>
          </w:tcPr>
          <w:p>
            <w:pPr>
              <w:pStyle w:val="14"/>
            </w:pPr>
            <w:r>
              <w:t xml:space="preserve">    其中：公务用车购置费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892" w:type="dxa"/>
            <w:vAlign w:val="center"/>
          </w:tcPr>
          <w:p>
            <w:pPr>
              <w:pStyle w:val="14"/>
            </w:pPr>
            <w:r>
              <w:t xml:space="preserve">          公务用车运行维护费</w:t>
            </w:r>
          </w:p>
        </w:tc>
        <w:tc>
          <w:tcPr>
            <w:tcW w:w="1394"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892" w:type="dxa"/>
            <w:vAlign w:val="center"/>
          </w:tcPr>
          <w:p>
            <w:pPr>
              <w:pStyle w:val="14"/>
            </w:pPr>
            <w:r>
              <w:t>三、公务接待费</w:t>
            </w:r>
          </w:p>
        </w:tc>
        <w:tc>
          <w:tcPr>
            <w:tcW w:w="1394" w:type="dxa"/>
            <w:vAlign w:val="center"/>
          </w:tcPr>
          <w:p>
            <w:pPr>
              <w:pStyle w:val="13"/>
            </w:pPr>
            <w:r>
              <w:t>0.34</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秦皇岛北戴河新区旅游文化体育广电局2023年部门预算信息公开情况说明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按照《预算法》、《地方预决算公开操作规程》和《关于进一步推进预算公开工作的实施意见》规定，现将秦皇岛北戴河新区旅游文化体育广电局2023年部门预算公开如下：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贯彻落实党中央和省、市委关于旅游、文化、广播电视、文物和体育工作的方针政策和决策部署，坚持和加强党对旅游、文化、广播电视、文物和体育工作的集中统一领导。主要职责是：</w:t>
      </w:r>
    </w:p>
    <w:p>
      <w:pPr>
        <w:pStyle w:val="19"/>
      </w:pPr>
      <w:r>
        <w:t xml:space="preserve">（一）负责贯彻执行党、国家、省、市有关旅游、文化、广播电视、文物和体育工作方针政策和法律法规；编制并组织实施全区旅游、文化、广播电视、文物、体育产业发展中长期规划、专项规划、年度计划。 </w:t>
      </w:r>
    </w:p>
    <w:p>
      <w:pPr>
        <w:pStyle w:val="19"/>
      </w:pPr>
      <w:r>
        <w:t>（二）管理全区性重大文化活动。指导全区重点旅游和文化设施建设，促进文化产业和旅游产业对外合作与交流，指导推进全区全域旅游示范区、旅游度假区创建工作。</w:t>
      </w:r>
    </w:p>
    <w:p>
      <w:pPr>
        <w:pStyle w:val="19"/>
      </w:pPr>
      <w:r>
        <w:t>（三）负责全区旅游和文化公共服务体系的建设和管理；负责旅游项目日常管理；负责旅游专项资金的申报、审批。</w:t>
      </w:r>
    </w:p>
    <w:p>
      <w:pPr>
        <w:pStyle w:val="19"/>
      </w:pPr>
      <w:r>
        <w:t>（四）推进全区旅游、文化、广播电视、文物科技创新发展，推进文化和旅游行业信息化、标准化建设。</w:t>
      </w:r>
    </w:p>
    <w:p>
      <w:pPr>
        <w:pStyle w:val="19"/>
      </w:pPr>
      <w:r>
        <w:t>（五）规划全区旅游产业、文化产业和广播电视产业。推动旅游、文化资源普查、挖掘、保护和利用工作，促进旅游产业和文化产业发展。</w:t>
      </w:r>
    </w:p>
    <w:p>
      <w:pPr>
        <w:pStyle w:val="19"/>
      </w:pPr>
      <w:r>
        <w:t>（六）引导旅游业投资，组织开展旅游招商引资工作。</w:t>
      </w:r>
    </w:p>
    <w:p>
      <w:pPr>
        <w:pStyle w:val="19"/>
      </w:pPr>
      <w:r>
        <w:t>（七）指导、管理全区文艺事业。指导艺术创作生产，扶持体现社会主义核心价值观、具有导向性代表性示范性的文艺作品，推动全区各门类艺术、各艺术品种发展。</w:t>
      </w:r>
    </w:p>
    <w:p>
      <w:pPr>
        <w:pStyle w:val="19"/>
      </w:pPr>
      <w:r>
        <w:t>（八）负责推动非物质文化遗产的保护、传承、普及、弘扬和振兴。</w:t>
      </w:r>
    </w:p>
    <w:p>
      <w:pPr>
        <w:pStyle w:val="19"/>
      </w:pPr>
      <w:r>
        <w:t>（九）负责全区旅游、文化市场经营单位的安全生产监督管理工作，承担假日旅游文化市场、旅游文化安全综合协调和监督管理。</w:t>
      </w:r>
    </w:p>
    <w:p>
      <w:pPr>
        <w:pStyle w:val="19"/>
      </w:pPr>
      <w:r>
        <w:t>（十）按照上级部门委托执法内容，负责对全区范围内旅游、文化、文物、广播电视领域的综合行政执法工作。</w:t>
      </w:r>
    </w:p>
    <w:p>
      <w:pPr>
        <w:pStyle w:val="19"/>
      </w:pPr>
      <w: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19"/>
      </w:pPr>
      <w:r>
        <w:t>（十二）指导、监督和协调全区各部门、行业、社会团体积极开展体育活动，推进体育社会化和全民健身活动的开展。</w:t>
      </w:r>
    </w:p>
    <w:p>
      <w:pPr>
        <w:pStyle w:val="19"/>
      </w:pPr>
      <w:r>
        <w:t>（十三）统一规划全区运动项目的布局，研究和指导全区业余训练工作。</w:t>
      </w:r>
    </w:p>
    <w:p>
      <w:pPr>
        <w:pStyle w:val="19"/>
      </w:pPr>
      <w:r>
        <w:t>（十四）负责在新区举办的国内、省和市体育比赛的组织管理及统筹工作，指导、协调、监督全区性的体育竞赛工作。</w:t>
      </w:r>
    </w:p>
    <w:p>
      <w:pPr>
        <w:pStyle w:val="19"/>
      </w:pPr>
      <w: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19"/>
      </w:pPr>
      <w:r>
        <w:t>（十六）负责应急指挥中心系统软硬件的管理维护、升级优化及运营管理；负责大数据中心、智慧旅游及旅游信息化公共服务系统软硬件的管理维护和升级优化；负责北戴河新区旅游大数据分析工作。</w:t>
      </w:r>
    </w:p>
    <w:p>
      <w:pPr>
        <w:pStyle w:val="19"/>
      </w:pPr>
      <w:r>
        <w:t>（十七）负责游客咨询、投诉、举报、求助等诉求的受理、处理、移交、督办、反馈工作；负责旅游文化行业舆情管理；负责全区旅游和文化市场扫黑除恶工作。</w:t>
      </w:r>
    </w:p>
    <w:p>
      <w:pPr>
        <w:pStyle w:val="19"/>
      </w:pPr>
      <w:r>
        <w:t>（十八）新区党工委、管委会交办的其他事项。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秦皇岛北戴河新区旅游文化体育广电局本级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按照预算管理有关规定，目前我部门预算的编制实行综合预算管理，即全部收入和支出都反映在预算中。秦皇岛北戴河新区旅游文化体育广电局机关及所属事业单位的收支包含在部门预算中。</w:t>
      </w:r>
    </w:p>
    <w:p>
      <w:pPr>
        <w:pStyle w:val="19"/>
        <w:rPr>
          <w:rFonts w:hint="default"/>
        </w:rPr>
      </w:pPr>
      <w:r>
        <w:rPr>
          <w:rFonts w:hint="eastAsia"/>
          <w:lang w:eastAsia="zh-CN"/>
        </w:rPr>
        <w:t>（</w:t>
      </w:r>
      <w:r>
        <w:rPr>
          <w:rFonts w:hint="eastAsia"/>
          <w:lang w:val="en-US" w:eastAsia="zh-CN"/>
        </w:rPr>
        <w:t>一</w:t>
      </w:r>
      <w:r>
        <w:rPr>
          <w:rFonts w:hint="eastAsia"/>
          <w:lang w:eastAsia="zh-CN"/>
        </w:rPr>
        <w:t>）</w:t>
      </w:r>
      <w:r>
        <w:rPr>
          <w:rFonts w:hint="default"/>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(含上年结转资金6万元）</w:t>
      </w:r>
      <w:r>
        <w:rPr>
          <w:rFonts w:hint="default" w:ascii="Times New Roman" w:hAnsi="Times New Roman" w:eastAsia="方正仿宋_GBK" w:cs="Times New Roman"/>
          <w:color w:val="000000"/>
          <w:sz w:val="28"/>
        </w:rPr>
        <w:t>。</w:t>
      </w:r>
    </w:p>
    <w:p>
      <w:pPr>
        <w:pStyle w:val="19"/>
        <w:rPr>
          <w:rFonts w:hint="default"/>
        </w:rPr>
      </w:pPr>
      <w:r>
        <w:rPr>
          <w:rFonts w:hint="eastAsia"/>
          <w:lang w:eastAsia="zh-CN"/>
        </w:rPr>
        <w:t>（</w:t>
      </w:r>
      <w:r>
        <w:rPr>
          <w:rFonts w:hint="eastAsia"/>
          <w:lang w:val="en-US" w:eastAsia="zh-CN"/>
        </w:rPr>
        <w:t>二</w:t>
      </w:r>
      <w:r>
        <w:rPr>
          <w:rFonts w:hint="eastAsia"/>
          <w:lang w:eastAsia="zh-CN"/>
        </w:rPr>
        <w:t>）</w:t>
      </w:r>
      <w:r>
        <w:rPr>
          <w:rFonts w:hint="default"/>
        </w:rPr>
        <w:t>支出说明</w:t>
      </w:r>
    </w:p>
    <w:p>
      <w:pPr>
        <w:ind w:firstLine="560" w:firstLineChars="200"/>
        <w:rPr>
          <w:rFonts w:hint="default"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4"/>
          <w:lang w:val="en-US" w:eastAsia="zh-CN" w:bidi="ar-SA"/>
        </w:rPr>
        <w:t>部门</w:t>
      </w:r>
      <w:r>
        <w:rPr>
          <w:rFonts w:ascii="Times New Roman" w:hAnsi="Times New Roman" w:eastAsia="方正仿宋_GBK" w:cs="Times New Roman"/>
          <w:color w:val="000000"/>
          <w:sz w:val="28"/>
          <w:szCs w:val="24"/>
          <w:lang w:val="en-US" w:eastAsia="uk-UA" w:bidi="ar-SA"/>
        </w:rPr>
        <w:t>预算中支出预算的总体情况</w:t>
      </w:r>
      <w:r>
        <w:rPr>
          <w:rFonts w:hint="eastAsia" w:ascii="Times New Roman" w:hAnsi="Times New Roman" w:eastAsia="方正仿宋_GBK" w:cs="Times New Roman"/>
          <w:color w:val="000000"/>
          <w:sz w:val="28"/>
          <w:szCs w:val="24"/>
          <w:lang w:val="en-US" w:eastAsia="zh-CN" w:bidi="ar-SA"/>
        </w:rPr>
        <w:t>。2023年</w:t>
      </w:r>
      <w:r>
        <w:rPr>
          <w:rFonts w:hint="default" w:ascii="Times New Roman" w:hAnsi="Times New Roman" w:eastAsia="方正仿宋_GBK" w:cs="Times New Roman"/>
          <w:color w:val="000000"/>
          <w:sz w:val="28"/>
          <w:szCs w:val="24"/>
          <w:lang w:val="en-US" w:eastAsia="uk-UA" w:bidi="ar-SA"/>
        </w:rPr>
        <w:t>部门支出预算为</w:t>
      </w:r>
      <w:r>
        <w:rPr>
          <w:rFonts w:hint="eastAsia" w:ascii="Times New Roman" w:hAnsi="Times New Roman" w:eastAsia="方正仿宋_GBK" w:cs="Times New Roman"/>
          <w:color w:val="000000"/>
          <w:sz w:val="28"/>
          <w:szCs w:val="24"/>
          <w:lang w:val="en-US" w:eastAsia="zh-CN" w:bidi="ar-SA"/>
        </w:rPr>
        <w:t>809.4</w:t>
      </w:r>
      <w:r>
        <w:rPr>
          <w:rFonts w:hint="default"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(含上年结转资金6万元）</w:t>
      </w:r>
      <w:r>
        <w:rPr>
          <w:rFonts w:hint="default" w:ascii="Times New Roman" w:hAnsi="Times New Roman" w:eastAsia="方正仿宋_GBK" w:cs="Times New Roman"/>
          <w:color w:val="000000"/>
          <w:sz w:val="28"/>
          <w:szCs w:val="24"/>
          <w:lang w:val="en-US" w:eastAsia="uk-UA" w:bidi="ar-SA"/>
        </w:rPr>
        <w:t>，其中基本支出</w:t>
      </w:r>
      <w:r>
        <w:rPr>
          <w:rFonts w:hint="eastAsia" w:ascii="Times New Roman" w:hAnsi="Times New Roman" w:eastAsia="方正仿宋_GBK" w:cs="Times New Roman"/>
          <w:color w:val="000000"/>
          <w:sz w:val="28"/>
          <w:szCs w:val="24"/>
          <w:lang w:val="en-US" w:eastAsia="zh-CN" w:bidi="ar-SA"/>
        </w:rPr>
        <w:t>443.4</w:t>
      </w:r>
      <w:r>
        <w:rPr>
          <w:rFonts w:hint="default"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411.31</w:t>
      </w:r>
      <w:r>
        <w:rPr>
          <w:rFonts w:hint="default"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32.09</w:t>
      </w:r>
      <w:r>
        <w:rPr>
          <w:rFonts w:hint="default"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360</w:t>
      </w:r>
      <w:r>
        <w:rPr>
          <w:rFonts w:hint="default"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ascii="Times New Roman" w:hAnsi="Times New Roman" w:eastAsia="方正仿宋_GBK" w:cs="Times New Roman"/>
          <w:color w:val="000000"/>
          <w:sz w:val="28"/>
          <w:szCs w:val="24"/>
          <w:lang w:val="en-US" w:eastAsia="uk-UA" w:bidi="ar-SA"/>
        </w:rPr>
        <w:t>旅游文化体育事务管理经费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旅游文化体育发展专项资金（含游客中心、冰雪运动、全民健身等）</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中帆协北方总部基地赛事活动经费</w:t>
      </w:r>
      <w:r>
        <w:rPr>
          <w:rFonts w:hint="eastAsia" w:ascii="Times New Roman" w:hAnsi="Times New Roman" w:eastAsia="方正仿宋_GBK" w:cs="Times New Roman"/>
          <w:color w:val="000000"/>
          <w:sz w:val="28"/>
          <w:szCs w:val="24"/>
          <w:lang w:val="en-US" w:eastAsia="zh-CN" w:bidi="ar-SA"/>
        </w:rPr>
        <w:t>等项目</w:t>
      </w:r>
      <w:r>
        <w:rPr>
          <w:rFonts w:hint="default" w:ascii="Times New Roman" w:hAnsi="Times New Roman" w:eastAsia="方正仿宋_GBK" w:cs="Times New Roman"/>
          <w:color w:val="000000"/>
          <w:sz w:val="28"/>
          <w:szCs w:val="24"/>
          <w:lang w:val="en-US" w:eastAsia="uk-UA" w:bidi="ar-SA"/>
        </w:rPr>
        <w:t>。</w:t>
      </w:r>
    </w:p>
    <w:p>
      <w:pPr>
        <w:pStyle w:val="19"/>
        <w:rPr>
          <w:rFonts w:hint="default"/>
        </w:rPr>
      </w:pPr>
      <w:r>
        <w:rPr>
          <w:rFonts w:hint="eastAsia"/>
          <w:lang w:eastAsia="zh-CN"/>
        </w:rPr>
        <w:t>（</w:t>
      </w:r>
      <w:r>
        <w:rPr>
          <w:rFonts w:hint="eastAsia"/>
          <w:lang w:val="en-US" w:eastAsia="zh-CN"/>
        </w:rPr>
        <w:t>三</w:t>
      </w:r>
      <w:r>
        <w:rPr>
          <w:rFonts w:hint="eastAsia"/>
          <w:lang w:eastAsia="zh-CN"/>
        </w:rPr>
        <w:t>）</w:t>
      </w:r>
      <w:r>
        <w:rPr>
          <w:rFonts w:hint="default"/>
        </w:rPr>
        <w:t>比上年增减情况</w:t>
      </w:r>
    </w:p>
    <w:p>
      <w:pPr>
        <w:pStyle w:val="19"/>
      </w:pPr>
      <w:r>
        <w:rPr>
          <w:rFonts w:hint="eastAsia"/>
          <w:lang w:eastAsia="zh-CN"/>
        </w:rPr>
        <w:t>202</w:t>
      </w:r>
      <w:r>
        <w:rPr>
          <w:rFonts w:hint="eastAsia"/>
          <w:lang w:val="en-US" w:eastAsia="zh-CN"/>
        </w:rPr>
        <w:t>3</w:t>
      </w:r>
      <w:r>
        <w:rPr>
          <w:rFonts w:hint="eastAsia"/>
          <w:lang w:eastAsia="zh-CN"/>
        </w:rPr>
        <w:t>年</w:t>
      </w:r>
      <w:r>
        <w:rPr>
          <w:rFonts w:hint="default"/>
          <w:lang w:val="en-US" w:eastAsia="zh-CN"/>
        </w:rPr>
        <w:t>部门</w:t>
      </w:r>
      <w:r>
        <w:rPr>
          <w:rFonts w:hint="default"/>
        </w:rPr>
        <w:t>预算较20</w:t>
      </w:r>
      <w:r>
        <w:rPr>
          <w:rFonts w:hint="eastAsia"/>
          <w:lang w:val="en-US" w:eastAsia="zh-CN"/>
        </w:rPr>
        <w:t>22</w:t>
      </w:r>
      <w:r>
        <w:rPr>
          <w:rFonts w:hint="default"/>
        </w:rPr>
        <w:t>年</w:t>
      </w:r>
      <w:r>
        <w:rPr>
          <w:rFonts w:hint="eastAsia"/>
          <w:lang w:eastAsia="zh-CN"/>
        </w:rPr>
        <w:t>增加</w:t>
      </w:r>
      <w:r>
        <w:rPr>
          <w:rFonts w:hint="eastAsia"/>
          <w:lang w:val="en-US" w:eastAsia="zh-CN"/>
        </w:rPr>
        <w:t>47.87</w:t>
      </w:r>
      <w:r>
        <w:rPr>
          <w:rFonts w:hint="default"/>
        </w:rPr>
        <w:t>万元，其中</w:t>
      </w:r>
      <w:r>
        <w:rPr>
          <w:rFonts w:hint="eastAsia"/>
          <w:lang w:eastAsia="zh-CN"/>
        </w:rPr>
        <w:t>基本</w:t>
      </w:r>
      <w:r>
        <w:rPr>
          <w:rFonts w:hint="default"/>
        </w:rPr>
        <w:t>支出</w:t>
      </w:r>
      <w:r>
        <w:rPr>
          <w:rFonts w:hint="eastAsia"/>
          <w:lang w:eastAsia="zh-CN"/>
        </w:rPr>
        <w:t>减少</w:t>
      </w:r>
      <w:r>
        <w:rPr>
          <w:rFonts w:hint="eastAsia"/>
          <w:lang w:val="en-US" w:eastAsia="zh-CN"/>
        </w:rPr>
        <w:t>86.24</w:t>
      </w:r>
      <w:r>
        <w:rPr>
          <w:rFonts w:hint="default"/>
        </w:rPr>
        <w:t>元</w:t>
      </w:r>
      <w:r>
        <w:rPr>
          <w:rFonts w:hint="eastAsia"/>
          <w:lang w:eastAsia="zh-CN"/>
        </w:rPr>
        <w:t>，人员经费减少</w:t>
      </w:r>
      <w:r>
        <w:rPr>
          <w:rFonts w:hint="eastAsia"/>
          <w:lang w:val="en-US" w:eastAsia="zh-CN"/>
        </w:rPr>
        <w:t>86.24万元，</w:t>
      </w:r>
      <w:r>
        <w:rPr>
          <w:rFonts w:hint="default" w:ascii="Times New Roman" w:hAnsi="Times New Roman" w:eastAsia="方正仿宋_GBK" w:cs="Times New Roman"/>
          <w:sz w:val="28"/>
          <w:szCs w:val="24"/>
          <w:lang w:val="en-US" w:eastAsia="zh-CN" w:bidi="ar-SA"/>
        </w:rPr>
        <w:t>日常公用经费</w:t>
      </w:r>
      <w:r>
        <w:rPr>
          <w:rFonts w:hint="eastAsia" w:ascii="Times New Roman" w:hAnsi="Times New Roman" w:cs="Times New Roman"/>
          <w:sz w:val="28"/>
          <w:szCs w:val="24"/>
          <w:lang w:val="en-US" w:eastAsia="zh-CN" w:bidi="ar-SA"/>
        </w:rPr>
        <w:t>减少0.89万元</w:t>
      </w:r>
      <w:r>
        <w:rPr>
          <w:rFonts w:hint="eastAsia"/>
          <w:lang w:eastAsia="zh-CN"/>
        </w:rPr>
        <w:t>；项目支出增加</w:t>
      </w:r>
      <w:r>
        <w:rPr>
          <w:rFonts w:hint="eastAsia"/>
          <w:lang w:val="en-US" w:eastAsia="zh-CN"/>
        </w:rPr>
        <w:t>135万元，主要原因是</w:t>
      </w:r>
      <w:r>
        <w:rPr>
          <w:rFonts w:hint="eastAsia"/>
          <w:lang w:eastAsia="zh-CN"/>
        </w:rPr>
        <w:t>增加帆船帆板赛事活动经费</w:t>
      </w:r>
      <w:r>
        <w:rPr>
          <w:rFonts w:hint="eastAsia"/>
          <w:lang w:val="en-US" w:eastAsia="zh-CN"/>
        </w:rPr>
        <w:t>200万元，减少旅游文化体育发展专项资金50万元，减少旅游文化体育事务经费15万元</w:t>
      </w:r>
      <w:r>
        <w:rPr>
          <w:rFonts w:hint="eastAsia"/>
          <w:lang w:eastAsia="zh-CN"/>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highlight w:val="none"/>
        </w:rPr>
        <w:t>机关运行经费共计安排</w:t>
      </w:r>
      <w:r>
        <w:rPr>
          <w:rFonts w:hint="eastAsia" w:eastAsia="方正仿宋_GBK" w:cs="Times New Roman"/>
          <w:color w:val="000000"/>
          <w:sz w:val="28"/>
          <w:highlight w:val="none"/>
          <w:lang w:val="en-US" w:eastAsia="zh-CN"/>
        </w:rPr>
        <w:t>32.09</w:t>
      </w:r>
      <w:r>
        <w:rPr>
          <w:rFonts w:ascii="Times New Roman" w:hAnsi="Times New Roman" w:eastAsia="方正仿宋_GBK" w:cs="Times New Roman"/>
          <w:color w:val="000000"/>
          <w:sz w:val="28"/>
          <w:highlight w:val="none"/>
        </w:rPr>
        <w:t>万元，主要用于机关办公区的办公及印刷费、差旅费、会议费、培训费、公务用车运行维护费等日常运行支出。其中：办公费</w:t>
      </w:r>
      <w:r>
        <w:rPr>
          <w:rFonts w:hint="eastAsia" w:eastAsia="方正仿宋_GBK" w:cs="Times New Roman"/>
          <w:color w:val="000000"/>
          <w:sz w:val="28"/>
          <w:highlight w:val="none"/>
          <w:lang w:val="en-US" w:eastAsia="zh-CN"/>
        </w:rPr>
        <w:t>7.8</w:t>
      </w:r>
      <w:r>
        <w:rPr>
          <w:rFonts w:ascii="Times New Roman" w:hAnsi="Times New Roman" w:eastAsia="方正仿宋_GBK" w:cs="Times New Roman"/>
          <w:color w:val="000000"/>
          <w:sz w:val="28"/>
          <w:highlight w:val="none"/>
        </w:rPr>
        <w:t>万元，差旅费</w:t>
      </w:r>
      <w:r>
        <w:rPr>
          <w:rFonts w:hint="eastAsia" w:eastAsia="方正仿宋_GBK" w:cs="Times New Roman"/>
          <w:color w:val="000000"/>
          <w:sz w:val="28"/>
          <w:highlight w:val="none"/>
          <w:lang w:val="en-US" w:eastAsia="zh-CN"/>
        </w:rPr>
        <w:t>4.16万元</w:t>
      </w:r>
      <w:r>
        <w:rPr>
          <w:rFonts w:ascii="Times New Roman" w:hAnsi="Times New Roman" w:eastAsia="方正仿宋_GBK" w:cs="Times New Roman"/>
          <w:color w:val="000000"/>
          <w:sz w:val="28"/>
          <w:highlight w:val="none"/>
        </w:rPr>
        <w:t>元，会议费</w:t>
      </w:r>
      <w:r>
        <w:rPr>
          <w:rFonts w:hint="eastAsia" w:ascii="Times New Roman" w:hAnsi="Times New Roman" w:eastAsia="方正仿宋_GBK" w:cs="Times New Roman"/>
          <w:color w:val="000000"/>
          <w:sz w:val="28"/>
          <w:highlight w:val="none"/>
          <w:lang w:val="en-US" w:eastAsia="zh-CN"/>
        </w:rPr>
        <w:t>2.4</w:t>
      </w:r>
      <w:r>
        <w:rPr>
          <w:rFonts w:ascii="Times New Roman" w:hAnsi="Times New Roman" w:eastAsia="方正仿宋_GBK" w:cs="Times New Roman"/>
          <w:color w:val="000000"/>
          <w:sz w:val="28"/>
          <w:highlight w:val="none"/>
        </w:rPr>
        <w:t>万</w:t>
      </w:r>
      <w:r>
        <w:rPr>
          <w:rFonts w:hint="eastAsia" w:eastAsia="方正仿宋_GBK" w:cs="Times New Roman"/>
          <w:color w:val="000000"/>
          <w:sz w:val="28"/>
          <w:highlight w:val="none"/>
          <w:lang w:eastAsia="zh-CN"/>
        </w:rPr>
        <w:t>元</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办公设备购置费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万元，公务用车运行维护费</w:t>
      </w:r>
      <w:r>
        <w:rPr>
          <w:rFonts w:hint="eastAsia" w:ascii="Times New Roman" w:hAnsi="Times New Roman" w:eastAsia="方正仿宋_GBK" w:cs="Times New Roman"/>
          <w:color w:val="000000"/>
          <w:sz w:val="28"/>
          <w:highlight w:val="none"/>
          <w:lang w:val="en-US" w:eastAsia="zh-CN"/>
        </w:rPr>
        <w:t>2.3</w:t>
      </w:r>
      <w:r>
        <w:rPr>
          <w:rFonts w:ascii="Times New Roman" w:hAnsi="Times New Roman" w:eastAsia="方正仿宋_GBK" w:cs="Times New Roman"/>
          <w:color w:val="000000"/>
          <w:sz w:val="28"/>
          <w:highlight w:val="none"/>
        </w:rPr>
        <w:t>万元，公务交通补贴</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万元，印刷费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万元，培训费</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85</w:t>
      </w:r>
      <w:r>
        <w:rPr>
          <w:rFonts w:ascii="Times New Roman" w:hAnsi="Times New Roman" w:eastAsia="方正仿宋_GBK" w:cs="Times New Roman"/>
          <w:color w:val="000000"/>
          <w:sz w:val="28"/>
          <w:highlight w:val="none"/>
        </w:rPr>
        <w:t>万元，公务接待费0.</w:t>
      </w:r>
      <w:r>
        <w:rPr>
          <w:rFonts w:hint="eastAsia" w:ascii="Times New Roman" w:hAnsi="Times New Roman" w:eastAsia="方正仿宋_GBK" w:cs="Times New Roman"/>
          <w:color w:val="000000"/>
          <w:sz w:val="28"/>
          <w:highlight w:val="none"/>
          <w:lang w:val="en-US" w:eastAsia="zh-CN"/>
        </w:rPr>
        <w:t>34</w:t>
      </w:r>
      <w:r>
        <w:rPr>
          <w:rFonts w:ascii="Times New Roman" w:hAnsi="Times New Roman" w:eastAsia="方正仿宋_GBK" w:cs="Times New Roman"/>
          <w:color w:val="000000"/>
          <w:sz w:val="28"/>
          <w:highlight w:val="none"/>
        </w:rPr>
        <w:t>万元，工会经费</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79</w:t>
      </w:r>
      <w:r>
        <w:rPr>
          <w:rFonts w:ascii="Times New Roman" w:hAnsi="Times New Roman" w:eastAsia="方正仿宋_GBK" w:cs="Times New Roman"/>
          <w:color w:val="000000"/>
          <w:sz w:val="28"/>
          <w:highlight w:val="none"/>
        </w:rPr>
        <w:t>元，福利费</w:t>
      </w:r>
      <w:r>
        <w:rPr>
          <w:rFonts w:hint="eastAsia" w:eastAsia="方正仿宋_GBK" w:cs="Times New Roman"/>
          <w:color w:val="000000"/>
          <w:sz w:val="28"/>
          <w:highlight w:val="none"/>
          <w:lang w:val="en-US" w:eastAsia="zh-CN"/>
        </w:rPr>
        <w:t>3.07</w:t>
      </w:r>
      <w:r>
        <w:rPr>
          <w:rFonts w:ascii="Times New Roman" w:hAnsi="Times New Roman" w:eastAsia="方正仿宋_GBK" w:cs="Times New Roman"/>
          <w:color w:val="000000"/>
          <w:sz w:val="28"/>
          <w:highlight w:val="none"/>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color w:val="000000"/>
          <w:sz w:val="28"/>
          <w:highlight w:val="none"/>
        </w:rPr>
        <w:t>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年，秦皇岛北戴河新区旅游文化体育局部门财政拨款“三公”经费预</w:t>
      </w:r>
      <w:r>
        <w:rPr>
          <w:rFonts w:ascii="Times New Roman" w:hAnsi="Times New Roman" w:eastAsia="方正仿宋_GBK" w:cs="Times New Roman"/>
          <w:color w:val="000000"/>
          <w:sz w:val="28"/>
        </w:rPr>
        <w:t>算安排</w:t>
      </w:r>
      <w:r>
        <w:rPr>
          <w:rFonts w:hint="eastAsia" w:ascii="Times New Roman" w:hAnsi="Times New Roman" w:eastAsia="方正仿宋_GBK" w:cs="Times New Roman"/>
          <w:color w:val="000000"/>
          <w:sz w:val="28"/>
          <w:lang w:val="en-US" w:eastAsia="zh-CN"/>
        </w:rPr>
        <w:t>2.64</w:t>
      </w:r>
      <w:r>
        <w:rPr>
          <w:rFonts w:ascii="Times New Roman" w:hAnsi="Times New Roman" w:eastAsia="方正仿宋_GBK" w:cs="Times New Roman"/>
          <w:color w:val="000000"/>
          <w:sz w:val="28"/>
        </w:rPr>
        <w:t>万元，其中：因公出国（境）费0万元；公务用车购置及运行维护费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万元（其中：公务用车购置费为0，公务用车运行费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0.34</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2022年三公经费持平，</w:t>
      </w:r>
      <w:bookmarkStart w:id="18" w:name="_GoBack"/>
      <w:r>
        <w:rPr>
          <w:rFonts w:hint="eastAsia" w:eastAsia="方正仿宋_GBK" w:cs="Times New Roman"/>
          <w:color w:val="000000"/>
          <w:sz w:val="28"/>
          <w:lang w:val="en-US" w:eastAsia="zh-CN"/>
        </w:rPr>
        <w:t>无增减变化</w:t>
      </w:r>
      <w:bookmarkEnd w:id="18"/>
      <w:r>
        <w:rPr>
          <w:rFonts w:hint="eastAsia" w:eastAsia="方正仿宋_GBK" w:cs="Times New Roman"/>
          <w:color w:val="000000"/>
          <w:sz w:val="28"/>
          <w:lang w:val="en-US"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我们将深入贯彻落实党的二十大精神，立足挖掘发挥北戴河新区文旅资源优势，坚持“以文塑旅、以旅彰文”，打造多样化、多层次、高品质旅游和文体产品，为建设国际一流旅游城市先行区和中国式现代化北戴河新区场景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一、扎实推进二十大精神宣传贯彻，把握文旅工作新方向。</w:t>
      </w:r>
    </w:p>
    <w:p>
      <w:pPr>
        <w:pStyle w:val="24"/>
      </w:pPr>
      <w:r>
        <w:t>绩效目标：制定并印发学习计划，采取集中学习和自主学习相结合的形式进行组织，做到传达学习全覆盖。创新学习方式，拟邀请市委党校专家学者集中授课。 绩效指标：通过学习宣传，把党的二十大精神贯彻到文化和旅游工作全过程各领域，将学习成果转化为解决问题和推进工作的办法、举措。</w:t>
      </w:r>
    </w:p>
    <w:p>
      <w:pPr>
        <w:pStyle w:val="24"/>
      </w:pPr>
    </w:p>
    <w:p>
      <w:pPr>
        <w:pStyle w:val="24"/>
      </w:pPr>
      <w:r>
        <w:t>二、稳步推进国际一流旅游城市建设，力争各项工作全市领先。</w:t>
      </w:r>
    </w:p>
    <w:p>
      <w:pPr>
        <w:pStyle w:val="24"/>
      </w:pPr>
      <w:r>
        <w:t>绩效目标：按照市一流办工作部署，结合新区实际，按照“8+1”工作专班制度，细化、实化工作思路和工作措施，优化顶层设计。</w:t>
      </w:r>
    </w:p>
    <w:p>
      <w:pPr>
        <w:pStyle w:val="24"/>
      </w:pPr>
      <w:r>
        <w:t>绩效指标：重点推进项目建设、优化生态环境、提升城市品质和公共服务水平等工作，建立工作台账，按月份进行任务分解并持续推进,确保保质保量完成市定进度目标。</w:t>
      </w:r>
    </w:p>
    <w:p>
      <w:pPr>
        <w:pStyle w:val="24"/>
      </w:pPr>
    </w:p>
    <w:p>
      <w:pPr>
        <w:pStyle w:val="24"/>
      </w:pPr>
      <w:r>
        <w:t>三、继续优化旅游空间布局，夯实未来产业发展基础。</w:t>
      </w:r>
    </w:p>
    <w:p>
      <w:pPr>
        <w:pStyle w:val="24"/>
      </w:pPr>
    </w:p>
    <w:p>
      <w:pPr>
        <w:pStyle w:val="24"/>
      </w:pPr>
      <w:r>
        <w:t>绩效目标：着眼于构建“1+2+N”旅游空间布局，筹备国家级全域旅游示范区创建  绩效指标：启动蔚蓝海岸、葡萄岛片区省级体育休闲旅游度假区创建和阿那亚、远洋蔚蓝海岸、渔田小镇省级旅游休闲街区、夜间文化和旅游消费聚集区创建工作，引导心乐园、圣蓝景区更新改造，帮助渔岛、仙螺岛等老牌景区提档升级，指导渔田小镇、魔法城正式运营和渔田小镇4A级景区申报，夯实“面--线--点”的空间布局。</w:t>
      </w:r>
    </w:p>
    <w:p>
      <w:pPr>
        <w:pStyle w:val="24"/>
      </w:pPr>
    </w:p>
    <w:p>
      <w:pPr>
        <w:pStyle w:val="24"/>
      </w:pPr>
      <w:r>
        <w:t>四、</w:t>
      </w:r>
      <w:r>
        <w:rPr>
          <w:rFonts w:hint="eastAsia"/>
          <w:lang w:eastAsia="zh-CN"/>
        </w:rPr>
        <w:t>推</w:t>
      </w:r>
      <w:r>
        <w:t>进产业融合，拓展旅游产品新领域。</w:t>
      </w:r>
    </w:p>
    <w:p>
      <w:pPr>
        <w:pStyle w:val="24"/>
      </w:pPr>
      <w:r>
        <w:t>绩效目标：一是以“旅游+康养”为主导，打造康养名城。二是以“旅游+文化”为引领，打造文艺海岸。三是以“旅游+体育”为示范，打造帆船新城。四是以“旅游+农业”为创新，以乡村旅游助力乡村振兴。</w:t>
      </w:r>
    </w:p>
    <w:p>
      <w:pPr>
        <w:pStyle w:val="24"/>
      </w:pPr>
      <w:r>
        <w:t>绩效指标：一是以国家中医区域医疗中心建设为契机，推进宏兴如是海酒店群、星月湾、省体育训练基地等康旅项目建设，培植康养旅游配套设施新要素。打造以北戴河生命科学园为中心的康复医疗游，以渔岛、阿尔卡迪亚、渔田小镇为中心的温泉疗愈游，以省级滨海骑行线路（蔚蓝海岸-保利-阿那亚）为中心的运动康体游，以阿那亚、蔚蓝海岸休闲街区为中心的美食养生游，逐步引导推动长三角、珠三角城市避暑度假游。二是继续推进阿那亚、渔岛、渔田小镇、好莱坞魔法城等时尚先锋演艺文化、渔业文化等业态，阿那亚文化活动要突出国际性，年内举办不少于10场高质量文化时尚活动，渔田小镇《渔人拾光》和好莱坞魔法城艺穗节精彩亮相，孤独图书馆、沙丘美术馆、独白美术馆等影响力继续提升。三是借力中帆协，推进蔚蓝海岸帆船帆板系列赛事、健身健美、航海海钓系列活动，年内启动蔚蓝海岸国家级体育旅游示范基地创建工作，筹办“全国帆船城市交流大会”、“京津冀青少年帆船比赛”、青少年帆船帆板夏令营、“渤海之夜”健身健美公开赛等，全面构建大旅游发展新格局。四是指导赤洋花海进行提质升级，开发农业旅游产品，进一步扩大影响力，带动农民致富；指导小韩庄趣味农场丰富旅游功能，建设露营基地；深度挖掘民宿资源，在团林、南戴河片区培植精品民宿；培植渔田小镇海洋牧场旅游要素，拓</w:t>
      </w:r>
    </w:p>
    <w:p>
      <w:pPr>
        <w:pStyle w:val="24"/>
      </w:pPr>
      <w:r>
        <w:t>展海上旅游功能。</w:t>
      </w:r>
    </w:p>
    <w:p>
      <w:pPr>
        <w:pStyle w:val="24"/>
      </w:pPr>
    </w:p>
    <w:p>
      <w:pPr>
        <w:pStyle w:val="24"/>
      </w:pPr>
      <w:r>
        <w:t>五、持续推进品牌营销，叫响北戴河新区旅游品牌。</w:t>
      </w:r>
    </w:p>
    <w:p>
      <w:pPr>
        <w:pStyle w:val="24"/>
      </w:pPr>
      <w:r>
        <w:t>绩效目标：一是培植“文艺海岸·康养新城”旅游品牌。二是加大宣传推介力度。三是打造“微度假”产品和路线。绩效指标：一是在营销策划上下功夫，在京津开展“这么近，那么美，周末游河北”北戴河新区专场推介会和其他营销活动，瞄准东三省、京津冀、长三角、珠三角等客户群或潜在客户群地区，叫响康养度假、疗愈养生的休闲之城和扬帆逐浪、先锋时尚的活力之城名号。二是录制《中国推介—乐享河北》北戴河新区推介视频，并在新华网、学习强国、人民网、Facebook等国内外主流媒体轮番播出；积极举办或推广各类节庆活动，阿那亚、蔚蓝海岸、魔法城等地音乐节、戏剧节、电影节、槐花节、扇贝美食节等；加强新媒体矩阵宣传，运用抖音号、微信公众号等新媒体全方位宣传新区优势资源。用好“阿那亚”“孤独图书馆”“帆船帆板赛”等热搜关键词的旅游聚合效应，不断提升新区旅游品牌知名度。强化与腾讯视频的合作，寻求营销推介的合作机会。三是策划美食游、赏花游、观鸟游、露营游和看展游等系列旅游微产品；推出滨海度假、海上运动、文化展览、休闲购物等旅游微路线；整合烘焙、咖啡、茶艺、图书等旅游微场景；推出系列文旅优惠政策，推出景区门票及联票优惠政策。</w:t>
      </w:r>
    </w:p>
    <w:p>
      <w:pPr>
        <w:pStyle w:val="24"/>
      </w:pPr>
    </w:p>
    <w:p>
      <w:pPr>
        <w:pStyle w:val="24"/>
      </w:pPr>
      <w:r>
        <w:t>六、深入落实文体惠民举措，助力百姓幸福升级。</w:t>
      </w:r>
    </w:p>
    <w:p>
      <w:pPr>
        <w:pStyle w:val="24"/>
      </w:pPr>
      <w:r>
        <w:t>绩效目标：一是推进基层公共文化服务体系高质量发展。二是实施“阅读推广人培育计划”。三是建设更加高效、便捷、完备的全民健身公共服务设施。四是举办丰富多彩的全民健身活动，进一步丰富新区群众体育生活。绩效指标：一是以我市“国家公共文化服务体系示范区”创新发展复核工作获文旅部优秀表彰为契机，组织辖区内四个街道文化站参加全省乡镇综合文化站评估定级，以评促建，力争全部达到三级文化站标准。引导社会力量打造集阅读、展览、文化休闲等功能于一体的新型公共文化空间，逐渐形成一批“书店+”“展览+”等多元化特色文化空间。二是在全区范围内打造一支至少20人的“阅读推广人队伍”，开展二十大精神阅读等系列活动。举办广场舞大赛、非遗进景区、群众书画艺术展,“赞美新生活”合唱比赛等群众喜闻乐见的文化活动。三是持续实施“十四五”时期全民健身体育设施补短板工程，推进体育公园施工建设，更新、维修各类体育健身设施，努力构建15分钟体育健身圈，不断满足新区群众对体育健身设施的需求。四是举办全民健身运动会、社区运动会、第五届冰雪运动会等群众性体育活动，全年不少于20场。积极承办、参与全国帆船帆板赛事，河北省全运会、少数民族运动会等高级别、高规格、高水平体育赛事，以赛为媒，激发全民科学健身的热情。</w:t>
      </w:r>
    </w:p>
    <w:p>
      <w:pPr>
        <w:pStyle w:val="24"/>
      </w:pPr>
    </w:p>
    <w:p>
      <w:pPr>
        <w:pStyle w:val="24"/>
      </w:pPr>
      <w:r>
        <w:t>七、创新工作方法，为文旅市场保驾护航。</w:t>
      </w:r>
    </w:p>
    <w:p>
      <w:pPr>
        <w:pStyle w:val="24"/>
      </w:pPr>
      <w:r>
        <w:t>绩效目标：一是做好常态化疫情防控和安全生产工作。二是加大执法检查力度，采取日常检查与随机抽查相结合的方式，对每家经营单位每月不少于一次的执法检查。三是建立文旅执法提质增效新机制。</w:t>
      </w:r>
    </w:p>
    <w:p>
      <w:pPr>
        <w:pStyle w:val="24"/>
      </w:pPr>
      <w:r>
        <w:t>绩效指标：一是督导文旅企业切实落实疫情防控各类政策措施，加强广电行业管理，整治非法卫星地面接收设施等违法行为，进一步优化安全生产保障体系，做好安全生产隐患排查。二是做好旅游旺季投诉受理工作，同时提升景区及星级酒店从业人员基本素质，从根源上避免投诉发生。三是年内与昌黎、抚宁等兄弟县区文旅执法大队建立交流协作机制，每季度抽选1-2名执法人员，在执法培训、市场检查等方面务实开展交流合作，实现共同补短提升，实现网吧每周、歌厅每半月、其他场所每月有序进行一次全覆盖执法检查，大幅提升工作效能。</w:t>
      </w:r>
    </w:p>
    <w:p>
      <w:pPr>
        <w:pStyle w:val="24"/>
      </w:pPr>
    </w:p>
    <w:p>
      <w:pPr>
        <w:pStyle w:val="24"/>
      </w:pPr>
      <w:r>
        <w:t>八、创新工作方式，推进文旅招商。</w:t>
      </w:r>
    </w:p>
    <w:p>
      <w:pPr>
        <w:pStyle w:val="24"/>
      </w:pPr>
      <w:r>
        <w:t>绩效目标：突出“文旅和高科技”，力争达成合作意向。</w:t>
      </w:r>
    </w:p>
    <w:p>
      <w:pPr>
        <w:pStyle w:val="24"/>
      </w:pPr>
      <w:r>
        <w:t>绩效指标：一是年内紧盯黑龙江枫林集团、哈尔滨建投、福建河北商会等有明确意向投资企业，力争达成合作意向。二是建立北戴河新区文旅项目招商库，第一批朝鲜族风情园、奥特莱斯旅游综合体、心乐园高科技体验等项目已经入库。三是制作文旅项目招商手册，加强招商人员产业知识、招商技巧等业务培训，锻炼一批懂产业、懂企业、懂政策的专业化招商队伍。四是走出去，紧盯京企实现精准招商，重点文化创意和高新科技领域，另外紧盯长三角、珠三角等重点区域，积极主动走出去。</w:t>
      </w:r>
    </w:p>
    <w:p>
      <w:pPr>
        <w:pStyle w:val="24"/>
      </w:pPr>
    </w:p>
    <w:p>
      <w:pPr>
        <w:pStyle w:val="24"/>
      </w:pPr>
      <w:r>
        <w:t>九、稳步推进分包项目建设。</w:t>
      </w:r>
    </w:p>
    <w:p>
      <w:pPr>
        <w:pStyle w:val="24"/>
      </w:pPr>
      <w:r>
        <w:t>绩效目标：一是推进如是海、国际健康度假区、渔田小镇、魔法城、体育训练基地等分包项目的续建工作，帮助跑办项目建设手续，确保完成年度投资任务，同时帮助戴河美术馆尽早运营。二是协调解决魔法城难点问题，帮助奥特莱斯寻找合作投资。三是协调项目办争取体育公园项目上级资金尽早到位，项目尽早开工。</w:t>
      </w:r>
    </w:p>
    <w:p>
      <w:pPr>
        <w:pStyle w:val="24"/>
      </w:pPr>
      <w:r>
        <w:t>绩效指标：协调项目办跑办全民健身中心项目争取资金事宜和项目前期手续。</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（一）从严治党，加强党建和意识形态工作</w:t>
      </w:r>
    </w:p>
    <w:p>
      <w:pPr>
        <w:pStyle w:val="2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5"/>
      </w:pPr>
      <w:r>
        <w:t>（二）完善制度建设</w:t>
      </w:r>
    </w:p>
    <w:p>
      <w:pPr>
        <w:pStyle w:val="25"/>
      </w:pPr>
      <w:r>
        <w:t>预算绩效管理是一项系统性工程，贯穿财政资金使用的全过程，2021年要构建一个“预算编制有目标、预算执行有监控、预算完成有评价、评价结果有反馈、反馈结果有应用”的“闭环形、穿透式”预算绩效管理体系。</w:t>
      </w:r>
    </w:p>
    <w:p>
      <w:pPr>
        <w:pStyle w:val="25"/>
      </w:pPr>
      <w:r>
        <w:t>（三）加强支出管理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pPr>
      <w:r>
        <w:t>（四）加强绩效运行监控</w:t>
      </w:r>
    </w:p>
    <w:p>
      <w:pPr>
        <w:pStyle w:val="25"/>
      </w:pPr>
      <w:r>
        <w:t>绩效监控工作是全流程的持续性管理，我局将对绩效实现情况与预期绩效目标进行比较，对目标完成、预算执行、组织实施、资金管理等情况进行分析评判。</w:t>
      </w:r>
    </w:p>
    <w:p>
      <w:pPr>
        <w:pStyle w:val="25"/>
      </w:pPr>
      <w:r>
        <w:t>（五）做好绩效自评工作</w:t>
      </w:r>
    </w:p>
    <w:p>
      <w:pPr>
        <w:pStyle w:val="25"/>
      </w:pPr>
      <w:r>
        <w:t>我局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pPr>
      <w:r>
        <w:t>（六）加强内部监督</w:t>
      </w:r>
    </w:p>
    <w:p>
      <w:pPr>
        <w:pStyle w:val="25"/>
      </w:pPr>
      <w:r>
        <w:t>?我局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5"/>
      </w:pPr>
      <w:r>
        <w:t>（七）压实责任，全力做好旅游旺季工作</w:t>
      </w:r>
    </w:p>
    <w:p>
      <w:pPr>
        <w:pStyle w:val="25"/>
      </w:pPr>
      <w:r>
        <w:t>一是抽调精干力量加入到旅游旺季综合管控组，进一步加强文化旅游市场巡查，全面排查文化旅游市场违法违规经营行为，稳步提升新区文化旅游市场环境。二是加强广电市场排查，联合工商、公安等部门对主要景区、宾馆和人群密集场所查处违法地面接收设施。三是组织文化旅游行业经营单位签订《2022年文化旅游行业安全生产责任状》，通过层层传导压力，压实安全生产责任。四是大力推动安全生产专项整治三年行动，针对整治中的重点难点问题，通过召开现场推进会、专项攻坚等措施，强力推进问题整改。对于问题严重且经整改后仍不符合安全要求的企业和高风险旅游项目，坚决依法予以关闭退出，推动旅游文化行业安全生产监管能力得到明显提升。五是加大检查力度，采取“双随机一公开”随机抽查与定期组织部门联合检查相结合的方式，重点在清明节、五一、十一、春节等重大节日假期前，对旅游文化市场经营单位加大安全检查力度和深度，全力消除安全生产隐患。</w:t>
      </w:r>
    </w:p>
    <w:p>
      <w:pPr>
        <w:pStyle w:val="25"/>
      </w:pPr>
      <w:r>
        <w:t>（八）规范财务资产管理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（九）加强宣传培训调研等</w:t>
      </w:r>
    </w:p>
    <w:p>
      <w:pPr>
        <w:pStyle w:val="25"/>
      </w:pPr>
      <w:r>
        <w:t>强化信息宣传，营造良好氛围。进一步加大信息宣传工作力度，扩大宣传范围，创新宣传方式，让各项制度简单明了、人人掌握，确保业务工作顺利进行。</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1、旅游文化体育事务管理经费绩效目标表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6.主要用于旅游文化体育事物运行保障，发挥保障服务功能。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举办旅游文化体育活动次数</w:t>
            </w:r>
          </w:p>
        </w:tc>
        <w:tc>
          <w:tcPr>
            <w:tcW w:w="2835" w:type="dxa"/>
            <w:vAlign w:val="center"/>
          </w:tcPr>
          <w:p>
            <w:pPr>
              <w:pStyle w:val="14"/>
            </w:pPr>
            <w:r>
              <w:t>举办文体旅配套活动次数</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高质量且安全完成各项活动</w:t>
            </w:r>
          </w:p>
        </w:tc>
        <w:tc>
          <w:tcPr>
            <w:tcW w:w="2835" w:type="dxa"/>
            <w:vAlign w:val="center"/>
          </w:tcPr>
          <w:p>
            <w:pPr>
              <w:pStyle w:val="14"/>
            </w:pPr>
            <w:r>
              <w:t>演出场次、演出或活动准备情况、活动完成情况</w:t>
            </w:r>
          </w:p>
        </w:tc>
        <w:tc>
          <w:tcPr>
            <w:tcW w:w="2551" w:type="dxa"/>
            <w:vAlign w:val="center"/>
          </w:tcPr>
          <w:p>
            <w:pPr>
              <w:pStyle w:val="14"/>
            </w:pPr>
            <w:r>
              <w:t>≥90%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实际支出金额小于等于预算控制数</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旅游文化交流，丰富文化体育项目，间接带动新区经济发展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促进全区文化体育事业发展</w:t>
            </w:r>
          </w:p>
        </w:tc>
        <w:tc>
          <w:tcPr>
            <w:tcW w:w="2835" w:type="dxa"/>
            <w:vAlign w:val="center"/>
          </w:tcPr>
          <w:p>
            <w:pPr>
              <w:pStyle w:val="14"/>
            </w:pPr>
            <w:r>
              <w:t>通过开展各项文化体育活动，进一步丰富基层群众文化水平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对新区文化游体育事业发展有一定促进作用</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2、2022年中央支持地方公共文化服务体系建设补助资金（绩效奖励）绩效目标表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1.支持基层公共文化服务体系建设，提高公共文化服务水平。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举办文化活动次数</w:t>
            </w:r>
          </w:p>
        </w:tc>
        <w:tc>
          <w:tcPr>
            <w:tcW w:w="2835" w:type="dxa"/>
            <w:vAlign w:val="center"/>
          </w:tcPr>
          <w:p>
            <w:pPr>
              <w:pStyle w:val="14"/>
            </w:pPr>
            <w:r>
              <w:t>组织惠民演出或培训文化干部次数</w:t>
            </w:r>
          </w:p>
        </w:tc>
        <w:tc>
          <w:tcPr>
            <w:tcW w:w="2551" w:type="dxa"/>
            <w:vAlign w:val="center"/>
          </w:tcPr>
          <w:p>
            <w:pPr>
              <w:pStyle w:val="14"/>
            </w:pPr>
            <w:r>
              <w:t>≥2次</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活动进度完成率</w:t>
            </w:r>
          </w:p>
        </w:tc>
        <w:tc>
          <w:tcPr>
            <w:tcW w:w="2835" w:type="dxa"/>
            <w:vAlign w:val="center"/>
          </w:tcPr>
          <w:p>
            <w:pPr>
              <w:pStyle w:val="14"/>
            </w:pPr>
            <w:r>
              <w:t>活动正常举办</w:t>
            </w:r>
          </w:p>
        </w:tc>
        <w:tc>
          <w:tcPr>
            <w:tcW w:w="2551" w:type="dxa"/>
            <w:vAlign w:val="center"/>
          </w:tcPr>
          <w:p>
            <w:pPr>
              <w:pStyle w:val="14"/>
            </w:pPr>
            <w:r>
              <w:t>≥95%</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按各项任务时间节点及时完成</w:t>
            </w:r>
          </w:p>
        </w:tc>
        <w:tc>
          <w:tcPr>
            <w:tcW w:w="2551" w:type="dxa"/>
            <w:vAlign w:val="center"/>
          </w:tcPr>
          <w:p>
            <w:pPr>
              <w:pStyle w:val="14"/>
            </w:pPr>
            <w:r>
              <w:t>2022年</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实际支出金额小于预算控制数</w:t>
            </w:r>
          </w:p>
        </w:tc>
        <w:tc>
          <w:tcPr>
            <w:tcW w:w="2551" w:type="dxa"/>
            <w:vAlign w:val="center"/>
          </w:tcPr>
          <w:p>
            <w:pPr>
              <w:pStyle w:val="14"/>
            </w:pPr>
            <w:r>
              <w:t>≤6万元</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对外文化交流，丰富文化旅游项目，间接带动新区经济发展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促进全区文化事业发展</w:t>
            </w:r>
          </w:p>
        </w:tc>
        <w:tc>
          <w:tcPr>
            <w:tcW w:w="2835" w:type="dxa"/>
            <w:vAlign w:val="center"/>
          </w:tcPr>
          <w:p>
            <w:pPr>
              <w:pStyle w:val="14"/>
            </w:pPr>
            <w:r>
              <w:t>通过开展各项文化旅游活动，进一步丰富基层群众文化水平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对新区文化事业发展有一定促进作用</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3、旅游文化体育发展专项资金（含游客中心、冰雪运动、全民健身等）绩效目标表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6.通过开展旅游管理、服务、宣传、氛围营造等活动，促进旅游市场开发推广及交流合作，吸引更多游客参观旅游，推动新区旅游文化体育事业的进一步开展。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举办较有影响力的旅游文体活动</w:t>
            </w:r>
          </w:p>
        </w:tc>
        <w:tc>
          <w:tcPr>
            <w:tcW w:w="2835" w:type="dxa"/>
            <w:vAlign w:val="center"/>
          </w:tcPr>
          <w:p>
            <w:pPr>
              <w:pStyle w:val="14"/>
            </w:pPr>
            <w:r>
              <w:t>举办旅游文体配套活动</w:t>
            </w:r>
          </w:p>
        </w:tc>
        <w:tc>
          <w:tcPr>
            <w:tcW w:w="2551" w:type="dxa"/>
            <w:vAlign w:val="center"/>
          </w:tcPr>
          <w:p>
            <w:pPr>
              <w:pStyle w:val="14"/>
            </w:pPr>
            <w:r>
              <w:t>≥2次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游客中心正常运行合格率</w:t>
            </w:r>
          </w:p>
        </w:tc>
        <w:tc>
          <w:tcPr>
            <w:tcW w:w="2835" w:type="dxa"/>
            <w:vAlign w:val="center"/>
          </w:tcPr>
          <w:p>
            <w:pPr>
              <w:pStyle w:val="14"/>
            </w:pPr>
            <w:r>
              <w:t>游客中心正常运行，更好发挥游客中心服务功能</w:t>
            </w:r>
          </w:p>
        </w:tc>
        <w:tc>
          <w:tcPr>
            <w:tcW w:w="2551" w:type="dxa"/>
            <w:vAlign w:val="center"/>
          </w:tcPr>
          <w:p>
            <w:pPr>
              <w:pStyle w:val="14"/>
            </w:pPr>
            <w:r>
              <w:t>效果显著</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2023年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实际支出金额小于预算控制数</w:t>
            </w:r>
          </w:p>
        </w:tc>
        <w:tc>
          <w:tcPr>
            <w:tcW w:w="2551" w:type="dxa"/>
            <w:vAlign w:val="center"/>
          </w:tcPr>
          <w:p>
            <w:pPr>
              <w:pStyle w:val="14"/>
            </w:pPr>
            <w:r>
              <w:t>≤150万元</w:t>
            </w:r>
          </w:p>
        </w:tc>
        <w:tc>
          <w:tcPr>
            <w:tcW w:w="2268"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对外文化交流，丰富文化旅游项目，间接带动新区经济发展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促进全区文化旅游事业发展</w:t>
            </w:r>
          </w:p>
        </w:tc>
        <w:tc>
          <w:tcPr>
            <w:tcW w:w="2835" w:type="dxa"/>
            <w:vAlign w:val="center"/>
          </w:tcPr>
          <w:p>
            <w:pPr>
              <w:pStyle w:val="14"/>
            </w:pPr>
            <w:r>
              <w:t>通过开展各项文化旅游活动，进一步丰富基层群众文化水平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长期有效性</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4、中帆协北方总部基地赛事活动经费绩效目标表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拟于2022年11月中下旬在蔚蓝海岸游客中心举办“奥运之光·中国帆船颁奖盛典”活动，资金主要用于补贴中帆协北部总部在北戴河新区举办“中国帆船城市发展论坛”或不低于同级别、同规模的国际、国内重大帆船项目会议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tc>
        <w:tc>
          <w:tcPr>
            <w:tcW w:w="2835" w:type="dxa"/>
            <w:vAlign w:val="center"/>
          </w:tcPr>
          <w:p>
            <w:pPr>
              <w:pStyle w:val="14"/>
            </w:pPr>
            <w:r>
              <w:t>举办中帆协换届大会、中国帆船城市交流会（含帆船器材装备展会）、成功举办中国帆船颁奖盛典等</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活动相关经费</w:t>
            </w:r>
          </w:p>
        </w:tc>
        <w:tc>
          <w:tcPr>
            <w:tcW w:w="2551" w:type="dxa"/>
            <w:vAlign w:val="center"/>
          </w:tcPr>
          <w:p>
            <w:pPr>
              <w:pStyle w:val="14"/>
            </w:pPr>
            <w:r>
              <w:t>≥90%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实际支出金额小于预算控制数</w:t>
            </w:r>
          </w:p>
        </w:tc>
        <w:tc>
          <w:tcPr>
            <w:tcW w:w="2551" w:type="dxa"/>
            <w:vAlign w:val="center"/>
          </w:tcPr>
          <w:p>
            <w:pPr>
              <w:pStyle w:val="14"/>
            </w:pPr>
            <w:r>
              <w:t>&lt;200万元</w:t>
            </w:r>
          </w:p>
        </w:tc>
        <w:tc>
          <w:tcPr>
            <w:tcW w:w="2268"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提升行业管理水平</w:t>
            </w:r>
          </w:p>
        </w:tc>
        <w:tc>
          <w:tcPr>
            <w:tcW w:w="2835" w:type="dxa"/>
            <w:vAlign w:val="center"/>
          </w:tcPr>
          <w:p>
            <w:pPr>
              <w:pStyle w:val="14"/>
            </w:pPr>
            <w:r>
              <w:t>提升行业管理水平</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项目的实施有助于提高新区旅游收益。</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吸引观众、游客数</w:t>
            </w:r>
          </w:p>
        </w:tc>
        <w:tc>
          <w:tcPr>
            <w:tcW w:w="2835" w:type="dxa"/>
            <w:vAlign w:val="center"/>
          </w:tcPr>
          <w:p>
            <w:pPr>
              <w:pStyle w:val="14"/>
            </w:pPr>
            <w:r>
              <w:t>项目的有效实施，对开发新区旅游线路，宣传新区旅游文化，扩大新区知名度和影响力有明显作用</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反映旅游游客的满意度</w:t>
            </w:r>
          </w:p>
        </w:tc>
        <w:tc>
          <w:tcPr>
            <w:tcW w:w="2835" w:type="dxa"/>
            <w:vAlign w:val="center"/>
          </w:tcPr>
          <w:p>
            <w:pPr>
              <w:pStyle w:val="14"/>
            </w:pPr>
            <w:r>
              <w:t>通过抽查问卷的方式，满意和较满意对象占全部调研对象的比例</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2023年，秦皇岛北戴河新区旅游文化体育广电局安排政府采购预算14.37万元。具体内容见下表。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14.37</w:t>
            </w:r>
          </w:p>
        </w:tc>
        <w:tc>
          <w:tcPr>
            <w:tcW w:w="964" w:type="dxa"/>
            <w:vAlign w:val="center"/>
          </w:tcPr>
          <w:p>
            <w:pPr>
              <w:pStyle w:val="17"/>
            </w:pPr>
            <w:r>
              <w:t>14.37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秦皇岛北戴河新区旅游文化体育广电局本级小计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14.37</w:t>
            </w:r>
          </w:p>
        </w:tc>
        <w:tc>
          <w:tcPr>
            <w:tcW w:w="964" w:type="dxa"/>
            <w:vAlign w:val="center"/>
          </w:tcPr>
          <w:p>
            <w:pPr>
              <w:pStyle w:val="17"/>
            </w:pPr>
            <w:r>
              <w:t>14.37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1.04</w:t>
            </w:r>
          </w:p>
        </w:tc>
        <w:tc>
          <w:tcPr>
            <w:tcW w:w="964" w:type="dxa"/>
            <w:vAlign w:val="center"/>
          </w:tcPr>
          <w:p>
            <w:pPr>
              <w:pStyle w:val="13"/>
            </w:pPr>
            <w:r>
              <w:t>1.04</w:t>
            </w:r>
          </w:p>
        </w:tc>
        <w:tc>
          <w:tcPr>
            <w:tcW w:w="964" w:type="dxa"/>
            <w:vAlign w:val="center"/>
          </w:tcPr>
          <w:p>
            <w:pPr>
              <w:pStyle w:val="13"/>
            </w:pPr>
            <w:r>
              <w:t>1.04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桶</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植物油及其制品</w:t>
            </w:r>
          </w:p>
        </w:tc>
        <w:tc>
          <w:tcPr>
            <w:tcW w:w="1134" w:type="dxa"/>
            <w:vAlign w:val="center"/>
          </w:tcPr>
          <w:p>
            <w:pPr>
              <w:pStyle w:val="14"/>
            </w:pPr>
            <w:r>
              <w:t>A07060105</w:t>
            </w:r>
          </w:p>
        </w:tc>
        <w:tc>
          <w:tcPr>
            <w:tcW w:w="709" w:type="dxa"/>
            <w:vAlign w:val="center"/>
          </w:tcPr>
          <w:p>
            <w:pPr>
              <w:pStyle w:val="15"/>
            </w:pPr>
            <w:r>
              <w:t>桶</w:t>
            </w:r>
          </w:p>
        </w:tc>
        <w:tc>
          <w:tcPr>
            <w:tcW w:w="850" w:type="dxa"/>
            <w:vAlign w:val="center"/>
          </w:tcPr>
          <w:p>
            <w:pPr>
              <w:pStyle w:val="13"/>
            </w:pPr>
            <w:r>
              <w:t>379</w:t>
            </w:r>
          </w:p>
        </w:tc>
        <w:tc>
          <w:tcPr>
            <w:tcW w:w="850" w:type="dxa"/>
            <w:vAlign w:val="center"/>
          </w:tcPr>
          <w:p>
            <w:pPr>
              <w:pStyle w:val="13"/>
            </w:pPr>
            <w:r>
              <w:t>0.01</w:t>
            </w:r>
          </w:p>
        </w:tc>
        <w:tc>
          <w:tcPr>
            <w:tcW w:w="964" w:type="dxa"/>
            <w:vAlign w:val="center"/>
          </w:tcPr>
          <w:p>
            <w:pPr>
              <w:pStyle w:val="13"/>
            </w:pPr>
            <w:r>
              <w:t>3.79</w:t>
            </w:r>
          </w:p>
        </w:tc>
        <w:tc>
          <w:tcPr>
            <w:tcW w:w="964" w:type="dxa"/>
            <w:vAlign w:val="center"/>
          </w:tcPr>
          <w:p>
            <w:pPr>
              <w:pStyle w:val="13"/>
            </w:pPr>
            <w:r>
              <w:t>3.79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升</w:t>
            </w:r>
          </w:p>
        </w:tc>
        <w:tc>
          <w:tcPr>
            <w:tcW w:w="850" w:type="dxa"/>
            <w:vAlign w:val="center"/>
          </w:tcPr>
          <w:p>
            <w:pPr>
              <w:pStyle w:val="13"/>
            </w:pPr>
            <w:r>
              <w:t>120</w:t>
            </w:r>
          </w:p>
        </w:tc>
        <w:tc>
          <w:tcPr>
            <w:tcW w:w="850" w:type="dxa"/>
            <w:vAlign w:val="center"/>
          </w:tcPr>
          <w:p>
            <w:pPr>
              <w:pStyle w:val="13"/>
            </w:pPr>
            <w:r>
              <w:t>0.01</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箱</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其他交通运输、仓储服务</w:t>
            </w:r>
          </w:p>
        </w:tc>
        <w:tc>
          <w:tcPr>
            <w:tcW w:w="1134" w:type="dxa"/>
            <w:vAlign w:val="center"/>
          </w:tcPr>
          <w:p>
            <w:pPr>
              <w:pStyle w:val="14"/>
            </w:pPr>
            <w:r>
              <w:t>C15990000</w:t>
            </w:r>
          </w:p>
        </w:tc>
        <w:tc>
          <w:tcPr>
            <w:tcW w:w="709" w:type="dxa"/>
            <w:vAlign w:val="center"/>
          </w:tcPr>
          <w:p>
            <w:pPr>
              <w:pStyle w:val="15"/>
            </w:pPr>
            <w:r>
              <w:t>次</w:t>
            </w:r>
          </w:p>
        </w:tc>
        <w:tc>
          <w:tcPr>
            <w:tcW w:w="850" w:type="dxa"/>
            <w:vAlign w:val="center"/>
          </w:tcPr>
          <w:p>
            <w:pPr>
              <w:pStyle w:val="13"/>
            </w:pPr>
            <w:r>
              <w:t>30</w:t>
            </w:r>
          </w:p>
        </w:tc>
        <w:tc>
          <w:tcPr>
            <w:tcW w:w="850" w:type="dxa"/>
            <w:vAlign w:val="center"/>
          </w:tcPr>
          <w:p>
            <w:pPr>
              <w:pStyle w:val="13"/>
            </w:pPr>
            <w:r>
              <w:t>0.01</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场</w:t>
            </w:r>
          </w:p>
        </w:tc>
        <w:tc>
          <w:tcPr>
            <w:tcW w:w="850" w:type="dxa"/>
            <w:vAlign w:val="center"/>
          </w:tcPr>
          <w:p>
            <w:pPr>
              <w:pStyle w:val="13"/>
            </w:pPr>
            <w:r>
              <w:t>2</w:t>
            </w:r>
          </w:p>
        </w:tc>
        <w:tc>
          <w:tcPr>
            <w:tcW w:w="850" w:type="dxa"/>
            <w:vAlign w:val="center"/>
          </w:tcPr>
          <w:p>
            <w:pPr>
              <w:pStyle w:val="13"/>
            </w:pPr>
            <w:r>
              <w:t>1.20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信息技术、信息传输类合作服务</w:t>
            </w:r>
          </w:p>
        </w:tc>
        <w:tc>
          <w:tcPr>
            <w:tcW w:w="1134" w:type="dxa"/>
            <w:vAlign w:val="center"/>
          </w:tcPr>
          <w:p>
            <w:pPr>
              <w:pStyle w:val="14"/>
            </w:pPr>
            <w:r>
              <w:t>C24110000</w:t>
            </w:r>
          </w:p>
        </w:tc>
        <w:tc>
          <w:tcPr>
            <w:tcW w:w="709" w:type="dxa"/>
            <w:vAlign w:val="center"/>
          </w:tcPr>
          <w:p>
            <w:pPr>
              <w:pStyle w:val="15"/>
            </w:pPr>
            <w:r>
              <w:t>次</w:t>
            </w:r>
          </w:p>
        </w:tc>
        <w:tc>
          <w:tcPr>
            <w:tcW w:w="850" w:type="dxa"/>
            <w:vAlign w:val="center"/>
          </w:tcPr>
          <w:p>
            <w:pPr>
              <w:pStyle w:val="13"/>
            </w:pPr>
            <w:r>
              <w:t>104</w:t>
            </w:r>
          </w:p>
        </w:tc>
        <w:tc>
          <w:tcPr>
            <w:tcW w:w="850" w:type="dxa"/>
            <w:vAlign w:val="center"/>
          </w:tcPr>
          <w:p>
            <w:pPr>
              <w:pStyle w:val="13"/>
            </w:pPr>
            <w:r>
              <w:t>0.01</w:t>
            </w:r>
          </w:p>
        </w:tc>
        <w:tc>
          <w:tcPr>
            <w:tcW w:w="964" w:type="dxa"/>
            <w:vAlign w:val="center"/>
          </w:tcPr>
          <w:p>
            <w:pPr>
              <w:pStyle w:val="13"/>
            </w:pPr>
            <w:r>
              <w:t>1.04</w:t>
            </w:r>
          </w:p>
        </w:tc>
        <w:tc>
          <w:tcPr>
            <w:tcW w:w="964" w:type="dxa"/>
            <w:vAlign w:val="center"/>
          </w:tcPr>
          <w:p>
            <w:pPr>
              <w:pStyle w:val="13"/>
            </w:pPr>
            <w:r>
              <w:t>1.04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次</w:t>
            </w:r>
          </w:p>
        </w:tc>
        <w:tc>
          <w:tcPr>
            <w:tcW w:w="850" w:type="dxa"/>
            <w:vAlign w:val="center"/>
          </w:tcPr>
          <w:p>
            <w:pPr>
              <w:pStyle w:val="13"/>
            </w:pPr>
            <w:r>
              <w:t>60</w:t>
            </w:r>
          </w:p>
        </w:tc>
        <w:tc>
          <w:tcPr>
            <w:tcW w:w="850" w:type="dxa"/>
            <w:vAlign w:val="center"/>
          </w:tcPr>
          <w:p>
            <w:pPr>
              <w:pStyle w:val="13"/>
            </w:pPr>
            <w:r>
              <w:t>0.01</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秦皇岛北戴河新区旅游文化体育广电局（含所属单位）上年末固定资产金额为</w:t>
      </w:r>
      <w:r>
        <w:rPr>
          <w:rFonts w:hint="eastAsia" w:eastAsia="方正仿宋_GBK" w:cs="Times New Roman"/>
          <w:b w:val="0"/>
          <w:color w:val="000000"/>
          <w:sz w:val="28"/>
          <w:lang w:val="en-US" w:eastAsia="zh-CN"/>
        </w:rPr>
        <w:t>256.81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14.37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土地、房屋及构筑物</w:t>
            </w:r>
            <w:r>
              <w:rPr>
                <w:rFonts w:hint="eastAsia"/>
              </w:rPr>
              <w:tab/>
            </w:r>
            <w:r>
              <w:rPr>
                <w:rFonts w:hint="eastAsia"/>
              </w:rPr>
              <w:tab/>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通用设备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123.154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专用设备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文物和陈列品</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图书、档案</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家具、用具、装具及动植物</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无形资产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0.33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0E2A5"/>
    <w:multiLevelType w:val="singleLevel"/>
    <w:tmpl w:val="E690E2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EA4"/>
    <w:rsid w:val="03513373"/>
    <w:rsid w:val="050F6122"/>
    <w:rsid w:val="0DD6129F"/>
    <w:rsid w:val="351F4579"/>
    <w:rsid w:val="3B8B2924"/>
    <w:rsid w:val="3F873637"/>
    <w:rsid w:val="43D50870"/>
    <w:rsid w:val="75930164"/>
    <w:rsid w:val="79A32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2023-03-02T10:10:50Z</dcterms:created>
  <dcterms:modified xsi:type="dcterms:W3CDTF">2023-03-02T02:10:50Z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2023-03-02T10:10:46Z</dcterms:created>
  <dcterms:modified xsi:type="dcterms:W3CDTF">2023-03-02T02:10:46Z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e823ea9-4b67-482c-8aa8-c4cdb4805092}">
  <ds:schemaRefs/>
</ds:datastoreItem>
</file>

<file path=customXml/itemProps11.xml><?xml version="1.0" encoding="utf-8"?>
<ds:datastoreItem xmlns:ds="http://schemas.openxmlformats.org/officeDocument/2006/customXml" ds:itemID="{398c0ea4-fba1-46c1-8112-397ef407acac}">
  <ds:schemaRefs/>
</ds:datastoreItem>
</file>

<file path=customXml/itemProps12.xml><?xml version="1.0" encoding="utf-8"?>
<ds:datastoreItem xmlns:ds="http://schemas.openxmlformats.org/officeDocument/2006/customXml" ds:itemID="{dddc2254-7388-448c-8558-51107d96a725}">
  <ds:schemaRefs/>
</ds:datastoreItem>
</file>

<file path=customXml/itemProps13.xml><?xml version="1.0" encoding="utf-8"?>
<ds:datastoreItem xmlns:ds="http://schemas.openxmlformats.org/officeDocument/2006/customXml" ds:itemID="{94a9e775-eea7-4aac-8e4e-d332353276ce}">
  <ds:schemaRefs/>
</ds:datastoreItem>
</file>

<file path=customXml/itemProps14.xml><?xml version="1.0" encoding="utf-8"?>
<ds:datastoreItem xmlns:ds="http://schemas.openxmlformats.org/officeDocument/2006/customXml" ds:itemID="{1b2121d1-9cae-4764-9161-f80d2a5c3b1c}">
  <ds:schemaRefs/>
</ds:datastoreItem>
</file>

<file path=customXml/itemProps15.xml><?xml version="1.0" encoding="utf-8"?>
<ds:datastoreItem xmlns:ds="http://schemas.openxmlformats.org/officeDocument/2006/customXml" ds:itemID="{d25efd16-efd7-4394-9ebb-c4db57125cf3}">
  <ds:schemaRefs/>
</ds:datastoreItem>
</file>

<file path=customXml/itemProps16.xml><?xml version="1.0" encoding="utf-8"?>
<ds:datastoreItem xmlns:ds="http://schemas.openxmlformats.org/officeDocument/2006/customXml" ds:itemID="{d9140027-ae83-4fec-ad8f-94c317920d34}">
  <ds:schemaRefs/>
</ds:datastoreItem>
</file>

<file path=customXml/itemProps17.xml><?xml version="1.0" encoding="utf-8"?>
<ds:datastoreItem xmlns:ds="http://schemas.openxmlformats.org/officeDocument/2006/customXml" ds:itemID="{21291735-a992-4e05-91ea-70aaa397135e}">
  <ds:schemaRefs/>
</ds:datastoreItem>
</file>

<file path=customXml/itemProps18.xml><?xml version="1.0" encoding="utf-8"?>
<ds:datastoreItem xmlns:ds="http://schemas.openxmlformats.org/officeDocument/2006/customXml" ds:itemID="{f0ececfb-abc2-41d3-a054-2783811e9f3c}">
  <ds:schemaRefs/>
</ds:datastoreItem>
</file>

<file path=customXml/itemProps19.xml><?xml version="1.0" encoding="utf-8"?>
<ds:datastoreItem xmlns:ds="http://schemas.openxmlformats.org/officeDocument/2006/customXml" ds:itemID="{02dfcf15-50f2-46fd-b35d-e45295dd0b34}">
  <ds:schemaRefs/>
</ds:datastoreItem>
</file>

<file path=customXml/itemProps2.xml><?xml version="1.0" encoding="utf-8"?>
<ds:datastoreItem xmlns:ds="http://schemas.openxmlformats.org/officeDocument/2006/customXml" ds:itemID="{0c7bb89a-d168-42b8-8788-baa952165814}">
  <ds:schemaRefs/>
</ds:datastoreItem>
</file>

<file path=customXml/itemProps20.xml><?xml version="1.0" encoding="utf-8"?>
<ds:datastoreItem xmlns:ds="http://schemas.openxmlformats.org/officeDocument/2006/customXml" ds:itemID="{53d257b6-978c-45aa-8a5e-8d87638bddde}">
  <ds:schemaRefs/>
</ds:datastoreItem>
</file>

<file path=customXml/itemProps21.xml><?xml version="1.0" encoding="utf-8"?>
<ds:datastoreItem xmlns:ds="http://schemas.openxmlformats.org/officeDocument/2006/customXml" ds:itemID="{76e63f3c-a843-457b-8172-73e44bf61bc4}">
  <ds:schemaRefs/>
</ds:datastoreItem>
</file>

<file path=customXml/itemProps22.xml><?xml version="1.0" encoding="utf-8"?>
<ds:datastoreItem xmlns:ds="http://schemas.openxmlformats.org/officeDocument/2006/customXml" ds:itemID="{759b8b58-4183-43f1-8fff-27ea41536c46}">
  <ds:schemaRefs/>
</ds:datastoreItem>
</file>

<file path=customXml/itemProps23.xml><?xml version="1.0" encoding="utf-8"?>
<ds:datastoreItem xmlns:ds="http://schemas.openxmlformats.org/officeDocument/2006/customXml" ds:itemID="{7c862dce-f20e-48c0-825c-c68d92586175}">
  <ds:schemaRefs/>
</ds:datastoreItem>
</file>

<file path=customXml/itemProps24.xml><?xml version="1.0" encoding="utf-8"?>
<ds:datastoreItem xmlns:ds="http://schemas.openxmlformats.org/officeDocument/2006/customXml" ds:itemID="{2e629a57-29c9-4012-a1d8-bc58bee9b17f}">
  <ds:schemaRefs/>
</ds:datastoreItem>
</file>

<file path=customXml/itemProps25.xml><?xml version="1.0" encoding="utf-8"?>
<ds:datastoreItem xmlns:ds="http://schemas.openxmlformats.org/officeDocument/2006/customXml" ds:itemID="{337ef763-f747-463f-8f03-c928a1c4e862}">
  <ds:schemaRefs/>
</ds:datastoreItem>
</file>

<file path=customXml/itemProps26.xml><?xml version="1.0" encoding="utf-8"?>
<ds:datastoreItem xmlns:ds="http://schemas.openxmlformats.org/officeDocument/2006/customXml" ds:itemID="{41eae6c4-46fb-44fa-832b-2ead2665bb5a}">
  <ds:schemaRefs/>
</ds:datastoreItem>
</file>

<file path=customXml/itemProps27.xml><?xml version="1.0" encoding="utf-8"?>
<ds:datastoreItem xmlns:ds="http://schemas.openxmlformats.org/officeDocument/2006/customXml" ds:itemID="{924e4740-f5ab-4ebd-8e54-e3df1972e685}">
  <ds:schemaRefs/>
</ds:datastoreItem>
</file>

<file path=customXml/itemProps3.xml><?xml version="1.0" encoding="utf-8"?>
<ds:datastoreItem xmlns:ds="http://schemas.openxmlformats.org/officeDocument/2006/customXml" ds:itemID="{3e43f35e-6889-41a9-a1df-b04c33f637ad}">
  <ds:schemaRefs/>
</ds:datastoreItem>
</file>

<file path=customXml/itemProps4.xml><?xml version="1.0" encoding="utf-8"?>
<ds:datastoreItem xmlns:ds="http://schemas.openxmlformats.org/officeDocument/2006/customXml" ds:itemID="{774f7198-80eb-4c0e-919a-acc9297aa0fb}">
  <ds:schemaRefs/>
</ds:datastoreItem>
</file>

<file path=customXml/itemProps5.xml><?xml version="1.0" encoding="utf-8"?>
<ds:datastoreItem xmlns:ds="http://schemas.openxmlformats.org/officeDocument/2006/customXml" ds:itemID="{4512de53-2d94-41e1-9258-b9ece981c2e4}">
  <ds:schemaRefs/>
</ds:datastoreItem>
</file>

<file path=customXml/itemProps6.xml><?xml version="1.0" encoding="utf-8"?>
<ds:datastoreItem xmlns:ds="http://schemas.openxmlformats.org/officeDocument/2006/customXml" ds:itemID="{67254243-7bb7-4623-8fd1-57aa85f76d67}">
  <ds:schemaRefs/>
</ds:datastoreItem>
</file>

<file path=customXml/itemProps7.xml><?xml version="1.0" encoding="utf-8"?>
<ds:datastoreItem xmlns:ds="http://schemas.openxmlformats.org/officeDocument/2006/customXml" ds:itemID="{919908a0-a4e1-4f8c-8c13-f8b81d9535d9}">
  <ds:schemaRefs/>
</ds:datastoreItem>
</file>

<file path=customXml/itemProps8.xml><?xml version="1.0" encoding="utf-8"?>
<ds:datastoreItem xmlns:ds="http://schemas.openxmlformats.org/officeDocument/2006/customXml" ds:itemID="{866de612-3bfe-4780-b812-a9d8b13352bd}">
  <ds:schemaRefs/>
</ds:datastoreItem>
</file>

<file path=customXml/itemProps9.xml><?xml version="1.0" encoding="utf-8"?>
<ds:datastoreItem xmlns:ds="http://schemas.openxmlformats.org/officeDocument/2006/customXml" ds:itemID="{a6e57c66-f6e1-4b5f-b0cf-3cab2623eae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2023-03-02T10:10:00Z</dcterms:created>
  <dc:creator>Administrator</dc:creator>
  <cp:lastModifiedBy>Alexa</cp:lastModifiedBy>
  <dcterms:modified xsi:type="dcterms:W3CDTF">2023-08-18T02:17:04Z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EB1391D9674B442DBD081D7A711A1D0B</vt:lpwstr>
  </property>
</Properties>
</file>