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4"/>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4"/>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4"/>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4"/>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4"/>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4"/>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4"/>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4"/>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4"/>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4"/>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4"/>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4"/>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4"/>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4"/>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5913"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w:t>
            </w:r>
          </w:p>
        </w:tc>
        <w:tc>
          <w:tcPr>
            <w:tcW w:w="1971" w:type="dxa"/>
            <w:vAlign w:val="center"/>
          </w:tcPr>
          <w:p>
            <w:pPr>
              <w:pStyle w:val="10"/>
            </w:pPr>
            <w:r>
              <w:t>一、一般公共预算拨款收入</w:t>
            </w:r>
          </w:p>
        </w:tc>
        <w:tc>
          <w:tcPr>
            <w:tcW w:w="1971" w:type="dxa"/>
            <w:vAlign w:val="center"/>
          </w:tcPr>
          <w:p>
            <w:pPr>
              <w:pStyle w:val="9"/>
            </w:pPr>
            <w:r>
              <w:t>873.74</w:t>
            </w:r>
          </w:p>
        </w:tc>
        <w:tc>
          <w:tcPr>
            <w:tcW w:w="1971" w:type="dxa"/>
            <w:vAlign w:val="center"/>
          </w:tcPr>
          <w:p>
            <w:pPr>
              <w:pStyle w:val="10"/>
            </w:pPr>
            <w:r>
              <w:t>一、一般公共服务支出</w:t>
            </w:r>
          </w:p>
        </w:tc>
        <w:tc>
          <w:tcPr>
            <w:tcW w:w="1971" w:type="dxa"/>
            <w:vAlign w:val="center"/>
          </w:tcPr>
          <w:p>
            <w:pPr>
              <w:pStyle w:val="9"/>
            </w:pPr>
            <w:r>
              <w:t>744.33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w:t>
            </w:r>
          </w:p>
        </w:tc>
        <w:tc>
          <w:tcPr>
            <w:tcW w:w="1971" w:type="dxa"/>
            <w:vAlign w:val="center"/>
          </w:tcPr>
          <w:p>
            <w:pPr>
              <w:pStyle w:val="10"/>
            </w:pPr>
            <w:r>
              <w:t>二、政府性基金预算拨款收入</w:t>
            </w:r>
          </w:p>
        </w:tc>
        <w:tc>
          <w:tcPr>
            <w:tcW w:w="1971" w:type="dxa"/>
            <w:vAlign w:val="center"/>
          </w:tcPr>
          <w:p>
            <w:pPr>
              <w:pStyle w:val="9"/>
            </w:pPr>
          </w:p>
        </w:tc>
        <w:tc>
          <w:tcPr>
            <w:tcW w:w="1971" w:type="dxa"/>
            <w:vAlign w:val="center"/>
          </w:tcPr>
          <w:p>
            <w:pPr>
              <w:pStyle w:val="10"/>
            </w:pPr>
            <w:r>
              <w:t>二、外交支出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w:t>
            </w:r>
          </w:p>
        </w:tc>
        <w:tc>
          <w:tcPr>
            <w:tcW w:w="1971" w:type="dxa"/>
            <w:vAlign w:val="center"/>
          </w:tcPr>
          <w:p>
            <w:pPr>
              <w:pStyle w:val="10"/>
            </w:pPr>
            <w:r>
              <w:t>三、国有资本经营预算拨款收入</w:t>
            </w:r>
          </w:p>
        </w:tc>
        <w:tc>
          <w:tcPr>
            <w:tcW w:w="1971" w:type="dxa"/>
            <w:vAlign w:val="center"/>
          </w:tcPr>
          <w:p>
            <w:pPr>
              <w:pStyle w:val="9"/>
            </w:pPr>
          </w:p>
        </w:tc>
        <w:tc>
          <w:tcPr>
            <w:tcW w:w="1971" w:type="dxa"/>
            <w:vAlign w:val="center"/>
          </w:tcPr>
          <w:p>
            <w:pPr>
              <w:pStyle w:val="10"/>
            </w:pPr>
            <w:r>
              <w:t>三、国防支出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4</w:t>
            </w:r>
          </w:p>
        </w:tc>
        <w:tc>
          <w:tcPr>
            <w:tcW w:w="1971" w:type="dxa"/>
            <w:vAlign w:val="center"/>
          </w:tcPr>
          <w:p>
            <w:pPr>
              <w:pStyle w:val="10"/>
            </w:pPr>
            <w:r>
              <w:t>四、财政专户管理资金收入</w:t>
            </w:r>
          </w:p>
        </w:tc>
        <w:tc>
          <w:tcPr>
            <w:tcW w:w="1971" w:type="dxa"/>
            <w:vAlign w:val="center"/>
          </w:tcPr>
          <w:p>
            <w:pPr>
              <w:pStyle w:val="9"/>
            </w:pPr>
          </w:p>
        </w:tc>
        <w:tc>
          <w:tcPr>
            <w:tcW w:w="1971" w:type="dxa"/>
            <w:vAlign w:val="center"/>
          </w:tcPr>
          <w:p>
            <w:pPr>
              <w:pStyle w:val="10"/>
            </w:pPr>
            <w:r>
              <w:t>四、公共安全支出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5</w:t>
            </w:r>
          </w:p>
        </w:tc>
        <w:tc>
          <w:tcPr>
            <w:tcW w:w="1971" w:type="dxa"/>
            <w:vAlign w:val="center"/>
          </w:tcPr>
          <w:p>
            <w:pPr>
              <w:pStyle w:val="10"/>
            </w:pPr>
            <w:r>
              <w:t>五、事业收入</w:t>
            </w:r>
          </w:p>
        </w:tc>
        <w:tc>
          <w:tcPr>
            <w:tcW w:w="1971" w:type="dxa"/>
            <w:vAlign w:val="center"/>
          </w:tcPr>
          <w:p>
            <w:pPr>
              <w:pStyle w:val="9"/>
            </w:pPr>
          </w:p>
        </w:tc>
        <w:tc>
          <w:tcPr>
            <w:tcW w:w="1971" w:type="dxa"/>
            <w:vAlign w:val="center"/>
          </w:tcPr>
          <w:p>
            <w:pPr>
              <w:pStyle w:val="10"/>
            </w:pPr>
            <w:r>
              <w:t>五、教育支出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6</w:t>
            </w:r>
          </w:p>
        </w:tc>
        <w:tc>
          <w:tcPr>
            <w:tcW w:w="1971" w:type="dxa"/>
            <w:vAlign w:val="center"/>
          </w:tcPr>
          <w:p>
            <w:pPr>
              <w:pStyle w:val="10"/>
            </w:pPr>
            <w:r>
              <w:t>六、事业单位经营收入</w:t>
            </w:r>
          </w:p>
        </w:tc>
        <w:tc>
          <w:tcPr>
            <w:tcW w:w="1971" w:type="dxa"/>
            <w:vAlign w:val="center"/>
          </w:tcPr>
          <w:p>
            <w:pPr>
              <w:pStyle w:val="9"/>
            </w:pPr>
          </w:p>
        </w:tc>
        <w:tc>
          <w:tcPr>
            <w:tcW w:w="1971" w:type="dxa"/>
            <w:vAlign w:val="center"/>
          </w:tcPr>
          <w:p>
            <w:pPr>
              <w:pStyle w:val="10"/>
            </w:pPr>
            <w:r>
              <w:t>六、科学技术支出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7</w:t>
            </w:r>
          </w:p>
        </w:tc>
        <w:tc>
          <w:tcPr>
            <w:tcW w:w="1971" w:type="dxa"/>
            <w:vAlign w:val="center"/>
          </w:tcPr>
          <w:p>
            <w:pPr>
              <w:pStyle w:val="10"/>
            </w:pPr>
            <w:r>
              <w:t>七、上级补助收入</w:t>
            </w:r>
          </w:p>
        </w:tc>
        <w:tc>
          <w:tcPr>
            <w:tcW w:w="1971" w:type="dxa"/>
            <w:vAlign w:val="center"/>
          </w:tcPr>
          <w:p>
            <w:pPr>
              <w:pStyle w:val="9"/>
            </w:pPr>
          </w:p>
        </w:tc>
        <w:tc>
          <w:tcPr>
            <w:tcW w:w="1971" w:type="dxa"/>
            <w:vAlign w:val="center"/>
          </w:tcPr>
          <w:p>
            <w:pPr>
              <w:pStyle w:val="10"/>
            </w:pPr>
            <w:r>
              <w:t>七、文化旅游体育与传媒支出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8</w:t>
            </w:r>
          </w:p>
        </w:tc>
        <w:tc>
          <w:tcPr>
            <w:tcW w:w="1971" w:type="dxa"/>
            <w:vAlign w:val="center"/>
          </w:tcPr>
          <w:p>
            <w:pPr>
              <w:pStyle w:val="10"/>
            </w:pPr>
            <w:r>
              <w:t>八、附属单位上缴收入</w:t>
            </w:r>
          </w:p>
        </w:tc>
        <w:tc>
          <w:tcPr>
            <w:tcW w:w="1971" w:type="dxa"/>
            <w:vAlign w:val="center"/>
          </w:tcPr>
          <w:p>
            <w:pPr>
              <w:pStyle w:val="9"/>
            </w:pPr>
          </w:p>
        </w:tc>
        <w:tc>
          <w:tcPr>
            <w:tcW w:w="1971" w:type="dxa"/>
            <w:vAlign w:val="center"/>
          </w:tcPr>
          <w:p>
            <w:pPr>
              <w:pStyle w:val="10"/>
            </w:pPr>
            <w:r>
              <w:t>八、社会保障和就业支出</w:t>
            </w:r>
          </w:p>
        </w:tc>
        <w:tc>
          <w:tcPr>
            <w:tcW w:w="1971" w:type="dxa"/>
            <w:vAlign w:val="center"/>
          </w:tcPr>
          <w:p>
            <w:pPr>
              <w:pStyle w:val="9"/>
            </w:pPr>
            <w:r>
              <w:t>58.65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9</w:t>
            </w:r>
          </w:p>
        </w:tc>
        <w:tc>
          <w:tcPr>
            <w:tcW w:w="1971" w:type="dxa"/>
            <w:vAlign w:val="center"/>
          </w:tcPr>
          <w:p>
            <w:pPr>
              <w:pStyle w:val="10"/>
            </w:pPr>
            <w:r>
              <w:t>九、其他收入</w:t>
            </w:r>
          </w:p>
        </w:tc>
        <w:tc>
          <w:tcPr>
            <w:tcW w:w="1971" w:type="dxa"/>
            <w:vAlign w:val="center"/>
          </w:tcPr>
          <w:p>
            <w:pPr>
              <w:pStyle w:val="9"/>
            </w:pPr>
          </w:p>
        </w:tc>
        <w:tc>
          <w:tcPr>
            <w:tcW w:w="1971" w:type="dxa"/>
            <w:vAlign w:val="center"/>
          </w:tcPr>
          <w:p>
            <w:pPr>
              <w:pStyle w:val="10"/>
            </w:pPr>
            <w:r>
              <w:t>九、社会保险基金支出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十、卫生健康支出</w:t>
            </w:r>
          </w:p>
        </w:tc>
        <w:tc>
          <w:tcPr>
            <w:tcW w:w="1971" w:type="dxa"/>
            <w:vAlign w:val="center"/>
          </w:tcPr>
          <w:p>
            <w:pPr>
              <w:pStyle w:val="9"/>
            </w:pPr>
            <w:r>
              <w:t>36.25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十一、节能环保支出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12</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十二、城乡社区支出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13</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十三、农林水支出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14</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十四、交通运输支出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15</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十五、资源勘探工业信息等支出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16</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十六、商业服务业等支出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17</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十七、金融支出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18</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十八、援助其他地区支出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19</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十九、自然资源海洋气象等支出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二十、住房保障支出</w:t>
            </w:r>
          </w:p>
        </w:tc>
        <w:tc>
          <w:tcPr>
            <w:tcW w:w="1971" w:type="dxa"/>
            <w:vAlign w:val="center"/>
          </w:tcPr>
          <w:p>
            <w:pPr>
              <w:pStyle w:val="9"/>
            </w:pPr>
            <w: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二十一、粮油物资储备支出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22</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二十二、国有资本经营预算支出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23</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二十三、灾害防治及应急管理支出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24</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二十四、预备费</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25</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二十五、其他支出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26</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二十六、转移性支出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27</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二十七、债务还本支出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28</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二十八、债务付息支出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29</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二十九、债务发行费用支出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三十、抗疫特别国债安排的支出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31</w:t>
            </w:r>
          </w:p>
        </w:tc>
        <w:tc>
          <w:tcPr>
            <w:tcW w:w="1971" w:type="dxa"/>
            <w:vAlign w:val="center"/>
          </w:tcPr>
          <w:p>
            <w:pPr>
              <w:pStyle w:val="12"/>
            </w:pPr>
            <w:r>
              <w:t>本年收入合计</w:t>
            </w:r>
          </w:p>
        </w:tc>
        <w:tc>
          <w:tcPr>
            <w:tcW w:w="1971" w:type="dxa"/>
            <w:vAlign w:val="center"/>
          </w:tcPr>
          <w:p>
            <w:pPr>
              <w:pStyle w:val="13"/>
            </w:pPr>
            <w:r>
              <w:t>873.74</w:t>
            </w:r>
          </w:p>
        </w:tc>
        <w:tc>
          <w:tcPr>
            <w:tcW w:w="1971" w:type="dxa"/>
            <w:vAlign w:val="center"/>
          </w:tcPr>
          <w:p>
            <w:pPr>
              <w:pStyle w:val="12"/>
            </w:pPr>
            <w:r>
              <w:t>本年支出合计</w:t>
            </w:r>
          </w:p>
        </w:tc>
        <w:tc>
          <w:tcPr>
            <w:tcW w:w="1971" w:type="dxa"/>
            <w:vAlign w:val="center"/>
          </w:tcPr>
          <w:p>
            <w:pPr>
              <w:pStyle w:val="13"/>
            </w:pPr>
            <w:r>
              <w:t>873.74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32</w:t>
            </w:r>
          </w:p>
        </w:tc>
        <w:tc>
          <w:tcPr>
            <w:tcW w:w="1971" w:type="dxa"/>
            <w:vAlign w:val="center"/>
          </w:tcPr>
          <w:p>
            <w:pPr>
              <w:pStyle w:val="10"/>
            </w:pPr>
            <w:r>
              <w:t>上年结转结余</w:t>
            </w:r>
          </w:p>
        </w:tc>
        <w:tc>
          <w:tcPr>
            <w:tcW w:w="1971" w:type="dxa"/>
            <w:vAlign w:val="center"/>
          </w:tcPr>
          <w:p>
            <w:pPr>
              <w:pStyle w:val="9"/>
            </w:pPr>
          </w:p>
        </w:tc>
        <w:tc>
          <w:tcPr>
            <w:tcW w:w="1971" w:type="dxa"/>
            <w:vAlign w:val="center"/>
          </w:tcPr>
          <w:p>
            <w:pPr>
              <w:pStyle w:val="10"/>
            </w:pPr>
            <w:r>
              <w:t>年终结转结余</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33</w:t>
            </w:r>
          </w:p>
        </w:tc>
        <w:tc>
          <w:tcPr>
            <w:tcW w:w="1971" w:type="dxa"/>
            <w:vAlign w:val="center"/>
          </w:tcPr>
          <w:p>
            <w:pPr>
              <w:pStyle w:val="12"/>
            </w:pPr>
            <w:r>
              <w:t>收入总计</w:t>
            </w:r>
          </w:p>
        </w:tc>
        <w:tc>
          <w:tcPr>
            <w:tcW w:w="1971" w:type="dxa"/>
            <w:vAlign w:val="center"/>
          </w:tcPr>
          <w:p>
            <w:pPr>
              <w:pStyle w:val="13"/>
            </w:pPr>
            <w:r>
              <w:t>873.74</w:t>
            </w:r>
          </w:p>
        </w:tc>
        <w:tc>
          <w:tcPr>
            <w:tcW w:w="1971" w:type="dxa"/>
            <w:vAlign w:val="center"/>
          </w:tcPr>
          <w:p>
            <w:pPr>
              <w:pStyle w:val="12"/>
            </w:pPr>
            <w:r>
              <w:t>支出总计</w:t>
            </w:r>
          </w:p>
        </w:tc>
        <w:tc>
          <w:tcPr>
            <w:tcW w:w="1971" w:type="dxa"/>
            <w:vAlign w:val="center"/>
          </w:tcPr>
          <w:p>
            <w:pPr>
              <w:pStyle w:val="13"/>
            </w:pPr>
            <w:r>
              <w:t>873.74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8"/>
            </w:pPr>
            <w:r>
              <w:t>序号</w:t>
            </w:r>
          </w:p>
        </w:tc>
        <w:tc>
          <w:tcPr>
            <w:tcW w:w="6822" w:type="dxa"/>
            <w:gridSpan w:val="9"/>
            <w:vMerge w:val="restart"/>
            <w:vAlign w:val="center"/>
          </w:tcPr>
          <w:p>
            <w:pPr>
              <w:pStyle w:val="8"/>
            </w:pPr>
            <w:r>
              <w:t>合计</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vAlign w:val="top"/>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873.74</w:t>
            </w:r>
          </w:p>
        </w:tc>
        <w:tc>
          <w:tcPr>
            <w:tcW w:w="758" w:type="dxa"/>
            <w:vAlign w:val="center"/>
          </w:tcPr>
          <w:p>
            <w:pPr>
              <w:pStyle w:val="13"/>
            </w:pPr>
            <w:r>
              <w:t>873.74</w:t>
            </w:r>
          </w:p>
        </w:tc>
        <w:tc>
          <w:tcPr>
            <w:tcW w:w="758" w:type="dxa"/>
            <w:vAlign w:val="center"/>
          </w:tcPr>
          <w:p>
            <w:pPr>
              <w:pStyle w:val="13"/>
            </w:pPr>
            <w:r>
              <w:t>873.74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9"/>
              <w:rPr>
                <w:sz w:val="16"/>
                <w:szCs w:val="20"/>
              </w:rPr>
            </w:pPr>
            <w:r>
              <w:rPr>
                <w:sz w:val="16"/>
                <w:szCs w:val="20"/>
              </w:rPr>
              <w:t>744.33</w:t>
            </w:r>
          </w:p>
        </w:tc>
        <w:tc>
          <w:tcPr>
            <w:tcW w:w="758" w:type="dxa"/>
            <w:vAlign w:val="center"/>
          </w:tcPr>
          <w:p>
            <w:pPr>
              <w:pStyle w:val="9"/>
              <w:rPr>
                <w:sz w:val="16"/>
                <w:szCs w:val="20"/>
              </w:rPr>
            </w:pPr>
            <w:r>
              <w:rPr>
                <w:sz w:val="16"/>
                <w:szCs w:val="20"/>
              </w:rPr>
              <w:t>744.33</w:t>
            </w:r>
          </w:p>
        </w:tc>
        <w:tc>
          <w:tcPr>
            <w:tcW w:w="758" w:type="dxa"/>
            <w:vAlign w:val="center"/>
          </w:tcPr>
          <w:p>
            <w:pPr>
              <w:pStyle w:val="9"/>
              <w:rPr>
                <w:sz w:val="16"/>
                <w:szCs w:val="20"/>
              </w:rPr>
            </w:pPr>
            <w:r>
              <w:rPr>
                <w:sz w:val="16"/>
                <w:szCs w:val="20"/>
              </w:rPr>
              <w:t>744.33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0"/>
            </w:pPr>
            <w:r>
              <w:t>20113</w:t>
            </w:r>
          </w:p>
        </w:tc>
        <w:tc>
          <w:tcPr>
            <w:tcW w:w="758" w:type="dxa"/>
            <w:vAlign w:val="center"/>
          </w:tcPr>
          <w:p>
            <w:pPr>
              <w:pStyle w:val="10"/>
            </w:pPr>
            <w:r>
              <w:t>商贸事务</w:t>
            </w:r>
          </w:p>
        </w:tc>
        <w:tc>
          <w:tcPr>
            <w:tcW w:w="758" w:type="dxa"/>
            <w:vAlign w:val="center"/>
          </w:tcPr>
          <w:p>
            <w:pPr>
              <w:pStyle w:val="9"/>
              <w:rPr>
                <w:sz w:val="16"/>
                <w:szCs w:val="20"/>
              </w:rPr>
            </w:pPr>
            <w:r>
              <w:rPr>
                <w:sz w:val="16"/>
                <w:szCs w:val="20"/>
              </w:rPr>
              <w:t>744.33</w:t>
            </w:r>
          </w:p>
        </w:tc>
        <w:tc>
          <w:tcPr>
            <w:tcW w:w="758" w:type="dxa"/>
            <w:vAlign w:val="center"/>
          </w:tcPr>
          <w:p>
            <w:pPr>
              <w:pStyle w:val="9"/>
              <w:rPr>
                <w:sz w:val="16"/>
                <w:szCs w:val="20"/>
              </w:rPr>
            </w:pPr>
            <w:r>
              <w:rPr>
                <w:sz w:val="16"/>
                <w:szCs w:val="20"/>
              </w:rPr>
              <w:t>744.33</w:t>
            </w:r>
          </w:p>
        </w:tc>
        <w:tc>
          <w:tcPr>
            <w:tcW w:w="758" w:type="dxa"/>
            <w:vAlign w:val="center"/>
          </w:tcPr>
          <w:p>
            <w:pPr>
              <w:pStyle w:val="9"/>
              <w:rPr>
                <w:sz w:val="16"/>
                <w:szCs w:val="20"/>
              </w:rPr>
            </w:pPr>
            <w:r>
              <w:rPr>
                <w:sz w:val="16"/>
                <w:szCs w:val="20"/>
              </w:rPr>
              <w:t>744.33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0"/>
            </w:pPr>
            <w:r>
              <w:t>2011301</w:t>
            </w:r>
          </w:p>
        </w:tc>
        <w:tc>
          <w:tcPr>
            <w:tcW w:w="758" w:type="dxa"/>
            <w:vAlign w:val="center"/>
          </w:tcPr>
          <w:p>
            <w:pPr>
              <w:pStyle w:val="10"/>
            </w:pPr>
            <w:r>
              <w:t>行政运行</w:t>
            </w:r>
          </w:p>
        </w:tc>
        <w:tc>
          <w:tcPr>
            <w:tcW w:w="758" w:type="dxa"/>
            <w:vAlign w:val="center"/>
          </w:tcPr>
          <w:p>
            <w:pPr>
              <w:pStyle w:val="9"/>
              <w:rPr>
                <w:sz w:val="16"/>
                <w:szCs w:val="20"/>
              </w:rPr>
            </w:pPr>
            <w:r>
              <w:rPr>
                <w:sz w:val="16"/>
                <w:szCs w:val="20"/>
              </w:rPr>
              <w:t>340.33</w:t>
            </w:r>
          </w:p>
        </w:tc>
        <w:tc>
          <w:tcPr>
            <w:tcW w:w="758" w:type="dxa"/>
            <w:vAlign w:val="center"/>
          </w:tcPr>
          <w:p>
            <w:pPr>
              <w:pStyle w:val="9"/>
              <w:rPr>
                <w:sz w:val="16"/>
                <w:szCs w:val="20"/>
              </w:rPr>
            </w:pPr>
            <w:r>
              <w:rPr>
                <w:sz w:val="16"/>
                <w:szCs w:val="20"/>
              </w:rPr>
              <w:t>340.33</w:t>
            </w:r>
          </w:p>
        </w:tc>
        <w:tc>
          <w:tcPr>
            <w:tcW w:w="758" w:type="dxa"/>
            <w:vAlign w:val="center"/>
          </w:tcPr>
          <w:p>
            <w:pPr>
              <w:pStyle w:val="9"/>
              <w:rPr>
                <w:sz w:val="16"/>
                <w:szCs w:val="20"/>
              </w:rPr>
            </w:pPr>
            <w:r>
              <w:rPr>
                <w:sz w:val="16"/>
                <w:szCs w:val="20"/>
              </w:rPr>
              <w:t>340.33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0"/>
            </w:pPr>
            <w:r>
              <w:t>2011308</w:t>
            </w:r>
          </w:p>
        </w:tc>
        <w:tc>
          <w:tcPr>
            <w:tcW w:w="758" w:type="dxa"/>
            <w:vAlign w:val="center"/>
          </w:tcPr>
          <w:p>
            <w:pPr>
              <w:pStyle w:val="10"/>
            </w:pPr>
            <w:r>
              <w:t>招商引资</w:t>
            </w:r>
          </w:p>
        </w:tc>
        <w:tc>
          <w:tcPr>
            <w:tcW w:w="758" w:type="dxa"/>
            <w:vAlign w:val="center"/>
          </w:tcPr>
          <w:p>
            <w:pPr>
              <w:pStyle w:val="9"/>
              <w:rPr>
                <w:sz w:val="16"/>
                <w:szCs w:val="20"/>
              </w:rPr>
            </w:pPr>
            <w:r>
              <w:rPr>
                <w:sz w:val="16"/>
                <w:szCs w:val="20"/>
              </w:rPr>
              <w:t>404.00</w:t>
            </w:r>
          </w:p>
        </w:tc>
        <w:tc>
          <w:tcPr>
            <w:tcW w:w="758" w:type="dxa"/>
            <w:vAlign w:val="center"/>
          </w:tcPr>
          <w:p>
            <w:pPr>
              <w:pStyle w:val="9"/>
              <w:rPr>
                <w:sz w:val="16"/>
                <w:szCs w:val="20"/>
              </w:rPr>
            </w:pPr>
            <w:r>
              <w:rPr>
                <w:sz w:val="16"/>
                <w:szCs w:val="20"/>
              </w:rPr>
              <w:t>404.00</w:t>
            </w:r>
          </w:p>
        </w:tc>
        <w:tc>
          <w:tcPr>
            <w:tcW w:w="758" w:type="dxa"/>
            <w:vAlign w:val="center"/>
          </w:tcPr>
          <w:p>
            <w:pPr>
              <w:pStyle w:val="9"/>
              <w:rPr>
                <w:sz w:val="16"/>
                <w:szCs w:val="20"/>
              </w:rPr>
            </w:pPr>
            <w:r>
              <w:rPr>
                <w:sz w:val="16"/>
                <w:szCs w:val="20"/>
              </w:rPr>
              <w:t>404.00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9"/>
              <w:rPr>
                <w:sz w:val="16"/>
                <w:szCs w:val="20"/>
              </w:rPr>
            </w:pPr>
            <w:r>
              <w:rPr>
                <w:sz w:val="16"/>
                <w:szCs w:val="20"/>
              </w:rPr>
              <w:t>58.65</w:t>
            </w:r>
          </w:p>
        </w:tc>
        <w:tc>
          <w:tcPr>
            <w:tcW w:w="758" w:type="dxa"/>
            <w:vAlign w:val="center"/>
          </w:tcPr>
          <w:p>
            <w:pPr>
              <w:pStyle w:val="9"/>
              <w:rPr>
                <w:sz w:val="16"/>
                <w:szCs w:val="20"/>
              </w:rPr>
            </w:pPr>
            <w:r>
              <w:rPr>
                <w:sz w:val="16"/>
                <w:szCs w:val="20"/>
              </w:rPr>
              <w:t>58.65</w:t>
            </w:r>
          </w:p>
        </w:tc>
        <w:tc>
          <w:tcPr>
            <w:tcW w:w="758" w:type="dxa"/>
            <w:vAlign w:val="center"/>
          </w:tcPr>
          <w:p>
            <w:pPr>
              <w:pStyle w:val="9"/>
              <w:rPr>
                <w:sz w:val="16"/>
                <w:szCs w:val="20"/>
              </w:rPr>
            </w:pPr>
            <w:r>
              <w:rPr>
                <w:sz w:val="16"/>
                <w:szCs w:val="20"/>
              </w:rPr>
              <w:t>58.65</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9"/>
              <w:rPr>
                <w:sz w:val="20"/>
                <w:szCs w:val="22"/>
              </w:rPr>
            </w:pPr>
            <w:r>
              <w:rPr>
                <w:sz w:val="20"/>
                <w:szCs w:val="22"/>
              </w:rPr>
              <w:t>58.65</w:t>
            </w:r>
          </w:p>
        </w:tc>
        <w:tc>
          <w:tcPr>
            <w:tcW w:w="758" w:type="dxa"/>
            <w:vAlign w:val="center"/>
          </w:tcPr>
          <w:p>
            <w:pPr>
              <w:pStyle w:val="9"/>
              <w:rPr>
                <w:sz w:val="20"/>
                <w:szCs w:val="22"/>
              </w:rPr>
            </w:pPr>
            <w:r>
              <w:rPr>
                <w:sz w:val="20"/>
                <w:szCs w:val="22"/>
              </w:rPr>
              <w:t>58.65</w:t>
            </w:r>
          </w:p>
        </w:tc>
        <w:tc>
          <w:tcPr>
            <w:tcW w:w="758" w:type="dxa"/>
            <w:vAlign w:val="center"/>
          </w:tcPr>
          <w:p>
            <w:pPr>
              <w:pStyle w:val="9"/>
              <w:rPr>
                <w:sz w:val="20"/>
                <w:szCs w:val="22"/>
              </w:rPr>
            </w:pPr>
            <w:r>
              <w:rPr>
                <w:sz w:val="20"/>
                <w:szCs w:val="22"/>
              </w:rPr>
              <w:t>58.65</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9"/>
              <w:rPr>
                <w:sz w:val="20"/>
                <w:szCs w:val="22"/>
              </w:rPr>
            </w:pPr>
            <w:r>
              <w:rPr>
                <w:sz w:val="20"/>
                <w:szCs w:val="22"/>
              </w:rPr>
              <w:t>4.01</w:t>
            </w:r>
          </w:p>
        </w:tc>
        <w:tc>
          <w:tcPr>
            <w:tcW w:w="758" w:type="dxa"/>
            <w:vAlign w:val="center"/>
          </w:tcPr>
          <w:p>
            <w:pPr>
              <w:pStyle w:val="9"/>
              <w:rPr>
                <w:sz w:val="20"/>
                <w:szCs w:val="22"/>
              </w:rPr>
            </w:pPr>
            <w:r>
              <w:rPr>
                <w:sz w:val="20"/>
                <w:szCs w:val="22"/>
              </w:rPr>
              <w:t>4.01</w:t>
            </w:r>
          </w:p>
        </w:tc>
        <w:tc>
          <w:tcPr>
            <w:tcW w:w="758" w:type="dxa"/>
            <w:vAlign w:val="center"/>
          </w:tcPr>
          <w:p>
            <w:pPr>
              <w:pStyle w:val="9"/>
              <w:rPr>
                <w:sz w:val="20"/>
                <w:szCs w:val="22"/>
              </w:rPr>
            </w:pPr>
            <w:r>
              <w:rPr>
                <w:sz w:val="20"/>
                <w:szCs w:val="22"/>
              </w:rPr>
              <w:t>4.01</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9"/>
              <w:rPr>
                <w:sz w:val="20"/>
                <w:szCs w:val="22"/>
              </w:rPr>
            </w:pPr>
            <w:r>
              <w:rPr>
                <w:sz w:val="20"/>
                <w:szCs w:val="22"/>
              </w:rPr>
              <w:t>43.07</w:t>
            </w:r>
          </w:p>
        </w:tc>
        <w:tc>
          <w:tcPr>
            <w:tcW w:w="758" w:type="dxa"/>
            <w:vAlign w:val="center"/>
          </w:tcPr>
          <w:p>
            <w:pPr>
              <w:pStyle w:val="9"/>
              <w:rPr>
                <w:sz w:val="20"/>
                <w:szCs w:val="22"/>
              </w:rPr>
            </w:pPr>
            <w:r>
              <w:rPr>
                <w:sz w:val="20"/>
                <w:szCs w:val="22"/>
              </w:rPr>
              <w:t>43.07</w:t>
            </w:r>
          </w:p>
        </w:tc>
        <w:tc>
          <w:tcPr>
            <w:tcW w:w="758" w:type="dxa"/>
            <w:vAlign w:val="center"/>
          </w:tcPr>
          <w:p>
            <w:pPr>
              <w:pStyle w:val="9"/>
              <w:rPr>
                <w:sz w:val="20"/>
                <w:szCs w:val="22"/>
              </w:rPr>
            </w:pPr>
            <w:r>
              <w:rPr>
                <w:sz w:val="20"/>
                <w:szCs w:val="22"/>
              </w:rPr>
              <w:t>43.07</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9"/>
              <w:rPr>
                <w:sz w:val="20"/>
                <w:szCs w:val="22"/>
              </w:rPr>
            </w:pPr>
            <w:r>
              <w:rPr>
                <w:sz w:val="20"/>
                <w:szCs w:val="22"/>
              </w:rPr>
              <w:t>11.57</w:t>
            </w:r>
          </w:p>
        </w:tc>
        <w:tc>
          <w:tcPr>
            <w:tcW w:w="758" w:type="dxa"/>
            <w:vAlign w:val="center"/>
          </w:tcPr>
          <w:p>
            <w:pPr>
              <w:pStyle w:val="9"/>
              <w:rPr>
                <w:sz w:val="20"/>
                <w:szCs w:val="22"/>
              </w:rPr>
            </w:pPr>
            <w:r>
              <w:rPr>
                <w:sz w:val="20"/>
                <w:szCs w:val="22"/>
              </w:rPr>
              <w:t>11.57</w:t>
            </w:r>
          </w:p>
        </w:tc>
        <w:tc>
          <w:tcPr>
            <w:tcW w:w="758" w:type="dxa"/>
            <w:vAlign w:val="center"/>
          </w:tcPr>
          <w:p>
            <w:pPr>
              <w:pStyle w:val="9"/>
              <w:rPr>
                <w:sz w:val="20"/>
                <w:szCs w:val="22"/>
              </w:rPr>
            </w:pPr>
            <w:r>
              <w:rPr>
                <w:sz w:val="20"/>
                <w:szCs w:val="22"/>
              </w:rPr>
              <w:t>11.57</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9"/>
              <w:rPr>
                <w:sz w:val="20"/>
                <w:szCs w:val="22"/>
              </w:rPr>
            </w:pPr>
            <w:r>
              <w:rPr>
                <w:sz w:val="20"/>
                <w:szCs w:val="22"/>
              </w:rPr>
              <w:t>36.25</w:t>
            </w:r>
          </w:p>
        </w:tc>
        <w:tc>
          <w:tcPr>
            <w:tcW w:w="758" w:type="dxa"/>
            <w:vAlign w:val="center"/>
          </w:tcPr>
          <w:p>
            <w:pPr>
              <w:pStyle w:val="9"/>
              <w:rPr>
                <w:sz w:val="20"/>
                <w:szCs w:val="22"/>
              </w:rPr>
            </w:pPr>
            <w:r>
              <w:rPr>
                <w:sz w:val="20"/>
                <w:szCs w:val="22"/>
              </w:rPr>
              <w:t>36.25</w:t>
            </w:r>
          </w:p>
        </w:tc>
        <w:tc>
          <w:tcPr>
            <w:tcW w:w="758" w:type="dxa"/>
            <w:vAlign w:val="center"/>
          </w:tcPr>
          <w:p>
            <w:pPr>
              <w:pStyle w:val="9"/>
              <w:rPr>
                <w:sz w:val="20"/>
                <w:szCs w:val="22"/>
              </w:rPr>
            </w:pPr>
            <w:r>
              <w:rPr>
                <w:sz w:val="20"/>
                <w:szCs w:val="22"/>
              </w:rPr>
              <w:t>36.25</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9"/>
              <w:rPr>
                <w:sz w:val="20"/>
                <w:szCs w:val="22"/>
              </w:rPr>
            </w:pPr>
            <w:r>
              <w:rPr>
                <w:sz w:val="20"/>
                <w:szCs w:val="22"/>
              </w:rPr>
              <w:t>36.25</w:t>
            </w:r>
          </w:p>
        </w:tc>
        <w:tc>
          <w:tcPr>
            <w:tcW w:w="758" w:type="dxa"/>
            <w:vAlign w:val="center"/>
          </w:tcPr>
          <w:p>
            <w:pPr>
              <w:pStyle w:val="9"/>
              <w:rPr>
                <w:sz w:val="20"/>
                <w:szCs w:val="22"/>
              </w:rPr>
            </w:pPr>
            <w:r>
              <w:rPr>
                <w:sz w:val="20"/>
                <w:szCs w:val="22"/>
              </w:rPr>
              <w:t>36.25</w:t>
            </w:r>
          </w:p>
        </w:tc>
        <w:tc>
          <w:tcPr>
            <w:tcW w:w="758" w:type="dxa"/>
            <w:vAlign w:val="center"/>
          </w:tcPr>
          <w:p>
            <w:pPr>
              <w:pStyle w:val="9"/>
              <w:rPr>
                <w:sz w:val="20"/>
                <w:szCs w:val="22"/>
              </w:rPr>
            </w:pPr>
            <w:r>
              <w:rPr>
                <w:sz w:val="20"/>
                <w:szCs w:val="22"/>
              </w:rPr>
              <w:t>36.25</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9"/>
              <w:rPr>
                <w:sz w:val="20"/>
                <w:szCs w:val="22"/>
              </w:rPr>
            </w:pPr>
            <w:r>
              <w:rPr>
                <w:sz w:val="20"/>
                <w:szCs w:val="22"/>
              </w:rPr>
              <w:t>36.25</w:t>
            </w:r>
          </w:p>
        </w:tc>
        <w:tc>
          <w:tcPr>
            <w:tcW w:w="758" w:type="dxa"/>
            <w:vAlign w:val="center"/>
          </w:tcPr>
          <w:p>
            <w:pPr>
              <w:pStyle w:val="9"/>
              <w:rPr>
                <w:sz w:val="20"/>
                <w:szCs w:val="22"/>
              </w:rPr>
            </w:pPr>
            <w:r>
              <w:rPr>
                <w:sz w:val="20"/>
                <w:szCs w:val="22"/>
              </w:rPr>
              <w:t>36.25</w:t>
            </w:r>
          </w:p>
        </w:tc>
        <w:tc>
          <w:tcPr>
            <w:tcW w:w="758" w:type="dxa"/>
            <w:vAlign w:val="center"/>
          </w:tcPr>
          <w:p>
            <w:pPr>
              <w:pStyle w:val="9"/>
              <w:rPr>
                <w:sz w:val="20"/>
                <w:szCs w:val="22"/>
              </w:rPr>
            </w:pPr>
            <w:r>
              <w:rPr>
                <w:sz w:val="20"/>
                <w:szCs w:val="22"/>
              </w:rPr>
              <w:t>36.25</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9"/>
              <w:rPr>
                <w:sz w:val="20"/>
                <w:szCs w:val="22"/>
              </w:rPr>
            </w:pPr>
            <w:r>
              <w:rPr>
                <w:sz w:val="20"/>
                <w:szCs w:val="22"/>
              </w:rPr>
              <w:t>34.52</w:t>
            </w:r>
          </w:p>
        </w:tc>
        <w:tc>
          <w:tcPr>
            <w:tcW w:w="758" w:type="dxa"/>
            <w:vAlign w:val="center"/>
          </w:tcPr>
          <w:p>
            <w:pPr>
              <w:pStyle w:val="9"/>
              <w:rPr>
                <w:sz w:val="20"/>
                <w:szCs w:val="22"/>
              </w:rPr>
            </w:pPr>
            <w:r>
              <w:rPr>
                <w:sz w:val="20"/>
                <w:szCs w:val="22"/>
              </w:rPr>
              <w:t>34.52</w:t>
            </w:r>
          </w:p>
        </w:tc>
        <w:tc>
          <w:tcPr>
            <w:tcW w:w="758" w:type="dxa"/>
            <w:vAlign w:val="center"/>
          </w:tcPr>
          <w:p>
            <w:pPr>
              <w:pStyle w:val="9"/>
              <w:rPr>
                <w:sz w:val="20"/>
                <w:szCs w:val="22"/>
              </w:rPr>
            </w:pPr>
            <w:r>
              <w:rPr>
                <w:sz w:val="20"/>
                <w:szCs w:val="22"/>
              </w:rPr>
              <w:t>34.52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9"/>
              <w:rPr>
                <w:sz w:val="20"/>
                <w:szCs w:val="22"/>
              </w:rPr>
            </w:pPr>
            <w:r>
              <w:rPr>
                <w:sz w:val="20"/>
                <w:szCs w:val="22"/>
              </w:rPr>
              <w:t>34.52</w:t>
            </w:r>
          </w:p>
        </w:tc>
        <w:tc>
          <w:tcPr>
            <w:tcW w:w="758" w:type="dxa"/>
            <w:vAlign w:val="center"/>
          </w:tcPr>
          <w:p>
            <w:pPr>
              <w:pStyle w:val="9"/>
              <w:rPr>
                <w:sz w:val="20"/>
                <w:szCs w:val="22"/>
              </w:rPr>
            </w:pPr>
            <w:r>
              <w:rPr>
                <w:sz w:val="20"/>
                <w:szCs w:val="22"/>
              </w:rPr>
              <w:t>34.52</w:t>
            </w:r>
          </w:p>
        </w:tc>
        <w:tc>
          <w:tcPr>
            <w:tcW w:w="758" w:type="dxa"/>
            <w:vAlign w:val="center"/>
          </w:tcPr>
          <w:p>
            <w:pPr>
              <w:pStyle w:val="9"/>
              <w:rPr>
                <w:sz w:val="20"/>
                <w:szCs w:val="22"/>
              </w:rPr>
            </w:pPr>
            <w:r>
              <w:rPr>
                <w:sz w:val="20"/>
                <w:szCs w:val="22"/>
              </w:rPr>
              <w:t>34.52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9"/>
              <w:rPr>
                <w:sz w:val="20"/>
                <w:szCs w:val="22"/>
              </w:rPr>
            </w:pPr>
            <w:r>
              <w:rPr>
                <w:sz w:val="20"/>
                <w:szCs w:val="22"/>
              </w:rPr>
              <w:t>34.52</w:t>
            </w:r>
          </w:p>
        </w:tc>
        <w:tc>
          <w:tcPr>
            <w:tcW w:w="758" w:type="dxa"/>
            <w:vAlign w:val="center"/>
          </w:tcPr>
          <w:p>
            <w:pPr>
              <w:pStyle w:val="9"/>
              <w:rPr>
                <w:sz w:val="20"/>
                <w:szCs w:val="22"/>
              </w:rPr>
            </w:pPr>
            <w:r>
              <w:rPr>
                <w:sz w:val="20"/>
                <w:szCs w:val="22"/>
              </w:rPr>
              <w:t>34.52</w:t>
            </w:r>
          </w:p>
        </w:tc>
        <w:tc>
          <w:tcPr>
            <w:tcW w:w="758" w:type="dxa"/>
            <w:vAlign w:val="center"/>
          </w:tcPr>
          <w:p>
            <w:pPr>
              <w:pStyle w:val="9"/>
              <w:rPr>
                <w:sz w:val="20"/>
                <w:szCs w:val="22"/>
              </w:rPr>
            </w:pPr>
            <w:r>
              <w:rPr>
                <w:sz w:val="20"/>
                <w:szCs w:val="22"/>
              </w:rPr>
              <w:t>34.52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pPr>
            <w:r>
              <w:t>序号</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873.74</w:t>
            </w:r>
          </w:p>
        </w:tc>
        <w:tc>
          <w:tcPr>
            <w:tcW w:w="1095" w:type="dxa"/>
            <w:vAlign w:val="center"/>
          </w:tcPr>
          <w:p>
            <w:pPr>
              <w:pStyle w:val="13"/>
            </w:pPr>
            <w:r>
              <w:t>469.74</w:t>
            </w:r>
          </w:p>
        </w:tc>
        <w:tc>
          <w:tcPr>
            <w:tcW w:w="1095" w:type="dxa"/>
            <w:vAlign w:val="center"/>
          </w:tcPr>
          <w:p>
            <w:pPr>
              <w:pStyle w:val="13"/>
            </w:pPr>
            <w:r>
              <w:t>404.00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9"/>
            </w:pPr>
            <w:r>
              <w:t>744.33</w:t>
            </w:r>
          </w:p>
        </w:tc>
        <w:tc>
          <w:tcPr>
            <w:tcW w:w="1095" w:type="dxa"/>
            <w:vAlign w:val="center"/>
          </w:tcPr>
          <w:p>
            <w:pPr>
              <w:pStyle w:val="9"/>
            </w:pPr>
            <w:r>
              <w:t>340.33</w:t>
            </w:r>
          </w:p>
        </w:tc>
        <w:tc>
          <w:tcPr>
            <w:tcW w:w="1095" w:type="dxa"/>
            <w:vAlign w:val="center"/>
          </w:tcPr>
          <w:p>
            <w:pPr>
              <w:pStyle w:val="9"/>
            </w:pPr>
            <w: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0"/>
            </w:pPr>
            <w:r>
              <w:t>20113</w:t>
            </w:r>
          </w:p>
        </w:tc>
        <w:tc>
          <w:tcPr>
            <w:tcW w:w="1095" w:type="dxa"/>
            <w:vAlign w:val="center"/>
          </w:tcPr>
          <w:p>
            <w:pPr>
              <w:pStyle w:val="10"/>
            </w:pPr>
            <w:r>
              <w:t>商贸事务</w:t>
            </w:r>
          </w:p>
        </w:tc>
        <w:tc>
          <w:tcPr>
            <w:tcW w:w="1095" w:type="dxa"/>
            <w:vAlign w:val="center"/>
          </w:tcPr>
          <w:p>
            <w:pPr>
              <w:pStyle w:val="9"/>
            </w:pPr>
            <w:r>
              <w:t>744.33</w:t>
            </w:r>
          </w:p>
        </w:tc>
        <w:tc>
          <w:tcPr>
            <w:tcW w:w="1095" w:type="dxa"/>
            <w:vAlign w:val="center"/>
          </w:tcPr>
          <w:p>
            <w:pPr>
              <w:pStyle w:val="9"/>
            </w:pPr>
            <w:r>
              <w:t>340.33</w:t>
            </w:r>
          </w:p>
        </w:tc>
        <w:tc>
          <w:tcPr>
            <w:tcW w:w="1095" w:type="dxa"/>
            <w:vAlign w:val="center"/>
          </w:tcPr>
          <w:p>
            <w:pPr>
              <w:pStyle w:val="9"/>
            </w:pPr>
            <w: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0"/>
            </w:pPr>
            <w:r>
              <w:t>2011301</w:t>
            </w:r>
          </w:p>
        </w:tc>
        <w:tc>
          <w:tcPr>
            <w:tcW w:w="1095" w:type="dxa"/>
            <w:vAlign w:val="center"/>
          </w:tcPr>
          <w:p>
            <w:pPr>
              <w:pStyle w:val="10"/>
            </w:pPr>
            <w:r>
              <w:t>行政运行</w:t>
            </w:r>
          </w:p>
        </w:tc>
        <w:tc>
          <w:tcPr>
            <w:tcW w:w="1095" w:type="dxa"/>
            <w:vAlign w:val="center"/>
          </w:tcPr>
          <w:p>
            <w:pPr>
              <w:pStyle w:val="9"/>
            </w:pPr>
            <w:r>
              <w:t>340.33</w:t>
            </w:r>
          </w:p>
        </w:tc>
        <w:tc>
          <w:tcPr>
            <w:tcW w:w="1095" w:type="dxa"/>
            <w:vAlign w:val="center"/>
          </w:tcPr>
          <w:p>
            <w:pPr>
              <w:pStyle w:val="9"/>
            </w:pPr>
            <w:r>
              <w:t>340.33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0"/>
            </w:pPr>
            <w:r>
              <w:t>2011308</w:t>
            </w:r>
          </w:p>
        </w:tc>
        <w:tc>
          <w:tcPr>
            <w:tcW w:w="1095" w:type="dxa"/>
            <w:vAlign w:val="center"/>
          </w:tcPr>
          <w:p>
            <w:pPr>
              <w:pStyle w:val="10"/>
            </w:pPr>
            <w:r>
              <w:t>招商引资</w:t>
            </w:r>
          </w:p>
        </w:tc>
        <w:tc>
          <w:tcPr>
            <w:tcW w:w="1095" w:type="dxa"/>
            <w:vAlign w:val="center"/>
          </w:tcPr>
          <w:p>
            <w:pPr>
              <w:pStyle w:val="9"/>
            </w:pPr>
            <w:r>
              <w:t>404.00</w:t>
            </w:r>
          </w:p>
        </w:tc>
        <w:tc>
          <w:tcPr>
            <w:tcW w:w="1095" w:type="dxa"/>
            <w:vAlign w:val="center"/>
          </w:tcPr>
          <w:p>
            <w:pPr>
              <w:pStyle w:val="9"/>
            </w:pPr>
          </w:p>
        </w:tc>
        <w:tc>
          <w:tcPr>
            <w:tcW w:w="1095" w:type="dxa"/>
            <w:vAlign w:val="center"/>
          </w:tcPr>
          <w:p>
            <w:pPr>
              <w:pStyle w:val="9"/>
            </w:pPr>
            <w: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9"/>
            </w:pPr>
            <w:r>
              <w:t>58.65</w:t>
            </w:r>
          </w:p>
        </w:tc>
        <w:tc>
          <w:tcPr>
            <w:tcW w:w="1095" w:type="dxa"/>
            <w:vAlign w:val="center"/>
          </w:tcPr>
          <w:p>
            <w:pPr>
              <w:pStyle w:val="9"/>
            </w:pPr>
            <w:r>
              <w:t>58.65</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9"/>
            </w:pPr>
            <w:r>
              <w:t>58.65</w:t>
            </w:r>
          </w:p>
        </w:tc>
        <w:tc>
          <w:tcPr>
            <w:tcW w:w="1095" w:type="dxa"/>
            <w:vAlign w:val="center"/>
          </w:tcPr>
          <w:p>
            <w:pPr>
              <w:pStyle w:val="9"/>
            </w:pPr>
            <w:r>
              <w:t>58.65</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9"/>
            </w:pPr>
            <w:r>
              <w:t>4.01</w:t>
            </w:r>
          </w:p>
        </w:tc>
        <w:tc>
          <w:tcPr>
            <w:tcW w:w="1095" w:type="dxa"/>
            <w:vAlign w:val="center"/>
          </w:tcPr>
          <w:p>
            <w:pPr>
              <w:pStyle w:val="9"/>
            </w:pPr>
            <w:r>
              <w:t>4.01</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9"/>
            </w:pPr>
            <w:r>
              <w:t>43.07</w:t>
            </w:r>
          </w:p>
        </w:tc>
        <w:tc>
          <w:tcPr>
            <w:tcW w:w="1095" w:type="dxa"/>
            <w:vAlign w:val="center"/>
          </w:tcPr>
          <w:p>
            <w:pPr>
              <w:pStyle w:val="9"/>
            </w:pPr>
            <w:r>
              <w:t>43.07</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9"/>
            </w:pPr>
            <w:r>
              <w:t>11.57</w:t>
            </w:r>
          </w:p>
        </w:tc>
        <w:tc>
          <w:tcPr>
            <w:tcW w:w="1095" w:type="dxa"/>
            <w:vAlign w:val="center"/>
          </w:tcPr>
          <w:p>
            <w:pPr>
              <w:pStyle w:val="9"/>
            </w:pPr>
            <w:r>
              <w:t>11.57</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9"/>
            </w:pPr>
            <w:r>
              <w:t>36.25</w:t>
            </w:r>
          </w:p>
        </w:tc>
        <w:tc>
          <w:tcPr>
            <w:tcW w:w="1095" w:type="dxa"/>
            <w:vAlign w:val="center"/>
          </w:tcPr>
          <w:p>
            <w:pPr>
              <w:pStyle w:val="9"/>
            </w:pPr>
            <w:r>
              <w:t>36.25</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9"/>
            </w:pPr>
            <w:r>
              <w:t>36.25</w:t>
            </w:r>
          </w:p>
        </w:tc>
        <w:tc>
          <w:tcPr>
            <w:tcW w:w="1095" w:type="dxa"/>
            <w:vAlign w:val="center"/>
          </w:tcPr>
          <w:p>
            <w:pPr>
              <w:pStyle w:val="9"/>
            </w:pPr>
            <w:r>
              <w:t>36.25</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9"/>
            </w:pPr>
            <w:r>
              <w:t>36.25</w:t>
            </w:r>
          </w:p>
        </w:tc>
        <w:tc>
          <w:tcPr>
            <w:tcW w:w="1095" w:type="dxa"/>
            <w:vAlign w:val="center"/>
          </w:tcPr>
          <w:p>
            <w:pPr>
              <w:pStyle w:val="9"/>
            </w:pPr>
            <w:r>
              <w:t>36.25</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9"/>
            </w:pPr>
            <w:r>
              <w:t>34.52</w:t>
            </w:r>
          </w:p>
        </w:tc>
        <w:tc>
          <w:tcPr>
            <w:tcW w:w="1095" w:type="dxa"/>
            <w:vAlign w:val="center"/>
          </w:tcPr>
          <w:p>
            <w:pPr>
              <w:pStyle w:val="9"/>
            </w:pPr>
            <w:r>
              <w:t>34.52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9"/>
            </w:pPr>
            <w:r>
              <w:t>34.52</w:t>
            </w:r>
          </w:p>
        </w:tc>
        <w:tc>
          <w:tcPr>
            <w:tcW w:w="1095" w:type="dxa"/>
            <w:vAlign w:val="center"/>
          </w:tcPr>
          <w:p>
            <w:pPr>
              <w:pStyle w:val="9"/>
            </w:pPr>
            <w:r>
              <w:t>34.52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9"/>
            </w:pPr>
            <w:r>
              <w:t>34.52</w:t>
            </w:r>
          </w:p>
        </w:tc>
        <w:tc>
          <w:tcPr>
            <w:tcW w:w="1095" w:type="dxa"/>
            <w:vAlign w:val="center"/>
          </w:tcPr>
          <w:p>
            <w:pPr>
              <w:pStyle w:val="9"/>
            </w:pPr>
            <w:r>
              <w:t>34.52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6160" w:type="dxa"/>
            <w:gridSpan w:val="5"/>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0"/>
            </w:pPr>
            <w:r>
              <w:t>一、一般公共预算拨款</w:t>
            </w:r>
          </w:p>
        </w:tc>
        <w:tc>
          <w:tcPr>
            <w:tcW w:w="1232" w:type="dxa"/>
            <w:vAlign w:val="center"/>
          </w:tcPr>
          <w:p>
            <w:pPr>
              <w:pStyle w:val="9"/>
            </w:pPr>
            <w:r>
              <w:t>873.74</w:t>
            </w:r>
          </w:p>
        </w:tc>
        <w:tc>
          <w:tcPr>
            <w:tcW w:w="1232" w:type="dxa"/>
            <w:vAlign w:val="center"/>
          </w:tcPr>
          <w:p>
            <w:pPr>
              <w:pStyle w:val="10"/>
            </w:pPr>
            <w:r>
              <w:t>一、一般公共服务支出</w:t>
            </w:r>
          </w:p>
        </w:tc>
        <w:tc>
          <w:tcPr>
            <w:tcW w:w="1232" w:type="dxa"/>
            <w:vAlign w:val="center"/>
          </w:tcPr>
          <w:p>
            <w:pPr>
              <w:pStyle w:val="9"/>
            </w:pPr>
            <w:r>
              <w:t>744.33</w:t>
            </w:r>
          </w:p>
        </w:tc>
        <w:tc>
          <w:tcPr>
            <w:tcW w:w="1232" w:type="dxa"/>
            <w:vAlign w:val="center"/>
          </w:tcPr>
          <w:p>
            <w:pPr>
              <w:pStyle w:val="9"/>
            </w:pPr>
            <w:r>
              <w:t>744.33</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r>
              <w:t>二、外交支出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r>
              <w:t>三、国防支出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四、公共安全支出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五、教育支出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六、科学技术支出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七、文化旅游体育与传媒支出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八、社会保障和就业支出</w:t>
            </w:r>
          </w:p>
        </w:tc>
        <w:tc>
          <w:tcPr>
            <w:tcW w:w="1232" w:type="dxa"/>
            <w:vAlign w:val="center"/>
          </w:tcPr>
          <w:p>
            <w:pPr>
              <w:pStyle w:val="9"/>
            </w:pPr>
            <w:r>
              <w:t>58.65</w:t>
            </w:r>
          </w:p>
        </w:tc>
        <w:tc>
          <w:tcPr>
            <w:tcW w:w="1232" w:type="dxa"/>
            <w:vAlign w:val="center"/>
          </w:tcPr>
          <w:p>
            <w:pPr>
              <w:pStyle w:val="9"/>
            </w:pPr>
            <w:r>
              <w:t>58.65</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九、社会保险基金支出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十、卫生健康支出</w:t>
            </w:r>
          </w:p>
        </w:tc>
        <w:tc>
          <w:tcPr>
            <w:tcW w:w="1232" w:type="dxa"/>
            <w:vAlign w:val="center"/>
          </w:tcPr>
          <w:p>
            <w:pPr>
              <w:pStyle w:val="9"/>
            </w:pPr>
            <w:r>
              <w:t>36.25</w:t>
            </w:r>
          </w:p>
        </w:tc>
        <w:tc>
          <w:tcPr>
            <w:tcW w:w="1232" w:type="dxa"/>
            <w:vAlign w:val="center"/>
          </w:tcPr>
          <w:p>
            <w:pPr>
              <w:pStyle w:val="9"/>
            </w:pPr>
            <w:r>
              <w:t>36.25</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十一、节能环保支出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十二、城乡社区支出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十三、农林水支出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十四、交通运输支出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十五、资源勘探工业信息等支出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十六、商业服务业等支出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十七、金融支出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十八、援助其他地区支出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十九、自然资源海洋气象等支出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二十、住房保障支出</w:t>
            </w:r>
          </w:p>
        </w:tc>
        <w:tc>
          <w:tcPr>
            <w:tcW w:w="1232" w:type="dxa"/>
            <w:vAlign w:val="center"/>
          </w:tcPr>
          <w:p>
            <w:pPr>
              <w:pStyle w:val="9"/>
            </w:pPr>
            <w:r>
              <w:t>34.52</w:t>
            </w:r>
          </w:p>
        </w:tc>
        <w:tc>
          <w:tcPr>
            <w:tcW w:w="1232" w:type="dxa"/>
            <w:vAlign w:val="center"/>
          </w:tcPr>
          <w:p>
            <w:pPr>
              <w:pStyle w:val="9"/>
            </w:pPr>
            <w:r>
              <w:t>34.52</w:t>
            </w: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二十一、粮油物资储备支出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二十二、国有资本经营预算支出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二十三、灾害防治及应急管理支出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二十四、预备费</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二十五、其他支出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二十六、转移性支出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二十七、债务还本支出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二十八、债务付息支出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二十九、债务发行费用支出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三十、抗疫特别国债安排的支出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r>
              <w:t>本年收入合计</w:t>
            </w:r>
          </w:p>
        </w:tc>
        <w:tc>
          <w:tcPr>
            <w:tcW w:w="1232" w:type="dxa"/>
            <w:vAlign w:val="center"/>
          </w:tcPr>
          <w:p>
            <w:pPr>
              <w:pStyle w:val="13"/>
            </w:pPr>
            <w:r>
              <w:t>873.74</w:t>
            </w:r>
          </w:p>
        </w:tc>
        <w:tc>
          <w:tcPr>
            <w:tcW w:w="1232" w:type="dxa"/>
            <w:vAlign w:val="center"/>
          </w:tcPr>
          <w:p>
            <w:pPr>
              <w:pStyle w:val="12"/>
            </w:pPr>
            <w:r>
              <w:t>本年支出合计</w:t>
            </w:r>
          </w:p>
        </w:tc>
        <w:tc>
          <w:tcPr>
            <w:tcW w:w="1232" w:type="dxa"/>
            <w:vAlign w:val="center"/>
          </w:tcPr>
          <w:p>
            <w:pPr>
              <w:pStyle w:val="13"/>
            </w:pPr>
            <w:r>
              <w:t>873.74</w:t>
            </w:r>
          </w:p>
        </w:tc>
        <w:tc>
          <w:tcPr>
            <w:tcW w:w="1232" w:type="dxa"/>
            <w:vAlign w:val="center"/>
          </w:tcPr>
          <w:p>
            <w:pPr>
              <w:pStyle w:val="13"/>
            </w:pPr>
            <w:r>
              <w:t>873.74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0"/>
            </w:pPr>
            <w:r>
              <w:t>年初财政拨款结转和结余</w:t>
            </w:r>
          </w:p>
        </w:tc>
        <w:tc>
          <w:tcPr>
            <w:tcW w:w="1232" w:type="dxa"/>
            <w:vAlign w:val="center"/>
          </w:tcPr>
          <w:p>
            <w:pPr>
              <w:pStyle w:val="9"/>
            </w:pPr>
          </w:p>
        </w:tc>
        <w:tc>
          <w:tcPr>
            <w:tcW w:w="1232" w:type="dxa"/>
            <w:vAlign w:val="center"/>
          </w:tcPr>
          <w:p>
            <w:pPr>
              <w:pStyle w:val="10"/>
            </w:pPr>
            <w:r>
              <w:t>年末财政拨款结转和结余</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0"/>
            </w:pPr>
            <w:r>
              <w:t>一、一般公共预算拨款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收入总计</w:t>
            </w:r>
          </w:p>
        </w:tc>
        <w:tc>
          <w:tcPr>
            <w:tcW w:w="1232" w:type="dxa"/>
            <w:vAlign w:val="center"/>
          </w:tcPr>
          <w:p>
            <w:pPr>
              <w:pStyle w:val="13"/>
            </w:pPr>
            <w:r>
              <w:t>873.74</w:t>
            </w:r>
          </w:p>
        </w:tc>
        <w:tc>
          <w:tcPr>
            <w:tcW w:w="1232" w:type="dxa"/>
            <w:vAlign w:val="center"/>
          </w:tcPr>
          <w:p>
            <w:pPr>
              <w:pStyle w:val="12"/>
            </w:pPr>
            <w:r>
              <w:t>支出总计</w:t>
            </w:r>
          </w:p>
        </w:tc>
        <w:tc>
          <w:tcPr>
            <w:tcW w:w="1232" w:type="dxa"/>
            <w:vAlign w:val="center"/>
          </w:tcPr>
          <w:p>
            <w:pPr>
              <w:pStyle w:val="13"/>
            </w:pPr>
            <w:r>
              <w:t>873.74</w:t>
            </w:r>
          </w:p>
        </w:tc>
        <w:tc>
          <w:tcPr>
            <w:tcW w:w="1232" w:type="dxa"/>
            <w:vAlign w:val="center"/>
          </w:tcPr>
          <w:p>
            <w:pPr>
              <w:pStyle w:val="13"/>
            </w:pPr>
            <w:r>
              <w:t>873.74</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873.74</w:t>
            </w:r>
          </w:p>
        </w:tc>
        <w:tc>
          <w:tcPr>
            <w:tcW w:w="1643" w:type="dxa"/>
            <w:vAlign w:val="center"/>
          </w:tcPr>
          <w:p>
            <w:pPr>
              <w:pStyle w:val="13"/>
            </w:pPr>
            <w:r>
              <w:t>469.74</w:t>
            </w:r>
          </w:p>
        </w:tc>
        <w:tc>
          <w:tcPr>
            <w:tcW w:w="1643" w:type="dxa"/>
            <w:vAlign w:val="center"/>
          </w:tcPr>
          <w:p>
            <w:pPr>
              <w:pStyle w:val="13"/>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9"/>
            </w:pPr>
            <w:r>
              <w:t>744.33</w:t>
            </w:r>
          </w:p>
        </w:tc>
        <w:tc>
          <w:tcPr>
            <w:tcW w:w="1643" w:type="dxa"/>
            <w:vAlign w:val="center"/>
          </w:tcPr>
          <w:p>
            <w:pPr>
              <w:pStyle w:val="9"/>
            </w:pPr>
            <w:r>
              <w:t>340.33</w:t>
            </w:r>
          </w:p>
        </w:tc>
        <w:tc>
          <w:tcPr>
            <w:tcW w:w="1643" w:type="dxa"/>
            <w:vAlign w:val="center"/>
          </w:tcPr>
          <w:p>
            <w:pPr>
              <w:pStyle w:val="9"/>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20113</w:t>
            </w:r>
          </w:p>
        </w:tc>
        <w:tc>
          <w:tcPr>
            <w:tcW w:w="1643" w:type="dxa"/>
            <w:vAlign w:val="center"/>
          </w:tcPr>
          <w:p>
            <w:pPr>
              <w:pStyle w:val="10"/>
            </w:pPr>
            <w:r>
              <w:t>商贸事务</w:t>
            </w:r>
          </w:p>
        </w:tc>
        <w:tc>
          <w:tcPr>
            <w:tcW w:w="1643" w:type="dxa"/>
            <w:vAlign w:val="center"/>
          </w:tcPr>
          <w:p>
            <w:pPr>
              <w:pStyle w:val="9"/>
            </w:pPr>
            <w:r>
              <w:t>744.33</w:t>
            </w:r>
          </w:p>
        </w:tc>
        <w:tc>
          <w:tcPr>
            <w:tcW w:w="1643" w:type="dxa"/>
            <w:vAlign w:val="center"/>
          </w:tcPr>
          <w:p>
            <w:pPr>
              <w:pStyle w:val="9"/>
            </w:pPr>
            <w:r>
              <w:t>340.33</w:t>
            </w:r>
          </w:p>
        </w:tc>
        <w:tc>
          <w:tcPr>
            <w:tcW w:w="1643" w:type="dxa"/>
            <w:vAlign w:val="center"/>
          </w:tcPr>
          <w:p>
            <w:pPr>
              <w:pStyle w:val="9"/>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2011301</w:t>
            </w:r>
          </w:p>
        </w:tc>
        <w:tc>
          <w:tcPr>
            <w:tcW w:w="1643" w:type="dxa"/>
            <w:vAlign w:val="center"/>
          </w:tcPr>
          <w:p>
            <w:pPr>
              <w:pStyle w:val="10"/>
            </w:pPr>
            <w:r>
              <w:t>行政运行</w:t>
            </w:r>
          </w:p>
        </w:tc>
        <w:tc>
          <w:tcPr>
            <w:tcW w:w="1643" w:type="dxa"/>
            <w:vAlign w:val="center"/>
          </w:tcPr>
          <w:p>
            <w:pPr>
              <w:pStyle w:val="9"/>
            </w:pPr>
            <w:r>
              <w:t>340.33</w:t>
            </w:r>
          </w:p>
        </w:tc>
        <w:tc>
          <w:tcPr>
            <w:tcW w:w="1643" w:type="dxa"/>
            <w:vAlign w:val="center"/>
          </w:tcPr>
          <w:p>
            <w:pPr>
              <w:pStyle w:val="9"/>
            </w:pPr>
            <w:r>
              <w:t>340.33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2011308</w:t>
            </w:r>
          </w:p>
        </w:tc>
        <w:tc>
          <w:tcPr>
            <w:tcW w:w="1643" w:type="dxa"/>
            <w:vAlign w:val="center"/>
          </w:tcPr>
          <w:p>
            <w:pPr>
              <w:pStyle w:val="10"/>
            </w:pPr>
            <w:r>
              <w:t>招商引资</w:t>
            </w:r>
          </w:p>
        </w:tc>
        <w:tc>
          <w:tcPr>
            <w:tcW w:w="1643" w:type="dxa"/>
            <w:vAlign w:val="center"/>
          </w:tcPr>
          <w:p>
            <w:pPr>
              <w:pStyle w:val="9"/>
            </w:pPr>
            <w:r>
              <w:t>404.00</w:t>
            </w:r>
          </w:p>
        </w:tc>
        <w:tc>
          <w:tcPr>
            <w:tcW w:w="1643" w:type="dxa"/>
            <w:vAlign w:val="center"/>
          </w:tcPr>
          <w:p>
            <w:pPr>
              <w:pStyle w:val="9"/>
            </w:pPr>
          </w:p>
        </w:tc>
        <w:tc>
          <w:tcPr>
            <w:tcW w:w="1643" w:type="dxa"/>
            <w:vAlign w:val="center"/>
          </w:tcPr>
          <w:p>
            <w:pPr>
              <w:pStyle w:val="9"/>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9"/>
            </w:pPr>
            <w:r>
              <w:t>58.65</w:t>
            </w:r>
          </w:p>
        </w:tc>
        <w:tc>
          <w:tcPr>
            <w:tcW w:w="1643" w:type="dxa"/>
            <w:vAlign w:val="center"/>
          </w:tcPr>
          <w:p>
            <w:pPr>
              <w:pStyle w:val="9"/>
            </w:pPr>
            <w:r>
              <w:t>58.65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9"/>
            </w:pPr>
            <w:r>
              <w:t>58.65</w:t>
            </w:r>
          </w:p>
        </w:tc>
        <w:tc>
          <w:tcPr>
            <w:tcW w:w="1643" w:type="dxa"/>
            <w:vAlign w:val="center"/>
          </w:tcPr>
          <w:p>
            <w:pPr>
              <w:pStyle w:val="9"/>
            </w:pPr>
            <w:r>
              <w:t>58.65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9"/>
            </w:pPr>
            <w:r>
              <w:t>4.01</w:t>
            </w:r>
          </w:p>
        </w:tc>
        <w:tc>
          <w:tcPr>
            <w:tcW w:w="1643" w:type="dxa"/>
            <w:vAlign w:val="center"/>
          </w:tcPr>
          <w:p>
            <w:pPr>
              <w:pStyle w:val="9"/>
            </w:pPr>
            <w:r>
              <w:t>4.01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9"/>
            </w:pPr>
            <w:r>
              <w:t>43.07</w:t>
            </w:r>
          </w:p>
        </w:tc>
        <w:tc>
          <w:tcPr>
            <w:tcW w:w="1643" w:type="dxa"/>
            <w:vAlign w:val="center"/>
          </w:tcPr>
          <w:p>
            <w:pPr>
              <w:pStyle w:val="9"/>
            </w:pPr>
            <w:r>
              <w:t>43.07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9"/>
            </w:pPr>
            <w:r>
              <w:t>11.57</w:t>
            </w:r>
          </w:p>
        </w:tc>
        <w:tc>
          <w:tcPr>
            <w:tcW w:w="1643" w:type="dxa"/>
            <w:vAlign w:val="center"/>
          </w:tcPr>
          <w:p>
            <w:pPr>
              <w:pStyle w:val="9"/>
            </w:pPr>
            <w:r>
              <w:t>11.57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9"/>
            </w:pPr>
            <w:r>
              <w:t>36.25</w:t>
            </w:r>
          </w:p>
        </w:tc>
        <w:tc>
          <w:tcPr>
            <w:tcW w:w="1643" w:type="dxa"/>
            <w:vAlign w:val="center"/>
          </w:tcPr>
          <w:p>
            <w:pPr>
              <w:pStyle w:val="9"/>
            </w:pPr>
            <w:r>
              <w:t>36.25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9"/>
            </w:pPr>
            <w:r>
              <w:t>36.25</w:t>
            </w:r>
          </w:p>
        </w:tc>
        <w:tc>
          <w:tcPr>
            <w:tcW w:w="1643" w:type="dxa"/>
            <w:vAlign w:val="center"/>
          </w:tcPr>
          <w:p>
            <w:pPr>
              <w:pStyle w:val="9"/>
            </w:pPr>
            <w:r>
              <w:t>36.25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9"/>
            </w:pPr>
            <w:r>
              <w:t>36.25</w:t>
            </w:r>
          </w:p>
        </w:tc>
        <w:tc>
          <w:tcPr>
            <w:tcW w:w="1643" w:type="dxa"/>
            <w:vAlign w:val="center"/>
          </w:tcPr>
          <w:p>
            <w:pPr>
              <w:pStyle w:val="9"/>
            </w:pPr>
            <w:r>
              <w:t>36.25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9"/>
            </w:pPr>
            <w:r>
              <w:t>34.52</w:t>
            </w:r>
          </w:p>
        </w:tc>
        <w:tc>
          <w:tcPr>
            <w:tcW w:w="1643" w:type="dxa"/>
            <w:vAlign w:val="center"/>
          </w:tcPr>
          <w:p>
            <w:pPr>
              <w:pStyle w:val="9"/>
            </w:pPr>
            <w:r>
              <w:t>34.52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9"/>
            </w:pPr>
            <w:r>
              <w:t>34.52</w:t>
            </w:r>
          </w:p>
        </w:tc>
        <w:tc>
          <w:tcPr>
            <w:tcW w:w="1643" w:type="dxa"/>
            <w:vAlign w:val="center"/>
          </w:tcPr>
          <w:p>
            <w:pPr>
              <w:pStyle w:val="9"/>
            </w:pPr>
            <w:r>
              <w:t>34.52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9"/>
            </w:pPr>
            <w:r>
              <w:t>34.52</w:t>
            </w:r>
          </w:p>
        </w:tc>
        <w:tc>
          <w:tcPr>
            <w:tcW w:w="1643" w:type="dxa"/>
            <w:vAlign w:val="center"/>
          </w:tcPr>
          <w:p>
            <w:pPr>
              <w:pStyle w:val="9"/>
            </w:pPr>
            <w:r>
              <w:t>34.52</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469.74</w:t>
            </w:r>
          </w:p>
        </w:tc>
        <w:tc>
          <w:tcPr>
            <w:tcW w:w="1643" w:type="dxa"/>
            <w:vAlign w:val="center"/>
          </w:tcPr>
          <w:p>
            <w:pPr>
              <w:pStyle w:val="13"/>
            </w:pPr>
            <w:r>
              <w:t>441.54</w:t>
            </w:r>
          </w:p>
        </w:tc>
        <w:tc>
          <w:tcPr>
            <w:tcW w:w="1643" w:type="dxa"/>
            <w:vAlign w:val="center"/>
          </w:tcPr>
          <w:p>
            <w:pPr>
              <w:pStyle w:val="13"/>
            </w:pPr>
            <w:r>
              <w:t>28.20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9"/>
            </w:pPr>
            <w:r>
              <w:t>437.70</w:t>
            </w:r>
          </w:p>
        </w:tc>
        <w:tc>
          <w:tcPr>
            <w:tcW w:w="1643" w:type="dxa"/>
            <w:vAlign w:val="center"/>
          </w:tcPr>
          <w:p>
            <w:pPr>
              <w:pStyle w:val="9"/>
            </w:pPr>
            <w:r>
              <w:t>437.70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9"/>
            </w:pPr>
            <w:r>
              <w:t>86.41</w:t>
            </w:r>
          </w:p>
        </w:tc>
        <w:tc>
          <w:tcPr>
            <w:tcW w:w="1643" w:type="dxa"/>
            <w:vAlign w:val="center"/>
          </w:tcPr>
          <w:p>
            <w:pPr>
              <w:pStyle w:val="9"/>
            </w:pPr>
            <w:r>
              <w:t>86.41</w:t>
            </w:r>
          </w:p>
        </w:tc>
        <w:tc>
          <w:tcPr>
            <w:tcW w:w="1643" w:type="dxa"/>
            <w:vAlign w:val="center"/>
          </w:tcPr>
          <w:p>
            <w:pPr>
              <w:pStyle w:val="9"/>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9"/>
            </w:pPr>
            <w:r>
              <w:t>42.03</w:t>
            </w:r>
          </w:p>
        </w:tc>
        <w:tc>
          <w:tcPr>
            <w:tcW w:w="1643" w:type="dxa"/>
            <w:vAlign w:val="center"/>
          </w:tcPr>
          <w:p>
            <w:pPr>
              <w:pStyle w:val="9"/>
            </w:pPr>
            <w:r>
              <w:t>42.03</w:t>
            </w:r>
          </w:p>
        </w:tc>
        <w:tc>
          <w:tcPr>
            <w:tcW w:w="1643" w:type="dxa"/>
            <w:vAlign w:val="center"/>
          </w:tcPr>
          <w:p>
            <w:pPr>
              <w:pStyle w:val="9"/>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9"/>
            </w:pPr>
            <w:r>
              <w:t>57.22</w:t>
            </w:r>
          </w:p>
        </w:tc>
        <w:tc>
          <w:tcPr>
            <w:tcW w:w="1643" w:type="dxa"/>
            <w:vAlign w:val="center"/>
          </w:tcPr>
          <w:p>
            <w:pPr>
              <w:pStyle w:val="9"/>
            </w:pPr>
            <w:r>
              <w:t>57.22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9"/>
            </w:pPr>
            <w:r>
              <w:t>123.81</w:t>
            </w:r>
          </w:p>
        </w:tc>
        <w:tc>
          <w:tcPr>
            <w:tcW w:w="1643" w:type="dxa"/>
            <w:vAlign w:val="center"/>
          </w:tcPr>
          <w:p>
            <w:pPr>
              <w:pStyle w:val="9"/>
            </w:pPr>
            <w:r>
              <w:t>123.81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9"/>
            </w:pPr>
            <w:r>
              <w:t>43.07</w:t>
            </w:r>
          </w:p>
        </w:tc>
        <w:tc>
          <w:tcPr>
            <w:tcW w:w="1643" w:type="dxa"/>
            <w:vAlign w:val="center"/>
          </w:tcPr>
          <w:p>
            <w:pPr>
              <w:pStyle w:val="9"/>
            </w:pPr>
            <w:r>
              <w:t>43.07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9"/>
            </w:pPr>
            <w:r>
              <w:t>11.57</w:t>
            </w:r>
          </w:p>
        </w:tc>
        <w:tc>
          <w:tcPr>
            <w:tcW w:w="1643" w:type="dxa"/>
            <w:vAlign w:val="center"/>
          </w:tcPr>
          <w:p>
            <w:pPr>
              <w:pStyle w:val="9"/>
            </w:pPr>
            <w:r>
              <w:t>11.57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9"/>
            </w:pPr>
            <w:r>
              <w:t>36.25</w:t>
            </w:r>
          </w:p>
        </w:tc>
        <w:tc>
          <w:tcPr>
            <w:tcW w:w="1643" w:type="dxa"/>
            <w:vAlign w:val="center"/>
          </w:tcPr>
          <w:p>
            <w:pPr>
              <w:pStyle w:val="9"/>
            </w:pPr>
            <w:r>
              <w:t>36.25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9"/>
            </w:pPr>
            <w:r>
              <w:t>2.84</w:t>
            </w:r>
          </w:p>
        </w:tc>
        <w:tc>
          <w:tcPr>
            <w:tcW w:w="1643" w:type="dxa"/>
            <w:vAlign w:val="center"/>
          </w:tcPr>
          <w:p>
            <w:pPr>
              <w:pStyle w:val="9"/>
            </w:pPr>
            <w:r>
              <w:t>2.84</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9"/>
            </w:pPr>
            <w:r>
              <w:t>34.52</w:t>
            </w:r>
          </w:p>
        </w:tc>
        <w:tc>
          <w:tcPr>
            <w:tcW w:w="1643" w:type="dxa"/>
            <w:vAlign w:val="center"/>
          </w:tcPr>
          <w:p>
            <w:pPr>
              <w:pStyle w:val="9"/>
            </w:pPr>
            <w:r>
              <w:t>34.52</w:t>
            </w:r>
          </w:p>
        </w:tc>
        <w:tc>
          <w:tcPr>
            <w:tcW w:w="1643" w:type="dxa"/>
            <w:vAlign w:val="center"/>
          </w:tcPr>
          <w:p>
            <w:pPr>
              <w:pStyle w:val="9"/>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9"/>
            </w:pPr>
            <w:r>
              <w:t>27.20</w:t>
            </w:r>
          </w:p>
        </w:tc>
        <w:tc>
          <w:tcPr>
            <w:tcW w:w="1643" w:type="dxa"/>
            <w:vAlign w:val="center"/>
          </w:tcPr>
          <w:p>
            <w:pPr>
              <w:pStyle w:val="9"/>
            </w:pPr>
          </w:p>
        </w:tc>
        <w:tc>
          <w:tcPr>
            <w:tcW w:w="1643" w:type="dxa"/>
            <w:vAlign w:val="center"/>
          </w:tcPr>
          <w:p>
            <w:pPr>
              <w:pStyle w:val="9"/>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9"/>
            </w:pPr>
            <w:r>
              <w:t>7.50</w:t>
            </w:r>
          </w:p>
        </w:tc>
        <w:tc>
          <w:tcPr>
            <w:tcW w:w="1643" w:type="dxa"/>
            <w:vAlign w:val="center"/>
          </w:tcPr>
          <w:p>
            <w:pPr>
              <w:pStyle w:val="9"/>
            </w:pPr>
          </w:p>
        </w:tc>
        <w:tc>
          <w:tcPr>
            <w:tcW w:w="1643" w:type="dxa"/>
            <w:vAlign w:val="center"/>
          </w:tcPr>
          <w:p>
            <w:pPr>
              <w:pStyle w:val="9"/>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9"/>
            </w:pPr>
            <w:r>
              <w:t>1.00</w:t>
            </w:r>
          </w:p>
        </w:tc>
        <w:tc>
          <w:tcPr>
            <w:tcW w:w="1643" w:type="dxa"/>
            <w:vAlign w:val="center"/>
          </w:tcPr>
          <w:p>
            <w:pPr>
              <w:pStyle w:val="9"/>
            </w:pPr>
          </w:p>
        </w:tc>
        <w:tc>
          <w:tcPr>
            <w:tcW w:w="1643"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9"/>
            </w:pPr>
            <w:r>
              <w:t>4.00</w:t>
            </w:r>
          </w:p>
        </w:tc>
        <w:tc>
          <w:tcPr>
            <w:tcW w:w="1643" w:type="dxa"/>
            <w:vAlign w:val="center"/>
          </w:tcPr>
          <w:p>
            <w:pPr>
              <w:pStyle w:val="9"/>
            </w:pPr>
          </w:p>
        </w:tc>
        <w:tc>
          <w:tcPr>
            <w:tcW w:w="1643"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30215</w:t>
            </w:r>
          </w:p>
        </w:tc>
        <w:tc>
          <w:tcPr>
            <w:tcW w:w="1643" w:type="dxa"/>
            <w:vAlign w:val="center"/>
          </w:tcPr>
          <w:p>
            <w:pPr>
              <w:pStyle w:val="10"/>
            </w:pPr>
            <w:r>
              <w:t>会议费</w:t>
            </w:r>
          </w:p>
        </w:tc>
        <w:tc>
          <w:tcPr>
            <w:tcW w:w="1643" w:type="dxa"/>
            <w:vAlign w:val="center"/>
          </w:tcPr>
          <w:p>
            <w:pPr>
              <w:pStyle w:val="9"/>
            </w:pPr>
            <w:r>
              <w:t>2.40</w:t>
            </w:r>
          </w:p>
        </w:tc>
        <w:tc>
          <w:tcPr>
            <w:tcW w:w="1643" w:type="dxa"/>
            <w:vAlign w:val="center"/>
          </w:tcPr>
          <w:p>
            <w:pPr>
              <w:pStyle w:val="9"/>
            </w:pPr>
          </w:p>
        </w:tc>
        <w:tc>
          <w:tcPr>
            <w:tcW w:w="1643"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9"/>
            </w:pPr>
            <w:r>
              <w:t>2.42</w:t>
            </w:r>
          </w:p>
        </w:tc>
        <w:tc>
          <w:tcPr>
            <w:tcW w:w="1643" w:type="dxa"/>
            <w:vAlign w:val="center"/>
          </w:tcPr>
          <w:p>
            <w:pPr>
              <w:pStyle w:val="9"/>
            </w:pPr>
          </w:p>
        </w:tc>
        <w:tc>
          <w:tcPr>
            <w:tcW w:w="1643" w:type="dxa"/>
            <w:vAlign w:val="center"/>
          </w:tcPr>
          <w:p>
            <w:pPr>
              <w:pStyle w:val="9"/>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9"/>
            </w:pPr>
            <w:r>
              <w:t>0.28</w:t>
            </w:r>
          </w:p>
        </w:tc>
        <w:tc>
          <w:tcPr>
            <w:tcW w:w="1643" w:type="dxa"/>
            <w:vAlign w:val="center"/>
          </w:tcPr>
          <w:p>
            <w:pPr>
              <w:pStyle w:val="9"/>
            </w:pPr>
          </w:p>
        </w:tc>
        <w:tc>
          <w:tcPr>
            <w:tcW w:w="1643" w:type="dxa"/>
            <w:vAlign w:val="center"/>
          </w:tcPr>
          <w:p>
            <w:pPr>
              <w:pStyle w:val="9"/>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9"/>
            </w:pPr>
            <w:r>
              <w:t>3.23</w:t>
            </w:r>
          </w:p>
        </w:tc>
        <w:tc>
          <w:tcPr>
            <w:tcW w:w="1643" w:type="dxa"/>
            <w:vAlign w:val="center"/>
          </w:tcPr>
          <w:p>
            <w:pPr>
              <w:pStyle w:val="9"/>
            </w:pPr>
          </w:p>
        </w:tc>
        <w:tc>
          <w:tcPr>
            <w:tcW w:w="1643" w:type="dxa"/>
            <w:vAlign w:val="center"/>
          </w:tcPr>
          <w:p>
            <w:pPr>
              <w:pStyle w:val="9"/>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9"/>
            </w:pPr>
            <w:r>
              <w:t>2.24</w:t>
            </w:r>
          </w:p>
        </w:tc>
        <w:tc>
          <w:tcPr>
            <w:tcW w:w="1643" w:type="dxa"/>
            <w:vAlign w:val="center"/>
          </w:tcPr>
          <w:p>
            <w:pPr>
              <w:pStyle w:val="9"/>
            </w:pPr>
          </w:p>
        </w:tc>
        <w:tc>
          <w:tcPr>
            <w:tcW w:w="1643" w:type="dxa"/>
            <w:vAlign w:val="center"/>
          </w:tcPr>
          <w:p>
            <w:pPr>
              <w:pStyle w:val="9"/>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9"/>
            </w:pPr>
            <w:r>
              <w:t>3.90</w:t>
            </w:r>
          </w:p>
        </w:tc>
        <w:tc>
          <w:tcPr>
            <w:tcW w:w="1643" w:type="dxa"/>
            <w:vAlign w:val="center"/>
          </w:tcPr>
          <w:p>
            <w:pPr>
              <w:pStyle w:val="9"/>
            </w:pPr>
          </w:p>
        </w:tc>
        <w:tc>
          <w:tcPr>
            <w:tcW w:w="1643" w:type="dxa"/>
            <w:vAlign w:val="center"/>
          </w:tcPr>
          <w:p>
            <w:pPr>
              <w:pStyle w:val="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9"/>
            </w:pPr>
            <w:r>
              <w:t>0.23</w:t>
            </w:r>
          </w:p>
        </w:tc>
        <w:tc>
          <w:tcPr>
            <w:tcW w:w="1643" w:type="dxa"/>
            <w:vAlign w:val="center"/>
          </w:tcPr>
          <w:p>
            <w:pPr>
              <w:pStyle w:val="9"/>
            </w:pPr>
          </w:p>
        </w:tc>
        <w:tc>
          <w:tcPr>
            <w:tcW w:w="1643" w:type="dxa"/>
            <w:vAlign w:val="center"/>
          </w:tcPr>
          <w:p>
            <w:pPr>
              <w:pStyle w:val="9"/>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9"/>
            </w:pPr>
            <w:r>
              <w:t>3.84</w:t>
            </w:r>
          </w:p>
        </w:tc>
        <w:tc>
          <w:tcPr>
            <w:tcW w:w="1643" w:type="dxa"/>
            <w:vAlign w:val="center"/>
          </w:tcPr>
          <w:p>
            <w:pPr>
              <w:pStyle w:val="9"/>
            </w:pPr>
            <w:r>
              <w:t>3.84</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9"/>
            </w:pPr>
            <w:r>
              <w:t>3.78</w:t>
            </w:r>
          </w:p>
        </w:tc>
        <w:tc>
          <w:tcPr>
            <w:tcW w:w="1643" w:type="dxa"/>
            <w:vAlign w:val="center"/>
          </w:tcPr>
          <w:p>
            <w:pPr>
              <w:pStyle w:val="9"/>
            </w:pPr>
            <w:r>
              <w:t>3.78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9"/>
            </w:pPr>
            <w:r>
              <w:t>0.06</w:t>
            </w:r>
          </w:p>
        </w:tc>
        <w:tc>
          <w:tcPr>
            <w:tcW w:w="1643" w:type="dxa"/>
            <w:vAlign w:val="center"/>
          </w:tcPr>
          <w:p>
            <w:pPr>
              <w:pStyle w:val="9"/>
            </w:pPr>
            <w:r>
              <w:t>0.06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0"/>
            </w:pPr>
            <w:r>
              <w:t>310</w:t>
            </w:r>
          </w:p>
        </w:tc>
        <w:tc>
          <w:tcPr>
            <w:tcW w:w="1643" w:type="dxa"/>
            <w:vAlign w:val="center"/>
          </w:tcPr>
          <w:p>
            <w:pPr>
              <w:pStyle w:val="10"/>
            </w:pPr>
            <w:r>
              <w:t>资本性支出</w:t>
            </w:r>
          </w:p>
        </w:tc>
        <w:tc>
          <w:tcPr>
            <w:tcW w:w="1643" w:type="dxa"/>
            <w:vAlign w:val="center"/>
          </w:tcPr>
          <w:p>
            <w:pPr>
              <w:pStyle w:val="9"/>
            </w:pPr>
            <w:r>
              <w:t>1.00</w:t>
            </w:r>
          </w:p>
        </w:tc>
        <w:tc>
          <w:tcPr>
            <w:tcW w:w="1643" w:type="dxa"/>
            <w:vAlign w:val="center"/>
          </w:tcPr>
          <w:p>
            <w:pPr>
              <w:pStyle w:val="9"/>
            </w:pPr>
          </w:p>
        </w:tc>
        <w:tc>
          <w:tcPr>
            <w:tcW w:w="1643"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0"/>
            </w:pPr>
            <w:r>
              <w:t>31002</w:t>
            </w:r>
          </w:p>
        </w:tc>
        <w:tc>
          <w:tcPr>
            <w:tcW w:w="1643" w:type="dxa"/>
            <w:vAlign w:val="center"/>
          </w:tcPr>
          <w:p>
            <w:pPr>
              <w:pStyle w:val="10"/>
            </w:pPr>
            <w:r>
              <w:t>办公设备购置</w:t>
            </w:r>
          </w:p>
        </w:tc>
        <w:tc>
          <w:tcPr>
            <w:tcW w:w="1643" w:type="dxa"/>
            <w:vAlign w:val="center"/>
          </w:tcPr>
          <w:p>
            <w:pPr>
              <w:pStyle w:val="9"/>
            </w:pPr>
            <w:r>
              <w:t>1.00</w:t>
            </w:r>
          </w:p>
        </w:tc>
        <w:tc>
          <w:tcPr>
            <w:tcW w:w="1643" w:type="dxa"/>
            <w:vAlign w:val="center"/>
          </w:tcPr>
          <w:p>
            <w:pPr>
              <w:pStyle w:val="9"/>
            </w:pPr>
          </w:p>
        </w:tc>
        <w:tc>
          <w:tcPr>
            <w:tcW w:w="1643" w:type="dxa"/>
            <w:vAlign w:val="center"/>
          </w:tcPr>
          <w:p>
            <w:pPr>
              <w:pStyle w:val="9"/>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232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restart"/>
            <w:vAlign w:val="center"/>
          </w:tcPr>
          <w:p>
            <w:pPr>
              <w:pStyle w:val="8"/>
            </w:pPr>
            <w:r>
              <w:t>序号</w:t>
            </w:r>
          </w:p>
        </w:tc>
        <w:tc>
          <w:tcPr>
            <w:tcW w:w="8898" w:type="dxa"/>
            <w:gridSpan w:val="5"/>
            <w:vAlign w:val="center"/>
          </w:tcPr>
          <w:p>
            <w:pPr>
              <w:pStyle w:val="8"/>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60" w:type="dxa"/>
            <w:vMerge w:val="continue"/>
            <w:vAlign w:val="top"/>
          </w:tcPr>
          <w:p/>
        </w:tc>
        <w:tc>
          <w:tcPr>
            <w:tcW w:w="2326" w:type="dxa"/>
            <w:vAlign w:val="top"/>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60" w:type="dxa"/>
            <w:vAlign w:val="center"/>
          </w:tcPr>
          <w:p>
            <w:pPr>
              <w:pStyle w:val="8"/>
            </w:pPr>
            <w:r>
              <w:t>栏次</w:t>
            </w:r>
          </w:p>
        </w:tc>
        <w:tc>
          <w:tcPr>
            <w:tcW w:w="2326"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1</w:t>
            </w:r>
          </w:p>
        </w:tc>
        <w:tc>
          <w:tcPr>
            <w:tcW w:w="2326" w:type="dxa"/>
            <w:vAlign w:val="center"/>
          </w:tcPr>
          <w:p>
            <w:pPr>
              <w:pStyle w:val="12"/>
            </w:pPr>
            <w:r>
              <w:t>合计</w:t>
            </w:r>
          </w:p>
        </w:tc>
        <w:tc>
          <w:tcPr>
            <w:tcW w:w="1643" w:type="dxa"/>
            <w:vAlign w:val="center"/>
          </w:tcPr>
          <w:p>
            <w:pPr>
              <w:pStyle w:val="13"/>
            </w:pPr>
            <w:r>
              <w:t>30.28</w:t>
            </w:r>
          </w:p>
        </w:tc>
        <w:tc>
          <w:tcPr>
            <w:tcW w:w="1643" w:type="dxa"/>
            <w:vAlign w:val="center"/>
          </w:tcPr>
          <w:p>
            <w:pPr>
              <w:pStyle w:val="13"/>
            </w:pPr>
            <w:r>
              <w:t>30.28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2</w:t>
            </w:r>
          </w:p>
        </w:tc>
        <w:tc>
          <w:tcPr>
            <w:tcW w:w="2326" w:type="dxa"/>
            <w:vAlign w:val="center"/>
          </w:tcPr>
          <w:p>
            <w:pPr>
              <w:pStyle w:val="10"/>
            </w:pPr>
            <w:r>
              <w:t>“三公”经费小计</w:t>
            </w:r>
          </w:p>
        </w:tc>
        <w:tc>
          <w:tcPr>
            <w:tcW w:w="1643" w:type="dxa"/>
            <w:vAlign w:val="center"/>
          </w:tcPr>
          <w:p>
            <w:pPr>
              <w:pStyle w:val="9"/>
            </w:pPr>
            <w:r>
              <w:t>30.28</w:t>
            </w:r>
          </w:p>
        </w:tc>
        <w:tc>
          <w:tcPr>
            <w:tcW w:w="1643" w:type="dxa"/>
            <w:vAlign w:val="center"/>
          </w:tcPr>
          <w:p>
            <w:pPr>
              <w:pStyle w:val="9"/>
            </w:pPr>
            <w:r>
              <w:t>30.28</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3</w:t>
            </w:r>
          </w:p>
        </w:tc>
        <w:tc>
          <w:tcPr>
            <w:tcW w:w="2326" w:type="dxa"/>
            <w:vAlign w:val="center"/>
          </w:tcPr>
          <w:p>
            <w:pPr>
              <w:pStyle w:val="10"/>
            </w:pPr>
            <w:r>
              <w:t>一、因公出国（境）费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4</w:t>
            </w:r>
          </w:p>
        </w:tc>
        <w:tc>
          <w:tcPr>
            <w:tcW w:w="2326" w:type="dxa"/>
            <w:vAlign w:val="center"/>
          </w:tcPr>
          <w:p>
            <w:pPr>
              <w:pStyle w:val="10"/>
            </w:pPr>
            <w:r>
              <w:t xml:space="preserve">    其中：教学科研人员因公出国（境）费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5</w:t>
            </w:r>
          </w:p>
        </w:tc>
        <w:tc>
          <w:tcPr>
            <w:tcW w:w="2326" w:type="dxa"/>
            <w:vAlign w:val="center"/>
          </w:tcPr>
          <w:p>
            <w:pPr>
              <w:pStyle w:val="10"/>
            </w:pPr>
            <w:r>
              <w:t xml:space="preserve">          其他因公出国（境）费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6</w:t>
            </w:r>
          </w:p>
        </w:tc>
        <w:tc>
          <w:tcPr>
            <w:tcW w:w="2326" w:type="dxa"/>
            <w:vAlign w:val="center"/>
          </w:tcPr>
          <w:p>
            <w:pPr>
              <w:pStyle w:val="10"/>
            </w:pPr>
            <w:r>
              <w:t>二、公务用车购置及运维费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7</w:t>
            </w:r>
          </w:p>
        </w:tc>
        <w:tc>
          <w:tcPr>
            <w:tcW w:w="2326" w:type="dxa"/>
            <w:vAlign w:val="center"/>
          </w:tcPr>
          <w:p>
            <w:pPr>
              <w:pStyle w:val="10"/>
            </w:pPr>
            <w:r>
              <w:t xml:space="preserve">    其中：公务用车购置费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8</w:t>
            </w:r>
          </w:p>
        </w:tc>
        <w:tc>
          <w:tcPr>
            <w:tcW w:w="2326" w:type="dxa"/>
            <w:vAlign w:val="center"/>
          </w:tcPr>
          <w:p>
            <w:pPr>
              <w:pStyle w:val="10"/>
            </w:pPr>
            <w:r>
              <w:t xml:space="preserve">          公务用车运行维护费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0" w:type="dxa"/>
            <w:vAlign w:val="center"/>
          </w:tcPr>
          <w:p>
            <w:pPr>
              <w:pStyle w:val="11"/>
            </w:pPr>
            <w:r>
              <w:t>9</w:t>
            </w:r>
          </w:p>
        </w:tc>
        <w:tc>
          <w:tcPr>
            <w:tcW w:w="2326" w:type="dxa"/>
            <w:vAlign w:val="center"/>
          </w:tcPr>
          <w:p>
            <w:pPr>
              <w:pStyle w:val="10"/>
            </w:pPr>
            <w:r>
              <w:t>三、公务接待费</w:t>
            </w:r>
          </w:p>
        </w:tc>
        <w:tc>
          <w:tcPr>
            <w:tcW w:w="1643" w:type="dxa"/>
            <w:vAlign w:val="center"/>
          </w:tcPr>
          <w:p>
            <w:pPr>
              <w:pStyle w:val="9"/>
            </w:pPr>
            <w:r>
              <w:t>30.28</w:t>
            </w:r>
          </w:p>
        </w:tc>
        <w:tc>
          <w:tcPr>
            <w:tcW w:w="1643" w:type="dxa"/>
            <w:vAlign w:val="center"/>
          </w:tcPr>
          <w:p>
            <w:pPr>
              <w:pStyle w:val="9"/>
            </w:pPr>
            <w:r>
              <w:t>30.28</w:t>
            </w:r>
          </w:p>
        </w:tc>
        <w:tc>
          <w:tcPr>
            <w:tcW w:w="1643" w:type="dxa"/>
            <w:vAlign w:val="center"/>
          </w:tcPr>
          <w:p>
            <w:pPr>
              <w:pStyle w:val="9"/>
            </w:pPr>
          </w:p>
        </w:tc>
        <w:tc>
          <w:tcPr>
            <w:tcW w:w="1643" w:type="dxa"/>
            <w:vAlign w:val="center"/>
          </w:tcPr>
          <w:p>
            <w:pPr>
              <w:pStyle w:val="9"/>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秦皇岛北戴河新区招商工作局2022年部门预算信息公开情况说明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秦皇岛北戴河新区招商工作局2022年部门预算信息公开情况说明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按照《预算法》、《地方预决算公开操作规程》和《关于进一步推进预算公开工作的实施意见》规定，现将秦皇岛北戴河新区招商工作局2022年部门预算公开如下：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（一）贯彻执行国家、省、市、区有关招商引资战略、方针政策和相关法律法规，组织拟订全区招商引资战略、中长期规划、方针政策及规范性文件，报管委会批准后组织实施。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（二）制定全区阶段性招商引资工作目标和年度招商工作计划，报管委会批准后组织实施。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（三）组织全区招商工作相关会议，统筹全区招商引资工作，会同有关部门做好全区招商项目签约工作。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（四）负责制定全区招商引资工作流程及服务规范，会同有关部门建立健全招商引资综合评价体系，并组织实施。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（五）统筹全区招商引资活动，会同有关部门举办大型招商引资活动，推介新区投资环境、投资政策、重点招商项目等。</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（六）根据招商项目需求，会同有关部门协调、落实重大招商项目落地条件。</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（七）负责新区驻外招商联络处的建设和管理工作，会同有关部门做好驻外招商人员的选派、考核等工作。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（八）负责开展招侨引资工作，会同有关部门做好河北“侨梦苑”创建工作。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（九）完成新区工委、管委交办的其他任务。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秦皇岛北戴河新区招商工作局本级</w:t>
            </w:r>
          </w:p>
        </w:tc>
        <w:tc>
          <w:tcPr>
            <w:tcW w:w="2464" w:type="dxa"/>
            <w:vAlign w:val="center"/>
          </w:tcPr>
          <w:p>
            <w:pPr>
              <w:pStyle w:val="11"/>
            </w:pPr>
            <w:r>
              <w:t>行政</w:t>
            </w:r>
          </w:p>
        </w:tc>
        <w:tc>
          <w:tcPr>
            <w:tcW w:w="2464" w:type="dxa"/>
            <w:vAlign w:val="center"/>
          </w:tcPr>
          <w:p>
            <w:pPr>
              <w:pStyle w:val="11"/>
            </w:pPr>
            <w:r>
              <w:t>副处（县）级</w:t>
            </w:r>
          </w:p>
        </w:tc>
        <w:tc>
          <w:tcPr>
            <w:tcW w:w="2464" w:type="dxa"/>
            <w:vAlign w:val="center"/>
          </w:tcPr>
          <w:p>
            <w:pPr>
              <w:pStyle w:val="11"/>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640" w:firstLineChars="200"/>
        <w:jc w:val="left"/>
        <w:rPr>
          <w:rFonts w:hint="eastAsia" w:ascii="方正仿宋简体" w:hAnsi="方正仿宋简体" w:eastAsia="方正仿宋简体" w:cs="方正仿宋简体"/>
          <w:sz w:val="32"/>
          <w:szCs w:val="32"/>
        </w:rPr>
      </w:pPr>
      <w:bookmarkStart w:id="11" w:name="_Toc_3_3_0000000012"/>
      <w:r>
        <w:rPr>
          <w:rFonts w:hint="eastAsia" w:ascii="方正仿宋简体" w:hAnsi="方正仿宋简体" w:eastAsia="方正仿宋简体" w:cs="方正仿宋简体"/>
          <w:sz w:val="32"/>
          <w:szCs w:val="32"/>
        </w:rPr>
        <w:t>按照预算管理有关规定，目前我部门预算的编制实行综合预算管理，即全部收入和支出都反映在预算中。秦皇岛北戴河新区招商工作局机关及所属事业单位的收支包含在部门预算中。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一</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收入说明</w:t>
      </w:r>
    </w:p>
    <w:p>
      <w:pPr>
        <w:ind w:firstLine="640" w:firstLineChars="200"/>
        <w:rPr>
          <w:rFonts w:hint="default" w:ascii="Times New Roman" w:hAnsi="Times New Roman" w:eastAsia="方正仿宋简体" w:cs="Times New Roman"/>
          <w:color w:val="auto"/>
          <w:kern w:val="0"/>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当年全部收入。</w:t>
      </w:r>
      <w:r>
        <w:rPr>
          <w:rFonts w:hint="eastAsia" w:ascii="方正仿宋简体" w:hAnsi="方正仿宋简体" w:eastAsia="方正仿宋简体" w:cs="方正仿宋简体"/>
          <w:sz w:val="32"/>
          <w:szCs w:val="32"/>
          <w:lang w:eastAsia="zh-CN"/>
        </w:rPr>
        <w:t>202</w:t>
      </w:r>
      <w:r>
        <w:rPr>
          <w:rFonts w:hint="eastAsia" w:eastAsia="方正仿宋简体" w:cs="Times New Roman"/>
          <w:color w:val="auto"/>
          <w:kern w:val="0"/>
          <w:sz w:val="32"/>
          <w:szCs w:val="32"/>
          <w:lang w:val="en-US" w:eastAsia="zh-CN"/>
        </w:rPr>
        <w:t>2</w:t>
      </w:r>
      <w:r>
        <w:rPr>
          <w:rFonts w:hint="eastAsia" w:ascii="Times New Roman" w:hAnsi="Times New Roman" w:eastAsia="方正仿宋简体" w:cs="Times New Roman"/>
          <w:color w:val="auto"/>
          <w:kern w:val="0"/>
          <w:sz w:val="32"/>
          <w:szCs w:val="32"/>
          <w:lang w:eastAsia="zh-CN"/>
        </w:rPr>
        <w:t>年</w:t>
      </w:r>
      <w:r>
        <w:rPr>
          <w:rFonts w:hint="default" w:ascii="Times New Roman" w:hAnsi="Times New Roman" w:eastAsia="方正仿宋简体" w:cs="Times New Roman"/>
          <w:color w:val="auto"/>
          <w:kern w:val="0"/>
          <w:sz w:val="32"/>
          <w:szCs w:val="32"/>
        </w:rPr>
        <w:t>预算收入</w:t>
      </w:r>
      <w:r>
        <w:rPr>
          <w:rFonts w:hint="eastAsia" w:eastAsia="方正仿宋简体" w:cs="Times New Roman"/>
          <w:color w:val="auto"/>
          <w:kern w:val="0"/>
          <w:sz w:val="32"/>
          <w:szCs w:val="32"/>
          <w:lang w:val="en-US" w:eastAsia="zh-CN"/>
        </w:rPr>
        <w:t>873.74</w:t>
      </w:r>
      <w:r>
        <w:rPr>
          <w:rFonts w:hint="default" w:ascii="Times New Roman" w:hAnsi="Times New Roman" w:eastAsia="方正仿宋简体" w:cs="Times New Roman"/>
          <w:color w:val="auto"/>
          <w:kern w:val="0"/>
          <w:sz w:val="32"/>
          <w:szCs w:val="32"/>
        </w:rPr>
        <w:t>万元，一般公共预算拨款</w:t>
      </w:r>
      <w:r>
        <w:rPr>
          <w:rFonts w:hint="eastAsia" w:ascii="Times New Roman" w:hAnsi="Times New Roman" w:eastAsia="方正仿宋简体" w:cs="Times New Roman"/>
          <w:color w:val="auto"/>
          <w:kern w:val="0"/>
          <w:sz w:val="32"/>
          <w:szCs w:val="32"/>
          <w:lang w:val="en-US" w:eastAsia="zh-CN"/>
        </w:rPr>
        <w:t>7</w:t>
      </w:r>
      <w:r>
        <w:rPr>
          <w:rFonts w:hint="eastAsia" w:eastAsia="方正仿宋简体" w:cs="Times New Roman"/>
          <w:color w:val="auto"/>
          <w:kern w:val="0"/>
          <w:sz w:val="32"/>
          <w:szCs w:val="32"/>
          <w:lang w:val="en-US" w:eastAsia="zh-CN"/>
        </w:rPr>
        <w:t>44.33</w:t>
      </w:r>
      <w:r>
        <w:rPr>
          <w:rFonts w:hint="default" w:ascii="Times New Roman" w:hAnsi="Times New Roman" w:eastAsia="方正仿宋简体" w:cs="Times New Roman"/>
          <w:color w:val="auto"/>
          <w:kern w:val="0"/>
          <w:sz w:val="32"/>
          <w:szCs w:val="32"/>
        </w:rPr>
        <w:t>万元。</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二</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支出说明</w:t>
      </w:r>
    </w:p>
    <w:p>
      <w:pPr>
        <w:ind w:firstLine="640" w:firstLineChars="200"/>
        <w:rPr>
          <w:rFonts w:hint="default"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收支预算总表支出栏、基本支出表、项目支出表按经济分类和支出功能分类科目编制，反映年度</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预算中支出预算的总体情况</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rPr>
        <w:t>部门支出预算为</w:t>
      </w:r>
      <w:r>
        <w:rPr>
          <w:rFonts w:hint="eastAsia" w:ascii="方正仿宋简体" w:hAnsi="方正仿宋简体" w:eastAsia="方正仿宋简体" w:cs="方正仿宋简体"/>
          <w:sz w:val="32"/>
          <w:szCs w:val="32"/>
          <w:lang w:val="en-US" w:eastAsia="zh-CN"/>
        </w:rPr>
        <w:t>845.48</w:t>
      </w:r>
      <w:r>
        <w:rPr>
          <w:rFonts w:hint="default"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441.48</w:t>
      </w:r>
      <w:r>
        <w:rPr>
          <w:rFonts w:hint="default"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372.34</w:t>
      </w:r>
      <w:r>
        <w:rPr>
          <w:rFonts w:hint="default" w:ascii="方正仿宋简体" w:hAnsi="方正仿宋简体" w:eastAsia="方正仿宋简体" w:cs="方正仿宋简体"/>
          <w:sz w:val="32"/>
          <w:szCs w:val="32"/>
        </w:rPr>
        <w:t>万元和日常公</w:t>
      </w:r>
      <w:r>
        <w:rPr>
          <w:rFonts w:hint="default" w:ascii="Times New Roman" w:hAnsi="Times New Roman" w:eastAsia="方正仿宋简体" w:cs="Times New Roman"/>
          <w:color w:val="auto"/>
          <w:kern w:val="0"/>
          <w:sz w:val="32"/>
          <w:szCs w:val="32"/>
        </w:rPr>
        <w:t>用经费</w:t>
      </w:r>
      <w:r>
        <w:rPr>
          <w:rFonts w:hint="eastAsia" w:eastAsia="方正仿宋简体" w:cs="Times New Roman"/>
          <w:color w:val="auto"/>
          <w:kern w:val="0"/>
          <w:sz w:val="32"/>
          <w:szCs w:val="32"/>
          <w:lang w:val="en-US" w:eastAsia="zh-CN"/>
        </w:rPr>
        <w:t>28.2</w:t>
      </w:r>
      <w:r>
        <w:rPr>
          <w:rFonts w:hint="default" w:ascii="Times New Roman" w:hAnsi="Times New Roman" w:eastAsia="方正仿宋简体" w:cs="Times New Roman"/>
          <w:color w:val="auto"/>
          <w:kern w:val="0"/>
          <w:sz w:val="32"/>
          <w:szCs w:val="32"/>
        </w:rPr>
        <w:t>万元；项目支出</w:t>
      </w:r>
      <w:r>
        <w:rPr>
          <w:rFonts w:hint="eastAsia" w:ascii="Times New Roman" w:hAnsi="Times New Roman" w:eastAsia="方正仿宋简体" w:cs="Times New Roman"/>
          <w:color w:val="auto"/>
          <w:kern w:val="0"/>
          <w:sz w:val="32"/>
          <w:szCs w:val="32"/>
          <w:lang w:val="en-US" w:eastAsia="zh-CN"/>
        </w:rPr>
        <w:t>404</w:t>
      </w:r>
      <w:r>
        <w:rPr>
          <w:rFonts w:hint="default" w:ascii="Times New Roman" w:hAnsi="Times New Roman" w:eastAsia="方正仿宋简体" w:cs="Times New Roman"/>
          <w:color w:val="auto"/>
          <w:kern w:val="0"/>
          <w:sz w:val="32"/>
          <w:szCs w:val="32"/>
        </w:rPr>
        <w:t>万元，全部为本级支出</w:t>
      </w:r>
      <w:r>
        <w:rPr>
          <w:rFonts w:hint="eastAsia" w:eastAsia="方正仿宋简体" w:cs="Times New Roman"/>
          <w:color w:val="auto"/>
          <w:kern w:val="0"/>
          <w:sz w:val="32"/>
          <w:szCs w:val="32"/>
          <w:lang w:eastAsia="zh-CN"/>
        </w:rPr>
        <w:t>，</w:t>
      </w:r>
      <w:r>
        <w:rPr>
          <w:rFonts w:hint="eastAsia" w:eastAsia="方正仿宋简体" w:cs="Times New Roman"/>
          <w:color w:val="auto"/>
          <w:kern w:val="0"/>
          <w:sz w:val="32"/>
          <w:szCs w:val="32"/>
          <w:lang w:val="en-US" w:eastAsia="zh-CN"/>
        </w:rPr>
        <w:t>主要为</w:t>
      </w:r>
      <w:r>
        <w:rPr>
          <w:rFonts w:hint="eastAsia" w:ascii="方正仿宋简体" w:hAnsi="方正仿宋简体" w:eastAsia="方正仿宋简体" w:cs="方正仿宋简体"/>
          <w:sz w:val="32"/>
          <w:szCs w:val="32"/>
        </w:rPr>
        <w:t>招商日常工作经费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招商活动经费</w:t>
      </w:r>
      <w:r>
        <w:rPr>
          <w:rFonts w:hint="default" w:ascii="方正仿宋简体" w:hAnsi="方正仿宋简体" w:eastAsia="方正仿宋简体" w:cs="方正仿宋简体"/>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三</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2</w:t>
      </w:r>
      <w:r>
        <w:rPr>
          <w:rFonts w:hint="eastAsia" w:ascii="Times New Roman" w:hAnsi="Times New Roman" w:eastAsia="方正仿宋简体" w:cs="Times New Roman"/>
          <w:color w:val="auto"/>
          <w:kern w:val="0"/>
          <w:sz w:val="32"/>
          <w:szCs w:val="32"/>
          <w:lang w:eastAsia="zh-CN"/>
        </w:rPr>
        <w:t>年</w:t>
      </w:r>
      <w:r>
        <w:rPr>
          <w:rFonts w:hint="default" w:ascii="Times New Roman" w:eastAsia="方正仿宋简体"/>
          <w:sz w:val="28"/>
          <w:lang w:val="en-US" w:eastAsia="zh-CN"/>
        </w:rPr>
        <w:t>部门</w:t>
      </w:r>
      <w:r>
        <w:rPr>
          <w:rFonts w:hint="default" w:ascii="Times New Roman" w:hAnsi="Times New Roman" w:eastAsia="方正仿宋简体" w:cs="Times New Roman"/>
          <w:color w:val="auto"/>
          <w:kern w:val="0"/>
          <w:sz w:val="32"/>
          <w:szCs w:val="32"/>
        </w:rPr>
        <w:t>预算较20</w:t>
      </w:r>
      <w:r>
        <w:rPr>
          <w:rFonts w:hint="eastAsia" w:ascii="Times New Roman" w:hAnsi="Times New Roman" w:eastAsia="方正仿宋简体" w:cs="Times New Roman"/>
          <w:color w:val="auto"/>
          <w:kern w:val="0"/>
          <w:sz w:val="32"/>
          <w:szCs w:val="32"/>
          <w:lang w:val="en-US" w:eastAsia="zh-CN"/>
        </w:rPr>
        <w:t>2</w:t>
      </w:r>
      <w:r>
        <w:rPr>
          <w:rFonts w:hint="eastAsia"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rPr>
        <w:t>年</w:t>
      </w:r>
      <w:r>
        <w:rPr>
          <w:rFonts w:hint="eastAsia" w:ascii="Times New Roman" w:hAnsi="Times New Roman" w:eastAsia="方正仿宋简体" w:cs="Times New Roman"/>
          <w:color w:val="auto"/>
          <w:kern w:val="0"/>
          <w:sz w:val="32"/>
          <w:szCs w:val="32"/>
          <w:lang w:val="en-US" w:eastAsia="zh-CN"/>
        </w:rPr>
        <w:t>增加</w:t>
      </w:r>
      <w:r>
        <w:rPr>
          <w:rFonts w:hint="eastAsia" w:eastAsia="方正仿宋简体" w:cs="Times New Roman"/>
          <w:color w:val="auto"/>
          <w:kern w:val="0"/>
          <w:sz w:val="32"/>
          <w:szCs w:val="32"/>
          <w:lang w:val="en-US" w:eastAsia="zh-CN"/>
        </w:rPr>
        <w:t>91.48</w:t>
      </w:r>
      <w:r>
        <w:rPr>
          <w:rFonts w:hint="default" w:ascii="Times New Roman" w:hAnsi="Times New Roman" w:eastAsia="方正仿宋简体" w:cs="Times New Roman"/>
          <w:color w:val="auto"/>
          <w:kern w:val="0"/>
          <w:sz w:val="32"/>
          <w:szCs w:val="32"/>
        </w:rPr>
        <w:t>万元，其中基本支出</w:t>
      </w:r>
      <w:r>
        <w:rPr>
          <w:rFonts w:hint="eastAsia" w:eastAsia="方正仿宋简体" w:cs="Times New Roman"/>
          <w:color w:val="auto"/>
          <w:kern w:val="0"/>
          <w:sz w:val="32"/>
          <w:szCs w:val="32"/>
          <w:lang w:val="en-US" w:eastAsia="zh-CN"/>
        </w:rPr>
        <w:t>增加82.48</w:t>
      </w:r>
      <w:r>
        <w:rPr>
          <w:rFonts w:hint="default" w:ascii="Times New Roman" w:hAnsi="Times New Roman" w:eastAsia="方正仿宋简体" w:cs="Times New Roman"/>
          <w:color w:val="auto"/>
          <w:kern w:val="0"/>
          <w:sz w:val="32"/>
          <w:szCs w:val="32"/>
        </w:rPr>
        <w:t>万元</w:t>
      </w:r>
      <w:r>
        <w:rPr>
          <w:rFonts w:hint="eastAsia" w:eastAsia="方正仿宋简体" w:cs="Times New Roman"/>
          <w:color w:val="auto"/>
          <w:kern w:val="0"/>
          <w:sz w:val="32"/>
          <w:szCs w:val="32"/>
          <w:lang w:eastAsia="zh-CN"/>
        </w:rPr>
        <w:t>，</w:t>
      </w:r>
      <w:r>
        <w:rPr>
          <w:rFonts w:hint="eastAsia" w:eastAsia="方正仿宋简体" w:cs="Times New Roman"/>
          <w:color w:val="auto"/>
          <w:kern w:val="0"/>
          <w:sz w:val="32"/>
          <w:szCs w:val="32"/>
          <w:lang w:val="en-US" w:eastAsia="zh-CN"/>
        </w:rPr>
        <w:t>主要原因是</w:t>
      </w:r>
      <w:r>
        <w:rPr>
          <w:rFonts w:hint="default" w:ascii="Times New Roman" w:hAnsi="Times New Roman" w:eastAsia="方正仿宋简体" w:cs="Times New Roman"/>
          <w:color w:val="auto"/>
          <w:kern w:val="0"/>
          <w:sz w:val="32"/>
          <w:szCs w:val="32"/>
        </w:rPr>
        <w:t>加强和改善招商干部队伍结构</w:t>
      </w:r>
      <w:r>
        <w:rPr>
          <w:rFonts w:hint="eastAsia" w:eastAsia="方正仿宋简体" w:cs="Times New Roman"/>
          <w:color w:val="auto"/>
          <w:kern w:val="0"/>
          <w:sz w:val="32"/>
          <w:szCs w:val="32"/>
          <w:lang w:val="en-US" w:eastAsia="zh-CN"/>
        </w:rPr>
        <w:t>人员增加。</w:t>
      </w:r>
    </w:p>
    <w:p>
      <w:pPr>
        <w:numPr>
          <w:ilvl w:val="0"/>
          <w:numId w:val="1"/>
        </w:numPr>
        <w:spacing w:before="10" w:after="10" w:line="360" w:lineRule="auto"/>
        <w:ind w:firstLine="640"/>
        <w:jc w:val="left"/>
        <w:outlineLvl w:val="2"/>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bookmarkEnd w:id="11"/>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机关运行经费共计安排</w:t>
      </w:r>
      <w:r>
        <w:rPr>
          <w:rFonts w:hint="eastAsia" w:ascii="Times New Roman" w:hAnsi="Times New Roman" w:eastAsia="方正仿宋简体" w:cs="Times New Roman"/>
          <w:color w:val="auto"/>
          <w:kern w:val="0"/>
          <w:sz w:val="32"/>
          <w:szCs w:val="32"/>
          <w:lang w:val="en-US" w:eastAsia="zh-CN"/>
        </w:rPr>
        <w:t>22.5</w:t>
      </w:r>
      <w:r>
        <w:rPr>
          <w:rFonts w:hint="default" w:ascii="Times New Roman" w:hAnsi="Times New Roman" w:eastAsia="方正仿宋简体" w:cs="Times New Roman"/>
          <w:color w:val="auto"/>
          <w:kern w:val="0"/>
          <w:sz w:val="32"/>
          <w:szCs w:val="32"/>
        </w:rPr>
        <w:t>万元，主要用于保证机关正常运转支的办公费、印刷费、差旅费、会议费、福利费、专用材料及一般设备购置费、办公用房水电费、日常维修费、办公楼物业管理费等支出。</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highlight w:val="none"/>
        </w:rPr>
      </w:pPr>
      <w:bookmarkStart w:id="12" w:name="_Toc_3_3_0000000013"/>
      <w:r>
        <w:rPr>
          <w:rFonts w:ascii="黑体" w:hAnsi="黑体" w:eastAsia="黑体" w:cs="黑体"/>
          <w:color w:val="000000"/>
          <w:sz w:val="32"/>
          <w:highlight w:val="none"/>
        </w:rPr>
        <w:t>财政拨款“三公”经费预算情况及增减变化原因</w:t>
      </w:r>
      <w:bookmarkEnd w:id="12"/>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2</w:t>
      </w:r>
      <w:r>
        <w:rPr>
          <w:rFonts w:hint="eastAsia" w:ascii="Times New Roman" w:hAnsi="Times New Roman" w:eastAsia="方正仿宋简体" w:cs="Times New Roman"/>
          <w:color w:val="auto"/>
          <w:kern w:val="0"/>
          <w:sz w:val="32"/>
          <w:szCs w:val="32"/>
          <w:lang w:eastAsia="zh-CN"/>
        </w:rPr>
        <w:t>年</w:t>
      </w:r>
      <w:r>
        <w:rPr>
          <w:rFonts w:hint="default" w:ascii="Times New Roman" w:hAnsi="Times New Roman" w:eastAsia="方正仿宋简体" w:cs="Times New Roman"/>
          <w:color w:val="auto"/>
          <w:kern w:val="0"/>
          <w:sz w:val="32"/>
          <w:szCs w:val="32"/>
        </w:rPr>
        <w:t>，财政拨款“三公”经费预算安排</w:t>
      </w:r>
      <w:r>
        <w:rPr>
          <w:rFonts w:hint="eastAsia" w:ascii="Times New Roman" w:hAnsi="Times New Roman" w:eastAsia="方正仿宋简体" w:cs="Times New Roman"/>
          <w:color w:val="auto"/>
          <w:kern w:val="0"/>
          <w:sz w:val="32"/>
          <w:szCs w:val="32"/>
          <w:lang w:val="en-US" w:eastAsia="zh-CN"/>
        </w:rPr>
        <w:t>30.2</w:t>
      </w:r>
      <w:r>
        <w:rPr>
          <w:rFonts w:hint="eastAsia" w:eastAsia="方正仿宋简体" w:cs="Times New Roman"/>
          <w:color w:val="auto"/>
          <w:kern w:val="0"/>
          <w:sz w:val="32"/>
          <w:szCs w:val="32"/>
          <w:lang w:val="en-US" w:eastAsia="zh-CN"/>
        </w:rPr>
        <w:t>8</w:t>
      </w:r>
      <w:r>
        <w:rPr>
          <w:rFonts w:hint="default" w:ascii="Times New Roman" w:hAnsi="Times New Roman" w:eastAsia="方正仿宋简体" w:cs="Times New Roman"/>
          <w:color w:val="auto"/>
          <w:kern w:val="0"/>
          <w:sz w:val="32"/>
          <w:szCs w:val="32"/>
        </w:rPr>
        <w:t>万元，其中：因公出国（境）费0万元；公务用车购置及运维费</w:t>
      </w:r>
      <w:r>
        <w:rPr>
          <w:rFonts w:hint="eastAsia"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万元；公务接待费</w:t>
      </w:r>
      <w:r>
        <w:rPr>
          <w:rFonts w:hint="eastAsia" w:ascii="Times New Roman" w:hAnsi="Times New Roman" w:eastAsia="方正仿宋简体" w:cs="Times New Roman"/>
          <w:color w:val="auto"/>
          <w:kern w:val="0"/>
          <w:sz w:val="32"/>
          <w:szCs w:val="32"/>
          <w:lang w:val="en-US" w:eastAsia="zh-CN"/>
        </w:rPr>
        <w:t>30.2</w:t>
      </w:r>
      <w:r>
        <w:rPr>
          <w:rFonts w:hint="eastAsia" w:eastAsia="方正仿宋简体" w:cs="Times New Roman"/>
          <w:color w:val="auto"/>
          <w:kern w:val="0"/>
          <w:sz w:val="32"/>
          <w:szCs w:val="32"/>
          <w:lang w:val="en-US" w:eastAsia="zh-CN"/>
        </w:rPr>
        <w:t>8</w:t>
      </w:r>
      <w:r>
        <w:rPr>
          <w:rFonts w:hint="default" w:ascii="Times New Roman" w:hAnsi="Times New Roman" w:eastAsia="方正仿宋简体" w:cs="Times New Roman"/>
          <w:color w:val="auto"/>
          <w:kern w:val="0"/>
          <w:sz w:val="32"/>
          <w:szCs w:val="32"/>
        </w:rPr>
        <w:t>万元。“三公”经费较上年</w:t>
      </w:r>
      <w:r>
        <w:rPr>
          <w:rFonts w:hint="eastAsia" w:eastAsia="方正仿宋简体" w:cs="Times New Roman"/>
          <w:color w:val="auto"/>
          <w:kern w:val="0"/>
          <w:sz w:val="32"/>
          <w:szCs w:val="32"/>
          <w:lang w:val="en-US" w:eastAsia="zh-CN"/>
        </w:rPr>
        <w:t>增加0.04万元，上升0.13</w:t>
      </w:r>
      <w:r>
        <w:rPr>
          <w:rFonts w:hint="default" w:ascii="Times New Roman" w:hAnsi="Times New Roman" w:eastAsia="方正仿宋简体" w:cs="Times New Roman"/>
          <w:color w:val="auto"/>
          <w:kern w:val="0"/>
          <w:sz w:val="32"/>
          <w:szCs w:val="32"/>
        </w:rPr>
        <w:t>%，公务接待费</w:t>
      </w:r>
      <w:r>
        <w:rPr>
          <w:rFonts w:hint="eastAsia" w:eastAsia="方正仿宋简体" w:cs="Times New Roman"/>
          <w:color w:val="auto"/>
          <w:kern w:val="0"/>
          <w:sz w:val="32"/>
          <w:szCs w:val="32"/>
          <w:lang w:val="en-US" w:eastAsia="zh-CN"/>
        </w:rPr>
        <w:t>增加0.04</w:t>
      </w:r>
      <w:r>
        <w:rPr>
          <w:rFonts w:hint="default" w:ascii="Times New Roman" w:hAnsi="Times New Roman" w:eastAsia="方正仿宋简体" w:cs="Times New Roman"/>
          <w:color w:val="auto"/>
          <w:kern w:val="0"/>
          <w:sz w:val="32"/>
          <w:szCs w:val="32"/>
        </w:rPr>
        <w:t>万元</w:t>
      </w:r>
      <w:r>
        <w:rPr>
          <w:rFonts w:hint="eastAsia"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主要原因是</w:t>
      </w:r>
      <w:r>
        <w:rPr>
          <w:rFonts w:hint="eastAsia" w:eastAsia="方正仿宋简体" w:cs="Times New Roman"/>
          <w:color w:val="auto"/>
          <w:kern w:val="0"/>
          <w:sz w:val="32"/>
          <w:szCs w:val="32"/>
          <w:lang w:val="en-US" w:eastAsia="zh-CN"/>
        </w:rPr>
        <w:t>人员增加导致公务接待费增加。</w:t>
      </w:r>
    </w:p>
    <w:p>
      <w:pPr>
        <w:spacing w:before="10" w:after="10" w:line="360" w:lineRule="auto"/>
        <w:ind w:firstLine="640"/>
        <w:jc w:val="left"/>
        <w:outlineLvl w:val="2"/>
      </w:pPr>
      <w:bookmarkStart w:id="18" w:name="_GoBack"/>
      <w:bookmarkEnd w:id="18"/>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rPr>
          <w:rFonts w:hint="default" w:ascii="Times New Roman" w:hAnsi="Times New Roman" w:eastAsia="方正仿宋简体" w:cs="Times New Roman"/>
          <w:color w:val="auto"/>
          <w:kern w:val="0"/>
          <w:sz w:val="32"/>
          <w:szCs w:val="32"/>
          <w:lang w:val="en-US" w:eastAsia="zh-CN" w:bidi="ar-SA"/>
        </w:rPr>
        <w:t>2022年，我们将在工管委的坚强领导下，围绕健康服务业、健康制造业、健康农业三大板块和“医、药、养、健、游”五位一体产业定位，突出医疗康养、医疗器械、生物医药等九个重点方向，创新招商方式，突出招大引强、招新引精，全力推动招商引资工作高质量开展。全年推动全区完成项目签约30个以上、储备重大在谈项目100个以上，举办各类招商推介活动不少于12场，力争开展小团组精准招商400次，确保在全市招商引资和项目签约考核排名中保持前三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w:t>
      </w:r>
      <w:r>
        <w:rPr>
          <w:rFonts w:hint="eastAsia" w:eastAsia="方正仿宋简体" w:cs="Times New Roman"/>
          <w:color w:val="auto"/>
          <w:kern w:val="0"/>
          <w:sz w:val="32"/>
          <w:szCs w:val="32"/>
          <w:lang w:val="en-US" w:eastAsia="zh-CN" w:bidi="ar-SA"/>
        </w:rPr>
        <w:t>1</w:t>
      </w:r>
      <w:r>
        <w:rPr>
          <w:rFonts w:hint="default" w:ascii="Times New Roman" w:hAnsi="Times New Roman" w:eastAsia="方正仿宋简体" w:cs="Times New Roman"/>
          <w:color w:val="auto"/>
          <w:kern w:val="0"/>
          <w:sz w:val="32"/>
          <w:szCs w:val="32"/>
          <w:lang w:val="en-US" w:eastAsia="zh-CN" w:bidi="ar-SA"/>
        </w:rPr>
        <w:t>）坚定不移，锁定龙头企业和项目开展招商。一是强力推进京东集团观沧海智慧示范区项目，明确专班、夯实责任、倒排工期，千方百计智慧破解京东集团对滨海地块的诉求，协调推动土地征收、指标落实等前期工作，推动京东项目签约落地；同步密切与京东沟通对接，推动把7000人的研发办公团队落到新区，迅速提升新区的产业人口和产业氛围；推动把京东健康、海南贸易相关结算业务落到新区，带来持续税源；推动京东把无人技术、数字技术等产业落到新区，支持京东整合其生态链下的关联企业引进来，拓展推动腾讯、字节跳动、小米等企业对接合作，推动新区产业全面发展。二是抓住民办独立学院转设的政策窗口期，加快推进北京中医药大学东方学院、药科学校等民办院校合作；推进首科医谷医师培训中心、中整协开展整形医师培训基地项目对接，支持社会投资在新区举办医学高等教育、职业教育和培训，破解新区产业招商和城市发展中人才、人力资源支撑不足的瓶颈制约，提升新区的人气、涵养新区的常住人口。三是推动铜锣湾文旅商业综合体等城市配套项目，完善新区中心城区的吃住行游购娱等生活配套。四是聚焦产业定位，推动华恒、康泰等重点在谈产业项目加快签约落地；同时借助行业协会、咨询及委托招商机构等资源，理清各细分领域的头部企业，搜集有效招商线索，带着合作诉求、地块、政策支持及要素保障方案主动去抠门请商。心血管医院、肿瘤医院、广济医院、质子中心等项目，会同相关部门共同用力推动与首医大、泰和诚、瓦里安等头部企业对接，开展靶向性招商。</w:t>
      </w:r>
    </w:p>
    <w:p>
      <w:pPr>
        <w:pStyle w:val="2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w:t>
      </w:r>
      <w:r>
        <w:rPr>
          <w:rFonts w:hint="eastAsia" w:eastAsia="方正仿宋简体" w:cs="Times New Roman"/>
          <w:color w:val="auto"/>
          <w:kern w:val="0"/>
          <w:sz w:val="32"/>
          <w:szCs w:val="32"/>
          <w:lang w:val="en-US" w:eastAsia="zh-CN" w:bidi="ar-SA"/>
        </w:rPr>
        <w:t>2</w:t>
      </w:r>
      <w:r>
        <w:rPr>
          <w:rFonts w:hint="default" w:ascii="Times New Roman" w:hAnsi="Times New Roman" w:eastAsia="方正仿宋简体" w:cs="Times New Roman"/>
          <w:color w:val="auto"/>
          <w:kern w:val="0"/>
          <w:sz w:val="32"/>
          <w:szCs w:val="32"/>
          <w:lang w:val="en-US" w:eastAsia="zh-CN" w:bidi="ar-SA"/>
        </w:rPr>
        <w:t>）突出产业链招商，推进招商引资的精准化。聚焦医疗康养、医疗器械、生物医药、体外诊断试剂、功能性食品、文化旅游、科创研发、金融总部、教育农业九个重点方向，推动成立9个重点产业链招商专班，形成由工管委领导领衔、各牵头单位“1+N”组团各单位，统筹推进产业领域招商引资的工作格局。按照“一条产业链、一位工管委领导、一个工作专班、一套支持政策、一个工作方案”的工作模式，精准推进产业招商。盯紧盯实重大在谈项目，着力推进京东集团、复兴集团、铜锣湾集团、奥园美谷、康龙化成等一批重点在谈项目尽快签约。</w:t>
      </w:r>
    </w:p>
    <w:p>
      <w:pPr>
        <w:pStyle w:val="2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w:t>
      </w:r>
      <w:r>
        <w:rPr>
          <w:rFonts w:hint="eastAsia" w:eastAsia="方正仿宋简体" w:cs="Times New Roman"/>
          <w:color w:val="auto"/>
          <w:kern w:val="0"/>
          <w:sz w:val="32"/>
          <w:szCs w:val="32"/>
          <w:lang w:val="en-US" w:eastAsia="zh-CN" w:bidi="ar-SA"/>
        </w:rPr>
        <w:t>3</w:t>
      </w:r>
      <w:r>
        <w:rPr>
          <w:rFonts w:hint="default" w:ascii="Times New Roman" w:hAnsi="Times New Roman" w:eastAsia="方正仿宋简体" w:cs="Times New Roman"/>
          <w:color w:val="auto"/>
          <w:kern w:val="0"/>
          <w:sz w:val="32"/>
          <w:szCs w:val="32"/>
          <w:lang w:val="en-US" w:eastAsia="zh-CN" w:bidi="ar-SA"/>
        </w:rPr>
        <w:t>）坚持多措并举，推动招商方式的多样化。开展委托招商，发挥中介机构的渠道优势，精选2家代理招商机构，实行市场化委托招商。开展资本招商，按照“政府引导、市场化运作、专业化服务”的方式，设立大健康产业投资基金，发挥资本招商优势，促进产业项目集聚。开展顾问招商，聘请阿那亚创始人马寅等知名人士、企业家、专家学者作为新区招商顾问，用好社会力量开展招商引资。开展驻点招商，建立新区驻北上广招商联络处，加强与京津冀、长三角、珠三角等重点区域企业和商协会的联系，推进企业来区投资。开展以会招商。利用好“518”廊坊国际经济贸易洽谈会、“528”北京国际贸易交易会、中国国际进口博览会、上海国际医疗器械展览会等重大国内会议会展平台，加大宣传推介力度，吸引国内外企业“走进来”寻求投资合作。借力中国医疗器械协会政策年会及中整协、深圳招商实战平台的企业资源，适时在北京、上海和深圳分别筹办医疗器械专题招商推介会。借助国创投资平台，继续做好与加拿大大使馆合作筹办的中国·加拿大老龄健康产业交流会暨项目路演活动。</w:t>
      </w:r>
    </w:p>
    <w:p>
      <w:pPr>
        <w:pStyle w:val="2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w:t>
      </w:r>
      <w:r>
        <w:rPr>
          <w:rFonts w:hint="eastAsia" w:eastAsia="方正仿宋简体" w:cs="Times New Roman"/>
          <w:color w:val="auto"/>
          <w:kern w:val="0"/>
          <w:sz w:val="32"/>
          <w:szCs w:val="32"/>
          <w:lang w:val="en-US" w:eastAsia="zh-CN" w:bidi="ar-SA"/>
        </w:rPr>
        <w:t>4</w:t>
      </w:r>
      <w:r>
        <w:rPr>
          <w:rFonts w:hint="default" w:ascii="Times New Roman" w:hAnsi="Times New Roman" w:eastAsia="方正仿宋简体" w:cs="Times New Roman"/>
          <w:color w:val="auto"/>
          <w:kern w:val="0"/>
          <w:sz w:val="32"/>
          <w:szCs w:val="32"/>
          <w:lang w:val="en-US" w:eastAsia="zh-CN" w:bidi="ar-SA"/>
        </w:rPr>
        <w:t>）健全工作机制，推动招商工作的规范化。一是健全准入评审机制，建立产业项目决策咨询专家库，对项目招商开展源头把关和专业咨询，提高入区项目质量。二是规范招商流程，从项目搜集、考察洽谈、项目签约、项目落地、跟踪管理五个阶段严格程序约束，构筑全流程、全周期的招商项目服务体系。三是建立重大招商项目专班推进机制，对议定的重大招商项目，明确工作专班，由工管委领导牵头高位推动。四是研究制定《北戴河新区招商引资绩效考核办法》《招商工作局内部考核办法》，建立月通报、季排名、年考核工作机制，进一步激发招商人员的积极性、主动性和创造性。</w:t>
      </w:r>
    </w:p>
    <w:p>
      <w:pPr>
        <w:pStyle w:val="2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w:t>
      </w:r>
      <w:r>
        <w:rPr>
          <w:rFonts w:hint="eastAsia" w:eastAsia="方正仿宋简体" w:cs="Times New Roman"/>
          <w:color w:val="auto"/>
          <w:kern w:val="0"/>
          <w:sz w:val="32"/>
          <w:szCs w:val="32"/>
          <w:lang w:val="en-US" w:eastAsia="zh-CN" w:bidi="ar-SA"/>
        </w:rPr>
        <w:t>5</w:t>
      </w:r>
      <w:r>
        <w:rPr>
          <w:rFonts w:hint="default" w:ascii="Times New Roman" w:hAnsi="Times New Roman" w:eastAsia="方正仿宋简体" w:cs="Times New Roman"/>
          <w:color w:val="auto"/>
          <w:kern w:val="0"/>
          <w:sz w:val="32"/>
          <w:szCs w:val="32"/>
          <w:lang w:val="en-US" w:eastAsia="zh-CN" w:bidi="ar-SA"/>
        </w:rPr>
        <w:t>）建强招商团队，推动招商队伍的专业化。从全区范围公开选拔一批年轻干部充实招商队伍，结合重点产业发展方向优化内设科室设置，创新组建招商工作局。开展周五课堂、招商大讲堂等形式多样的专题培训活动，打造一支懂政策、懂产业、懂企业、懂谈判的专业化招商引资团队。</w:t>
      </w:r>
    </w:p>
    <w:p>
      <w:pPr>
        <w:pStyle w:val="2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w:t>
      </w:r>
      <w:r>
        <w:rPr>
          <w:rFonts w:hint="eastAsia" w:eastAsia="方正仿宋简体" w:cs="Times New Roman"/>
          <w:color w:val="auto"/>
          <w:kern w:val="0"/>
          <w:sz w:val="32"/>
          <w:szCs w:val="32"/>
          <w:lang w:val="en-US" w:eastAsia="zh-CN" w:bidi="ar-SA"/>
        </w:rPr>
        <w:t>6</w:t>
      </w:r>
      <w:r>
        <w:rPr>
          <w:rFonts w:hint="default" w:ascii="Times New Roman" w:hAnsi="Times New Roman" w:eastAsia="方正仿宋简体" w:cs="Times New Roman"/>
          <w:color w:val="auto"/>
          <w:kern w:val="0"/>
          <w:sz w:val="32"/>
          <w:szCs w:val="32"/>
          <w:lang w:val="en-US" w:eastAsia="zh-CN" w:bidi="ar-SA"/>
        </w:rPr>
        <w:t>）加强招商营销力度，提升新区的知名度和影响力。委托专业媒体“线上＋线下”宣传，充分利用众诚媒介平台，在医械行业社群定向推广示范区和医疗器械产业园投资环境。与《中国医疗设备》杂志社、《中国医疗器械信息》杂志社以及奥咨达、赛柏蓝器械、IVD资讯等专业新闻媒体合作，通过线下、线上多维度宣传推介新区投资环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1）开展委托招商。一是与火石创造签订《精准招商合作协议》，重点瞄准京津冀医疗器械企业开展对接招商。截止目前，已考察对接了桀亚莱福、四海华辰、赛默尔仕飞等5家企业。运用火石创造药选址平台，宣传推广北戴河生命健康产业创新示范区，开展网上招商推介活动；二是与国创投资签订委托招商协议，截止目前通过河北国创，已考察对接康龙化成（北京）新药技术有限公司、河北森朗泰禾生物科技有限公司、河北纳科生物科技有限公司、北京夏末科技有限公司、美邦美和生物科技有限公司等5家企业；同时借助国创投资平台，与加拿大大使馆建立联系，筹备举办中国·加拿大老龄健康产业交流会暨项目路演活动。</w:t>
      </w:r>
    </w:p>
    <w:p>
      <w:pPr>
        <w:pStyle w:val="21"/>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2）开展以商招商。一是在招商主体上，发挥企业家队伍作用，鼓励引导他们依托人脉、信息资源等方面优势，延链引进上下游关联企业或合作伙伴，为新区产业生态优化提升作贡献；二是梳理区内企业技术、资金、地块、项目等合作需求，在招商引资中为企业“牵桥搭线”，支持企业多元化经营、转型升级发展。协助远洋集团与国家奥林匹克青少年活动中心对接帆船帆板、电竞活动基地等项目及相关赛事举办权；帮助宏兴文旅与加拿大大使馆、德国费森尤斯奥美德对接，目前加拿大木业网红打卡地标项目、健康管理中心、国际康复医院等项目正在积极对接推进。</w:t>
      </w:r>
    </w:p>
    <w:p>
      <w:pPr>
        <w:pStyle w:val="21"/>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3）开展以会招商。聚焦新区资源禀赋优势和营商环境，组织更多新区企业“走出去”开展康养企业整体市场营销，吸引更多域外企业“走进来”寻求投资合作，进一步挖掘合作潜力，持续拓展合作空间，全力打造双向投资促进平台、权威信息发布平台和投资趋势研讨平台。与中国医疗器械行业协会在北京联合举办示范区交流座谈会，重点围绕医疗器械行业发展与参会嘉宾进行了深度座谈交流，与首科医谷、四环医药、鲸准投资、武汉奇致等多家企业达成了初步投资意向。</w:t>
      </w:r>
    </w:p>
    <w:p>
      <w:pPr>
        <w:pStyle w:val="21"/>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4）开展驻外招商。将新区的资源、要素、平台与驻点的企业、产业、行业结合起来，找准招商引资的对接点、发力点。今年上半年，北京、上海、深圳驻外招商工作在市驻外招商联络组领导下逐步开展招商工作，共驻拜访对接企业机构90余家</w:t>
      </w:r>
    </w:p>
    <w:p>
      <w:pPr>
        <w:pStyle w:val="22"/>
        <w:spacing w:before="0" w:after="0" w:line="240" w:lineRule="auto"/>
        <w:ind w:firstLine="640"/>
        <w:jc w:val="left"/>
        <w:outlineLvl w:val="9"/>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pStyle w:val="22"/>
        <w:spacing w:before="0" w:after="0"/>
        <w:ind w:firstLine="560"/>
        <w:jc w:val="left"/>
        <w:outlineLvl w:val="9"/>
      </w:pPr>
      <w:r>
        <w:rPr>
          <w:rFonts w:ascii="方正仿宋_GBK" w:hAnsi="方正仿宋_GBK" w:eastAsia="方正仿宋_GBK" w:cs="方正仿宋_GBK"/>
          <w:b/>
          <w:color w:val="000000"/>
          <w:sz w:val="28"/>
        </w:rPr>
        <w:t>1、招商日常工作经费绩效目标表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3"/>
            </w:pPr>
            <w:r>
              <w:t>绩效目标</w:t>
            </w:r>
          </w:p>
        </w:tc>
        <w:tc>
          <w:tcPr>
            <w:tcW w:w="7399" w:type="dxa"/>
            <w:tcBorders>
              <w:bottom w:val="single" w:color="FFFFFF" w:sz="6" w:space="0"/>
            </w:tcBorders>
            <w:vAlign w:val="center"/>
          </w:tcPr>
          <w:p>
            <w:pPr>
              <w:pStyle w:val="24"/>
            </w:pPr>
            <w:r>
              <w:t>1.保障招商日常工作顺利进行</w:t>
            </w:r>
          </w:p>
          <w:p>
            <w:pPr>
              <w:pStyle w:val="24"/>
            </w:pPr>
            <w:r>
              <w:t>2.增强社会影响力</w:t>
            </w:r>
          </w:p>
        </w:tc>
      </w:tr>
    </w:tbl>
    <w:p>
      <w:pPr>
        <w:pStyle w:val="2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3"/>
            </w:pPr>
            <w:r>
              <w:t>一级指标</w:t>
            </w:r>
          </w:p>
        </w:tc>
        <w:tc>
          <w:tcPr>
            <w:tcW w:w="2466" w:type="dxa"/>
            <w:vAlign w:val="center"/>
          </w:tcPr>
          <w:p>
            <w:pPr>
              <w:pStyle w:val="23"/>
            </w:pPr>
            <w:r>
              <w:t>二级指标</w:t>
            </w:r>
          </w:p>
        </w:tc>
        <w:tc>
          <w:tcPr>
            <w:tcW w:w="2466" w:type="dxa"/>
            <w:vAlign w:val="center"/>
          </w:tcPr>
          <w:p>
            <w:pPr>
              <w:pStyle w:val="23"/>
            </w:pPr>
            <w:r>
              <w:t>三级指标</w:t>
            </w:r>
          </w:p>
        </w:tc>
        <w:tc>
          <w:tcPr>
            <w:tcW w:w="2466"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产出指标</w:t>
            </w:r>
          </w:p>
        </w:tc>
        <w:tc>
          <w:tcPr>
            <w:tcW w:w="2466" w:type="dxa"/>
            <w:vAlign w:val="center"/>
          </w:tcPr>
          <w:p>
            <w:pPr>
              <w:pStyle w:val="24"/>
            </w:pPr>
            <w:r>
              <w:t>数量指标</w:t>
            </w:r>
          </w:p>
        </w:tc>
        <w:tc>
          <w:tcPr>
            <w:tcW w:w="2466" w:type="dxa"/>
            <w:vAlign w:val="center"/>
          </w:tcPr>
          <w:p>
            <w:pPr>
              <w:pStyle w:val="24"/>
            </w:pPr>
            <w:r>
              <w:t>到会客商人数</w:t>
            </w:r>
          </w:p>
        </w:tc>
        <w:tc>
          <w:tcPr>
            <w:tcW w:w="2466" w:type="dxa"/>
            <w:vAlign w:val="center"/>
          </w:tcPr>
          <w:p>
            <w:pPr>
              <w:pStyle w:val="24"/>
            </w:pPr>
            <w:r>
              <w:t>到会客商人数</w:t>
            </w:r>
          </w:p>
        </w:tc>
        <w:tc>
          <w:tcPr>
            <w:tcW w:w="2466" w:type="dxa"/>
            <w:vAlign w:val="center"/>
          </w:tcPr>
          <w:p>
            <w:pPr>
              <w:pStyle w:val="24"/>
            </w:pPr>
            <w:r>
              <w:t>≥100人</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时效指标</w:t>
            </w:r>
          </w:p>
        </w:tc>
        <w:tc>
          <w:tcPr>
            <w:tcW w:w="2466" w:type="dxa"/>
            <w:vAlign w:val="center"/>
          </w:tcPr>
          <w:p>
            <w:pPr>
              <w:pStyle w:val="24"/>
            </w:pPr>
            <w:r>
              <w:t>累计发布信息数</w:t>
            </w:r>
          </w:p>
        </w:tc>
        <w:tc>
          <w:tcPr>
            <w:tcW w:w="2466" w:type="dxa"/>
            <w:vAlign w:val="center"/>
          </w:tcPr>
          <w:p>
            <w:pPr>
              <w:pStyle w:val="24"/>
            </w:pPr>
            <w:r>
              <w:t>累计发布信息数</w:t>
            </w:r>
          </w:p>
        </w:tc>
        <w:tc>
          <w:tcPr>
            <w:tcW w:w="2466" w:type="dxa"/>
            <w:vAlign w:val="center"/>
          </w:tcPr>
          <w:p>
            <w:pPr>
              <w:pStyle w:val="24"/>
            </w:pPr>
            <w:r>
              <w:t>≥20次</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质量指标</w:t>
            </w:r>
          </w:p>
        </w:tc>
        <w:tc>
          <w:tcPr>
            <w:tcW w:w="2466" w:type="dxa"/>
            <w:vAlign w:val="center"/>
          </w:tcPr>
          <w:p>
            <w:pPr>
              <w:pStyle w:val="24"/>
            </w:pPr>
            <w:r>
              <w:t>招商活动的签约项目个数</w:t>
            </w:r>
          </w:p>
        </w:tc>
        <w:tc>
          <w:tcPr>
            <w:tcW w:w="2466" w:type="dxa"/>
            <w:vAlign w:val="center"/>
          </w:tcPr>
          <w:p>
            <w:pPr>
              <w:pStyle w:val="24"/>
            </w:pPr>
            <w:r>
              <w:t>招商活动的签约项目个数</w:t>
            </w:r>
          </w:p>
        </w:tc>
        <w:tc>
          <w:tcPr>
            <w:tcW w:w="2466" w:type="dxa"/>
            <w:vAlign w:val="center"/>
          </w:tcPr>
          <w:p>
            <w:pPr>
              <w:pStyle w:val="24"/>
            </w:pPr>
            <w:r>
              <w:t>≥20个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成本指标</w:t>
            </w:r>
          </w:p>
        </w:tc>
        <w:tc>
          <w:tcPr>
            <w:tcW w:w="2466" w:type="dxa"/>
            <w:vAlign w:val="center"/>
          </w:tcPr>
          <w:p>
            <w:pPr>
              <w:pStyle w:val="24"/>
            </w:pPr>
            <w:r>
              <w:t>会议费用标准</w:t>
            </w:r>
          </w:p>
          <w:p>
            <w:pPr>
              <w:pStyle w:val="24"/>
            </w:pPr>
          </w:p>
          <w:p>
            <w:pPr>
              <w:pStyle w:val="24"/>
            </w:pPr>
          </w:p>
        </w:tc>
        <w:tc>
          <w:tcPr>
            <w:tcW w:w="2466" w:type="dxa"/>
            <w:vAlign w:val="center"/>
          </w:tcPr>
          <w:p>
            <w:pPr>
              <w:pStyle w:val="24"/>
            </w:pPr>
            <w:r>
              <w:t>会议费用标准</w:t>
            </w:r>
          </w:p>
          <w:p>
            <w:pPr>
              <w:pStyle w:val="24"/>
            </w:pPr>
          </w:p>
          <w:p>
            <w:pPr>
              <w:pStyle w:val="24"/>
            </w:pPr>
          </w:p>
        </w:tc>
        <w:tc>
          <w:tcPr>
            <w:tcW w:w="2466" w:type="dxa"/>
            <w:vAlign w:val="center"/>
          </w:tcPr>
          <w:p>
            <w:pPr>
              <w:pStyle w:val="24"/>
            </w:pPr>
            <w:r>
              <w:t>≤400人</w:t>
            </w:r>
          </w:p>
        </w:tc>
        <w:tc>
          <w:tcPr>
            <w:tcW w:w="2466" w:type="dxa"/>
            <w:vAlign w:val="center"/>
          </w:tcPr>
          <w:p>
            <w:pPr>
              <w:pStyle w:val="24"/>
            </w:pPr>
            <w:r>
              <w:t>会议费文件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效益指标</w:t>
            </w:r>
          </w:p>
        </w:tc>
        <w:tc>
          <w:tcPr>
            <w:tcW w:w="2466" w:type="dxa"/>
            <w:vAlign w:val="center"/>
          </w:tcPr>
          <w:p>
            <w:pPr>
              <w:pStyle w:val="24"/>
            </w:pPr>
            <w:r>
              <w:t>经济效益指标</w:t>
            </w:r>
          </w:p>
        </w:tc>
        <w:tc>
          <w:tcPr>
            <w:tcW w:w="2466" w:type="dxa"/>
            <w:vAlign w:val="center"/>
          </w:tcPr>
          <w:p>
            <w:pPr>
              <w:pStyle w:val="24"/>
            </w:pPr>
            <w:r>
              <w:t>招商活动的签约项目金额（亿元）</w:t>
            </w:r>
          </w:p>
        </w:tc>
        <w:tc>
          <w:tcPr>
            <w:tcW w:w="2466" w:type="dxa"/>
            <w:vAlign w:val="center"/>
          </w:tcPr>
          <w:p>
            <w:pPr>
              <w:pStyle w:val="24"/>
            </w:pPr>
            <w:r>
              <w:t>招商活动的签约项目金额（亿元）</w:t>
            </w:r>
          </w:p>
        </w:tc>
        <w:tc>
          <w:tcPr>
            <w:tcW w:w="2466" w:type="dxa"/>
            <w:vAlign w:val="center"/>
          </w:tcPr>
          <w:p>
            <w:pPr>
              <w:pStyle w:val="24"/>
            </w:pPr>
            <w:r>
              <w:t>≥2亿元</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社会效益指标</w:t>
            </w:r>
          </w:p>
        </w:tc>
        <w:tc>
          <w:tcPr>
            <w:tcW w:w="2466" w:type="dxa"/>
            <w:vAlign w:val="center"/>
          </w:tcPr>
          <w:p>
            <w:pPr>
              <w:pStyle w:val="24"/>
            </w:pPr>
            <w:r>
              <w:t>保障机关单位正常运转</w:t>
            </w:r>
          </w:p>
        </w:tc>
        <w:tc>
          <w:tcPr>
            <w:tcW w:w="2466" w:type="dxa"/>
            <w:vAlign w:val="center"/>
          </w:tcPr>
          <w:p>
            <w:pPr>
              <w:pStyle w:val="24"/>
            </w:pPr>
            <w:r>
              <w:t>保障机关单位正常运转</w:t>
            </w:r>
          </w:p>
        </w:tc>
        <w:tc>
          <w:tcPr>
            <w:tcW w:w="2466" w:type="dxa"/>
            <w:vAlign w:val="center"/>
          </w:tcPr>
          <w:p>
            <w:pPr>
              <w:pStyle w:val="24"/>
            </w:pPr>
            <w:r>
              <w:t>正常运转</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可持续影响指标</w:t>
            </w:r>
          </w:p>
        </w:tc>
        <w:tc>
          <w:tcPr>
            <w:tcW w:w="2466" w:type="dxa"/>
            <w:vAlign w:val="center"/>
          </w:tcPr>
          <w:p>
            <w:pPr>
              <w:pStyle w:val="24"/>
            </w:pPr>
            <w:r>
              <w:t>实际参会企业数</w:t>
            </w:r>
          </w:p>
        </w:tc>
        <w:tc>
          <w:tcPr>
            <w:tcW w:w="2466" w:type="dxa"/>
            <w:vAlign w:val="center"/>
          </w:tcPr>
          <w:p>
            <w:pPr>
              <w:pStyle w:val="24"/>
            </w:pPr>
            <w:r>
              <w:t>实际参会企业数</w:t>
            </w:r>
          </w:p>
        </w:tc>
        <w:tc>
          <w:tcPr>
            <w:tcW w:w="2466" w:type="dxa"/>
            <w:vAlign w:val="center"/>
          </w:tcPr>
          <w:p>
            <w:pPr>
              <w:pStyle w:val="24"/>
            </w:pPr>
            <w:r>
              <w:t>≥20家</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生态效益指标</w:t>
            </w:r>
          </w:p>
        </w:tc>
        <w:tc>
          <w:tcPr>
            <w:tcW w:w="2466" w:type="dxa"/>
            <w:vAlign w:val="center"/>
          </w:tcPr>
          <w:p>
            <w:pPr>
              <w:pStyle w:val="24"/>
            </w:pPr>
            <w:r>
              <w:t>推动环保事业发展</w:t>
            </w:r>
          </w:p>
        </w:tc>
        <w:tc>
          <w:tcPr>
            <w:tcW w:w="2466" w:type="dxa"/>
            <w:vAlign w:val="center"/>
          </w:tcPr>
          <w:p>
            <w:pPr>
              <w:pStyle w:val="24"/>
            </w:pPr>
            <w:r>
              <w:t>推动环保事业发展</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5"/>
            </w:pPr>
            <w:r>
              <w:t>满意度指标</w:t>
            </w:r>
          </w:p>
        </w:tc>
        <w:tc>
          <w:tcPr>
            <w:tcW w:w="2466" w:type="dxa"/>
            <w:vAlign w:val="center"/>
          </w:tcPr>
          <w:p>
            <w:pPr>
              <w:pStyle w:val="24"/>
            </w:pPr>
            <w:r>
              <w:t>服务对象满意度指标</w:t>
            </w:r>
          </w:p>
        </w:tc>
        <w:tc>
          <w:tcPr>
            <w:tcW w:w="2466" w:type="dxa"/>
            <w:vAlign w:val="center"/>
          </w:tcPr>
          <w:p>
            <w:pPr>
              <w:pStyle w:val="24"/>
            </w:pPr>
            <w:r>
              <w:t>服务对象满意度</w:t>
            </w:r>
          </w:p>
        </w:tc>
        <w:tc>
          <w:tcPr>
            <w:tcW w:w="2466" w:type="dxa"/>
            <w:vAlign w:val="center"/>
          </w:tcPr>
          <w:p>
            <w:pPr>
              <w:pStyle w:val="24"/>
            </w:pPr>
            <w:r>
              <w:t>服务对象满意度</w:t>
            </w:r>
          </w:p>
        </w:tc>
        <w:tc>
          <w:tcPr>
            <w:tcW w:w="2466" w:type="dxa"/>
            <w:vAlign w:val="center"/>
          </w:tcPr>
          <w:p>
            <w:pPr>
              <w:pStyle w:val="24"/>
            </w:pPr>
            <w:r>
              <w:t>≥90百分比</w:t>
            </w:r>
          </w:p>
        </w:tc>
        <w:tc>
          <w:tcPr>
            <w:tcW w:w="2466" w:type="dxa"/>
            <w:vAlign w:val="center"/>
          </w:tcPr>
          <w:p>
            <w:pPr>
              <w:pStyle w:val="24"/>
            </w:pPr>
            <w:r>
              <w:t>计划目标值</w:t>
            </w:r>
          </w:p>
        </w:tc>
      </w:tr>
    </w:tbl>
    <w:p>
      <w:pPr>
        <w:pStyle w:val="22"/>
      </w:pPr>
    </w:p>
    <w:p>
      <w:pPr>
        <w:pStyle w:val="22"/>
        <w:spacing w:before="0" w:after="0"/>
        <w:ind w:firstLine="560"/>
        <w:jc w:val="left"/>
        <w:outlineLvl w:val="9"/>
      </w:pPr>
      <w:r>
        <w:rPr>
          <w:rFonts w:ascii="方正仿宋_GBK" w:hAnsi="方正仿宋_GBK" w:eastAsia="方正仿宋_GBK" w:cs="方正仿宋_GBK"/>
          <w:b/>
          <w:color w:val="000000"/>
          <w:sz w:val="28"/>
        </w:rPr>
        <w:t>2、招商活动经费绩效目标表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3"/>
            </w:pPr>
            <w:r>
              <w:t>绩效目标</w:t>
            </w:r>
          </w:p>
        </w:tc>
        <w:tc>
          <w:tcPr>
            <w:tcW w:w="7399" w:type="dxa"/>
            <w:tcBorders>
              <w:bottom w:val="single" w:color="FFFFFF" w:sz="6" w:space="0"/>
            </w:tcBorders>
            <w:vAlign w:val="center"/>
          </w:tcPr>
          <w:p>
            <w:pPr>
              <w:pStyle w:val="24"/>
            </w:pPr>
            <w:r>
              <w:t>1.举办招商引资活动数</w:t>
            </w:r>
          </w:p>
          <w:p>
            <w:pPr>
              <w:pStyle w:val="24"/>
            </w:pPr>
            <w:r>
              <w:t>2.签约招商项目</w:t>
            </w:r>
          </w:p>
        </w:tc>
      </w:tr>
    </w:tbl>
    <w:p>
      <w:pPr>
        <w:pStyle w:val="2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3"/>
            </w:pPr>
            <w:r>
              <w:t>一级指标</w:t>
            </w:r>
          </w:p>
        </w:tc>
        <w:tc>
          <w:tcPr>
            <w:tcW w:w="2466" w:type="dxa"/>
            <w:vAlign w:val="center"/>
          </w:tcPr>
          <w:p>
            <w:pPr>
              <w:pStyle w:val="23"/>
            </w:pPr>
            <w:r>
              <w:t>二级指标</w:t>
            </w:r>
          </w:p>
        </w:tc>
        <w:tc>
          <w:tcPr>
            <w:tcW w:w="2466" w:type="dxa"/>
            <w:vAlign w:val="center"/>
          </w:tcPr>
          <w:p>
            <w:pPr>
              <w:pStyle w:val="23"/>
            </w:pPr>
            <w:r>
              <w:t>三级指标</w:t>
            </w:r>
          </w:p>
        </w:tc>
        <w:tc>
          <w:tcPr>
            <w:tcW w:w="2466"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产出指标</w:t>
            </w:r>
          </w:p>
        </w:tc>
        <w:tc>
          <w:tcPr>
            <w:tcW w:w="2466" w:type="dxa"/>
            <w:vAlign w:val="center"/>
          </w:tcPr>
          <w:p>
            <w:pPr>
              <w:pStyle w:val="24"/>
            </w:pPr>
            <w:r>
              <w:t>数量指标</w:t>
            </w:r>
          </w:p>
        </w:tc>
        <w:tc>
          <w:tcPr>
            <w:tcW w:w="2466" w:type="dxa"/>
            <w:vAlign w:val="center"/>
          </w:tcPr>
          <w:p>
            <w:pPr>
              <w:pStyle w:val="24"/>
            </w:pPr>
            <w:r>
              <w:t>举办招商引资活动数量</w:t>
            </w:r>
          </w:p>
        </w:tc>
        <w:tc>
          <w:tcPr>
            <w:tcW w:w="2466" w:type="dxa"/>
            <w:vAlign w:val="center"/>
          </w:tcPr>
          <w:p>
            <w:pPr>
              <w:pStyle w:val="24"/>
            </w:pPr>
            <w:r>
              <w:t>举办招商引资活动数量</w:t>
            </w:r>
          </w:p>
        </w:tc>
        <w:tc>
          <w:tcPr>
            <w:tcW w:w="2466" w:type="dxa"/>
            <w:vAlign w:val="center"/>
          </w:tcPr>
          <w:p>
            <w:pPr>
              <w:pStyle w:val="24"/>
            </w:pPr>
            <w:r>
              <w:t>≥4个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质量指标</w:t>
            </w:r>
          </w:p>
        </w:tc>
        <w:tc>
          <w:tcPr>
            <w:tcW w:w="2466" w:type="dxa"/>
            <w:vAlign w:val="center"/>
          </w:tcPr>
          <w:p>
            <w:pPr>
              <w:pStyle w:val="24"/>
            </w:pPr>
            <w:r>
              <w:t>招商活动的签约项目个数</w:t>
            </w:r>
          </w:p>
        </w:tc>
        <w:tc>
          <w:tcPr>
            <w:tcW w:w="2466" w:type="dxa"/>
            <w:vAlign w:val="center"/>
          </w:tcPr>
          <w:p>
            <w:pPr>
              <w:pStyle w:val="24"/>
            </w:pPr>
            <w:r>
              <w:t>招商活动的签约项目个数</w:t>
            </w:r>
          </w:p>
        </w:tc>
        <w:tc>
          <w:tcPr>
            <w:tcW w:w="2466" w:type="dxa"/>
            <w:vAlign w:val="center"/>
          </w:tcPr>
          <w:p>
            <w:pPr>
              <w:pStyle w:val="24"/>
            </w:pPr>
            <w:r>
              <w:t>≥3个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时效指标</w:t>
            </w:r>
          </w:p>
        </w:tc>
        <w:tc>
          <w:tcPr>
            <w:tcW w:w="2466" w:type="dxa"/>
            <w:vAlign w:val="center"/>
          </w:tcPr>
          <w:p>
            <w:pPr>
              <w:pStyle w:val="24"/>
            </w:pPr>
            <w:r>
              <w:t>按时完成印刷任务</w:t>
            </w:r>
          </w:p>
        </w:tc>
        <w:tc>
          <w:tcPr>
            <w:tcW w:w="2466" w:type="dxa"/>
            <w:vAlign w:val="center"/>
          </w:tcPr>
          <w:p>
            <w:pPr>
              <w:pStyle w:val="24"/>
            </w:pPr>
            <w:r>
              <w:t>按时完成印刷任务</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成本指标</w:t>
            </w:r>
          </w:p>
        </w:tc>
        <w:tc>
          <w:tcPr>
            <w:tcW w:w="2466" w:type="dxa"/>
            <w:vAlign w:val="center"/>
          </w:tcPr>
          <w:p>
            <w:pPr>
              <w:pStyle w:val="24"/>
            </w:pPr>
            <w:r>
              <w:t>接待标准</w:t>
            </w:r>
          </w:p>
        </w:tc>
        <w:tc>
          <w:tcPr>
            <w:tcW w:w="2466" w:type="dxa"/>
            <w:vAlign w:val="center"/>
          </w:tcPr>
          <w:p>
            <w:pPr>
              <w:pStyle w:val="24"/>
            </w:pPr>
            <w:r>
              <w:t>接待标准</w:t>
            </w:r>
          </w:p>
        </w:tc>
        <w:tc>
          <w:tcPr>
            <w:tcW w:w="2466" w:type="dxa"/>
            <w:vAlign w:val="center"/>
          </w:tcPr>
          <w:p>
            <w:pPr>
              <w:pStyle w:val="24"/>
            </w:pPr>
            <w:r>
              <w:t>≤300人</w:t>
            </w:r>
          </w:p>
        </w:tc>
        <w:tc>
          <w:tcPr>
            <w:tcW w:w="2466" w:type="dxa"/>
            <w:vAlign w:val="center"/>
          </w:tcPr>
          <w:p>
            <w:pPr>
              <w:pStyle w:val="24"/>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效益指标</w:t>
            </w:r>
          </w:p>
        </w:tc>
        <w:tc>
          <w:tcPr>
            <w:tcW w:w="2466" w:type="dxa"/>
            <w:vAlign w:val="center"/>
          </w:tcPr>
          <w:p>
            <w:pPr>
              <w:pStyle w:val="24"/>
            </w:pPr>
            <w:r>
              <w:t>经济效益指标</w:t>
            </w:r>
          </w:p>
        </w:tc>
        <w:tc>
          <w:tcPr>
            <w:tcW w:w="2466" w:type="dxa"/>
            <w:vAlign w:val="center"/>
          </w:tcPr>
          <w:p>
            <w:pPr>
              <w:pStyle w:val="24"/>
            </w:pPr>
            <w:r>
              <w:t>招商活动的签约项目金额（亿元）</w:t>
            </w:r>
          </w:p>
        </w:tc>
        <w:tc>
          <w:tcPr>
            <w:tcW w:w="2466" w:type="dxa"/>
            <w:vAlign w:val="center"/>
          </w:tcPr>
          <w:p>
            <w:pPr>
              <w:pStyle w:val="24"/>
            </w:pPr>
            <w:r>
              <w:t>招商活动的签约项目金额（亿元）</w:t>
            </w:r>
          </w:p>
        </w:tc>
        <w:tc>
          <w:tcPr>
            <w:tcW w:w="2466" w:type="dxa"/>
            <w:vAlign w:val="center"/>
          </w:tcPr>
          <w:p>
            <w:pPr>
              <w:pStyle w:val="24"/>
            </w:pPr>
            <w:r>
              <w:t>≥2亿元</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社会效益指标</w:t>
            </w:r>
          </w:p>
        </w:tc>
        <w:tc>
          <w:tcPr>
            <w:tcW w:w="2466" w:type="dxa"/>
            <w:vAlign w:val="center"/>
          </w:tcPr>
          <w:p>
            <w:pPr>
              <w:pStyle w:val="24"/>
            </w:pPr>
            <w:r>
              <w:t>项目带动就业能力</w:t>
            </w:r>
          </w:p>
        </w:tc>
        <w:tc>
          <w:tcPr>
            <w:tcW w:w="2466" w:type="dxa"/>
            <w:vAlign w:val="center"/>
          </w:tcPr>
          <w:p>
            <w:pPr>
              <w:pStyle w:val="24"/>
            </w:pPr>
            <w:r>
              <w:t>项目带动就业能力</w:t>
            </w:r>
          </w:p>
        </w:tc>
        <w:tc>
          <w:tcPr>
            <w:tcW w:w="2466" w:type="dxa"/>
            <w:vAlign w:val="center"/>
          </w:tcPr>
          <w:p>
            <w:pPr>
              <w:pStyle w:val="24"/>
            </w:pPr>
            <w:r>
              <w:t>≥1000人</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生态效益指标</w:t>
            </w:r>
          </w:p>
        </w:tc>
        <w:tc>
          <w:tcPr>
            <w:tcW w:w="2466" w:type="dxa"/>
            <w:vAlign w:val="center"/>
          </w:tcPr>
          <w:p>
            <w:pPr>
              <w:pStyle w:val="24"/>
            </w:pPr>
            <w:r>
              <w:t>环保节能</w:t>
            </w:r>
          </w:p>
        </w:tc>
        <w:tc>
          <w:tcPr>
            <w:tcW w:w="2466" w:type="dxa"/>
            <w:vAlign w:val="center"/>
          </w:tcPr>
          <w:p>
            <w:pPr>
              <w:pStyle w:val="24"/>
            </w:pPr>
            <w:r>
              <w:t>环保节能</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可持续影响指标</w:t>
            </w:r>
          </w:p>
        </w:tc>
        <w:tc>
          <w:tcPr>
            <w:tcW w:w="2466" w:type="dxa"/>
            <w:vAlign w:val="center"/>
          </w:tcPr>
          <w:p>
            <w:pPr>
              <w:pStyle w:val="24"/>
            </w:pPr>
            <w:r>
              <w:t>实际参会企业数</w:t>
            </w:r>
          </w:p>
        </w:tc>
        <w:tc>
          <w:tcPr>
            <w:tcW w:w="2466" w:type="dxa"/>
            <w:vAlign w:val="center"/>
          </w:tcPr>
          <w:p>
            <w:pPr>
              <w:pStyle w:val="24"/>
            </w:pPr>
            <w:r>
              <w:t>实际参会企业数</w:t>
            </w:r>
          </w:p>
        </w:tc>
        <w:tc>
          <w:tcPr>
            <w:tcW w:w="2466" w:type="dxa"/>
            <w:vAlign w:val="center"/>
          </w:tcPr>
          <w:p>
            <w:pPr>
              <w:pStyle w:val="24"/>
            </w:pPr>
            <w:r>
              <w:t>≥100家</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5"/>
            </w:pPr>
            <w:r>
              <w:t>满意度指标</w:t>
            </w:r>
          </w:p>
        </w:tc>
        <w:tc>
          <w:tcPr>
            <w:tcW w:w="2466" w:type="dxa"/>
            <w:vAlign w:val="center"/>
          </w:tcPr>
          <w:p>
            <w:pPr>
              <w:pStyle w:val="24"/>
            </w:pPr>
            <w:r>
              <w:t>服务对象满意度指标</w:t>
            </w:r>
          </w:p>
        </w:tc>
        <w:tc>
          <w:tcPr>
            <w:tcW w:w="2466" w:type="dxa"/>
            <w:vAlign w:val="center"/>
          </w:tcPr>
          <w:p>
            <w:pPr>
              <w:pStyle w:val="24"/>
            </w:pPr>
            <w:r>
              <w:t>服务对象满意度</w:t>
            </w:r>
          </w:p>
        </w:tc>
        <w:tc>
          <w:tcPr>
            <w:tcW w:w="2466" w:type="dxa"/>
            <w:vAlign w:val="center"/>
          </w:tcPr>
          <w:p>
            <w:pPr>
              <w:pStyle w:val="24"/>
            </w:pPr>
            <w:r>
              <w:t>服务对象满意度</w:t>
            </w:r>
          </w:p>
        </w:tc>
        <w:tc>
          <w:tcPr>
            <w:tcW w:w="2466" w:type="dxa"/>
            <w:vAlign w:val="center"/>
          </w:tcPr>
          <w:p>
            <w:pPr>
              <w:pStyle w:val="24"/>
            </w:pPr>
            <w:r>
              <w:t>≥90百分比</w:t>
            </w:r>
          </w:p>
        </w:tc>
        <w:tc>
          <w:tcPr>
            <w:tcW w:w="2466" w:type="dxa"/>
            <w:vAlign w:val="center"/>
          </w:tcPr>
          <w:p>
            <w:pPr>
              <w:pStyle w:val="24"/>
            </w:pPr>
            <w:r>
              <w:t>计划目标值</w:t>
            </w:r>
          </w:p>
        </w:tc>
      </w:tr>
    </w:tbl>
    <w:p>
      <w:pPr>
        <w:pStyle w:val="22"/>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2022年，秦皇岛北戴河新区招商工作局安排政府采购预算190.00万元。具体内容见下表。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8316" w:type="dxa"/>
            <w:gridSpan w:val="9"/>
            <w:vMerge w:val="restart"/>
            <w:vAlign w:val="center"/>
          </w:tcPr>
          <w:p>
            <w:pPr>
              <w:pStyle w:val="8"/>
            </w:pPr>
            <w:r>
              <w:t>单价</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c>
          <w:tcPr>
            <w:tcW w:w="924" w:type="dxa"/>
            <w:vAlign w:val="center"/>
          </w:tcPr>
          <w:p>
            <w:pPr>
              <w:pStyle w:val="13"/>
            </w:pPr>
            <w:r>
              <w:t>190.00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秦皇岛北戴河新区招商工作局本级小计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c>
          <w:tcPr>
            <w:tcW w:w="924" w:type="dxa"/>
            <w:vAlign w:val="center"/>
          </w:tcPr>
          <w:p>
            <w:pPr>
              <w:pStyle w:val="13"/>
            </w:pPr>
            <w:r>
              <w:t>190.00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招商活动经费</w:t>
            </w:r>
          </w:p>
        </w:tc>
        <w:tc>
          <w:tcPr>
            <w:tcW w:w="924" w:type="dxa"/>
            <w:vAlign w:val="center"/>
          </w:tcPr>
          <w:p>
            <w:pPr>
              <w:pStyle w:val="9"/>
            </w:pPr>
            <w:r>
              <w:t>390.00</w:t>
            </w:r>
          </w:p>
        </w:tc>
        <w:tc>
          <w:tcPr>
            <w:tcW w:w="924" w:type="dxa"/>
            <w:vAlign w:val="center"/>
          </w:tcPr>
          <w:p>
            <w:pPr>
              <w:pStyle w:val="10"/>
            </w:pPr>
            <w:r>
              <w:t>其他服务</w:t>
            </w:r>
          </w:p>
        </w:tc>
        <w:tc>
          <w:tcPr>
            <w:tcW w:w="924" w:type="dxa"/>
            <w:vAlign w:val="center"/>
          </w:tcPr>
          <w:p>
            <w:pPr>
              <w:pStyle w:val="10"/>
            </w:pPr>
            <w:r>
              <w:t>C99</w:t>
            </w:r>
          </w:p>
        </w:tc>
        <w:tc>
          <w:tcPr>
            <w:tcW w:w="924" w:type="dxa"/>
            <w:vAlign w:val="center"/>
          </w:tcPr>
          <w:p>
            <w:pPr>
              <w:pStyle w:val="11"/>
            </w:pPr>
            <w:r>
              <w:t>个</w:t>
            </w:r>
          </w:p>
        </w:tc>
        <w:tc>
          <w:tcPr>
            <w:tcW w:w="924" w:type="dxa"/>
            <w:vAlign w:val="center"/>
          </w:tcPr>
          <w:p>
            <w:pPr>
              <w:pStyle w:val="9"/>
            </w:pPr>
            <w:r>
              <w:t>2</w:t>
            </w:r>
          </w:p>
        </w:tc>
        <w:tc>
          <w:tcPr>
            <w:tcW w:w="924" w:type="dxa"/>
            <w:vAlign w:val="center"/>
          </w:tcPr>
          <w:p>
            <w:pPr>
              <w:pStyle w:val="9"/>
            </w:pPr>
            <w:r>
              <w:t>95.00</w:t>
            </w:r>
          </w:p>
        </w:tc>
        <w:tc>
          <w:tcPr>
            <w:tcW w:w="924" w:type="dxa"/>
            <w:vAlign w:val="center"/>
          </w:tcPr>
          <w:p>
            <w:pPr>
              <w:pStyle w:val="9"/>
            </w:pPr>
            <w:r>
              <w:t>190.00</w:t>
            </w:r>
          </w:p>
        </w:tc>
        <w:tc>
          <w:tcPr>
            <w:tcW w:w="924" w:type="dxa"/>
            <w:vAlign w:val="center"/>
          </w:tcPr>
          <w:p>
            <w:pPr>
              <w:pStyle w:val="9"/>
            </w:pPr>
            <w:r>
              <w:t>190.00</w:t>
            </w: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r>
              <w:t>190.00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color w:val="auto"/>
        </w:rPr>
      </w:pPr>
      <w:bookmarkStart w:id="15" w:name="_Toc_3_3_0000000016"/>
      <w:r>
        <w:rPr>
          <w:rFonts w:ascii="黑体" w:hAnsi="黑体" w:eastAsia="黑体" w:cs="黑体"/>
          <w:color w:val="auto"/>
          <w:sz w:val="32"/>
        </w:rPr>
        <w:t>七、国有资产信息</w:t>
      </w:r>
      <w:bookmarkEnd w:id="15"/>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秦皇岛北戴河新区招商工作局（含所属单位）上年末固定资产金额为</w:t>
      </w:r>
      <w:r>
        <w:rPr>
          <w:rFonts w:hint="eastAsia" w:ascii="Times New Roman" w:hAnsi="Times New Roman" w:eastAsia="方正仿宋简体" w:cs="Times New Roman"/>
          <w:color w:val="auto"/>
          <w:kern w:val="0"/>
          <w:sz w:val="32"/>
          <w:szCs w:val="32"/>
          <w:lang w:val="en-US" w:eastAsia="zh-CN"/>
        </w:rPr>
        <w:t>17.55</w:t>
      </w:r>
      <w:r>
        <w:rPr>
          <w:rFonts w:hint="default" w:ascii="Times New Roman" w:hAnsi="Times New Roman" w:eastAsia="方正仿宋简体" w:cs="Times New Roman"/>
          <w:color w:val="auto"/>
          <w:kern w:val="0"/>
          <w:sz w:val="32"/>
          <w:szCs w:val="32"/>
        </w:rPr>
        <w:t>万元（详见下表）。主要是</w:t>
      </w:r>
      <w:r>
        <w:rPr>
          <w:rFonts w:hint="eastAsia" w:ascii="Times New Roman" w:hAnsi="Times New Roman" w:eastAsia="方正仿宋简体" w:cs="Times New Roman"/>
          <w:color w:val="auto"/>
          <w:kern w:val="0"/>
          <w:sz w:val="32"/>
          <w:szCs w:val="32"/>
          <w:lang w:eastAsia="zh-CN"/>
        </w:rPr>
        <w:t>一辆公务用车和</w:t>
      </w:r>
      <w:r>
        <w:rPr>
          <w:rFonts w:hint="default" w:ascii="Times New Roman" w:hAnsi="Times New Roman" w:eastAsia="方正仿宋简体" w:cs="Times New Roman"/>
          <w:color w:val="auto"/>
          <w:kern w:val="0"/>
          <w:sz w:val="32"/>
          <w:szCs w:val="32"/>
        </w:rPr>
        <w:t>计算机、打印机等办公设备，均是20万元以下设备。</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center"/>
        <w:textAlignment w:val="auto"/>
        <w:rPr>
          <w:rFonts w:hint="default" w:ascii="Times New Roman" w:hAnsi="Times New Roman" w:eastAsia="方正仿宋简体" w:cs="Times New Roman"/>
          <w:color w:val="auto"/>
          <w:kern w:val="0"/>
          <w:sz w:val="32"/>
          <w:szCs w:val="32"/>
        </w:rPr>
      </w:pPr>
    </w:p>
    <w:p>
      <w:pPr>
        <w:spacing w:before="0" w:after="0" w:line="240" w:lineRule="auto"/>
        <w:ind w:firstLine="0"/>
        <w:jc w:val="center"/>
        <w:outlineLvl w:val="9"/>
        <w:rPr>
          <w:color w:val="FF0000"/>
        </w:rPr>
      </w:pP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rPr>
                <w:color w:val="auto"/>
              </w:rPr>
            </w:pPr>
            <w:r>
              <w:rPr>
                <w:color w:val="auto"/>
              </w:rP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color w:val="auto"/>
              </w:rPr>
            </w:pPr>
            <w:r>
              <w:rPr>
                <w:color w:val="auto"/>
              </w:rPr>
              <w:t>项   目</w:t>
            </w:r>
          </w:p>
        </w:tc>
        <w:tc>
          <w:tcPr>
            <w:tcW w:w="4933" w:type="dxa"/>
            <w:vAlign w:val="center"/>
          </w:tcPr>
          <w:p>
            <w:pPr>
              <w:pStyle w:val="8"/>
              <w:rPr>
                <w:color w:val="auto"/>
              </w:rPr>
            </w:pPr>
            <w:r>
              <w:rPr>
                <w:color w:val="auto"/>
              </w:rPr>
              <w:t>数量</w:t>
            </w:r>
          </w:p>
        </w:tc>
        <w:tc>
          <w:tcPr>
            <w:tcW w:w="4933" w:type="dxa"/>
            <w:vAlign w:val="center"/>
          </w:tcPr>
          <w:p>
            <w:pPr>
              <w:pStyle w:val="8"/>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rFonts w:hint="default" w:eastAsia="方正书宋_GBK"/>
                <w:color w:val="auto"/>
                <w:lang w:val="en-US" w:eastAsia="zh-CN"/>
              </w:rPr>
            </w:pPr>
            <w:r>
              <w:rPr>
                <w:rFonts w:hint="default" w:ascii="Times New Roman" w:hAnsi="Times New Roman" w:eastAsia="仿宋" w:cs="Times New Roman"/>
                <w:color w:val="auto"/>
                <w:sz w:val="32"/>
                <w:szCs w:val="32"/>
              </w:rPr>
              <w:t>1、房屋</w:t>
            </w:r>
          </w:p>
        </w:tc>
        <w:tc>
          <w:tcPr>
            <w:tcW w:w="4933" w:type="dxa"/>
            <w:vAlign w:val="center"/>
          </w:tcPr>
          <w:p>
            <w:pPr>
              <w:spacing w:line="256" w:lineRule="auto"/>
              <w:ind w:left="9" w:leftChars="0"/>
              <w:jc w:val="both"/>
              <w:rPr>
                <w:color w:val="auto"/>
              </w:rPr>
            </w:pPr>
            <w:r>
              <w:rPr>
                <w:rFonts w:hint="default" w:ascii="Times New Roman" w:hAnsi="Times New Roman" w:eastAsia="仿宋" w:cs="Times New Roman"/>
                <w:color w:val="auto"/>
                <w:sz w:val="32"/>
                <w:szCs w:val="32"/>
              </w:rPr>
              <w:t>——</w:t>
            </w:r>
          </w:p>
        </w:tc>
        <w:tc>
          <w:tcPr>
            <w:tcW w:w="4933" w:type="dxa"/>
            <w:vAlign w:val="center"/>
          </w:tcPr>
          <w:p>
            <w:pPr>
              <w:spacing w:line="256" w:lineRule="auto"/>
              <w:ind w:left="7" w:leftChars="0"/>
              <w:jc w:val="both"/>
              <w:rPr>
                <w:color w:val="auto"/>
              </w:rPr>
            </w:pPr>
            <w:r>
              <w:rPr>
                <w:rFonts w:hint="default" w:ascii="Times New Roman" w:hAnsi="Times New Roman" w:eastAsia="仿宋" w:cs="Times New Roman"/>
                <w:color w:val="auto"/>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color w:val="auto"/>
              </w:rPr>
            </w:pPr>
            <w:r>
              <w:rPr>
                <w:rFonts w:hint="default" w:ascii="Times New Roman" w:hAnsi="Times New Roman" w:eastAsia="仿宋" w:cs="Times New Roman"/>
                <w:color w:val="auto"/>
                <w:sz w:val="32"/>
                <w:szCs w:val="32"/>
              </w:rPr>
              <w:t>2、车辆（台、辆）</w:t>
            </w:r>
          </w:p>
        </w:tc>
        <w:tc>
          <w:tcPr>
            <w:tcW w:w="4933" w:type="dxa"/>
            <w:vAlign w:val="center"/>
          </w:tcPr>
          <w:p>
            <w:pPr>
              <w:spacing w:line="256" w:lineRule="auto"/>
              <w:ind w:left="9" w:leftChars="0"/>
              <w:jc w:val="both"/>
              <w:rPr>
                <w:color w:val="auto"/>
              </w:rPr>
            </w:pPr>
            <w:r>
              <w:rPr>
                <w:rFonts w:hint="default" w:ascii="Times New Roman" w:hAnsi="Times New Roman" w:eastAsia="仿宋" w:cs="Times New Roman"/>
                <w:color w:val="auto"/>
                <w:sz w:val="32"/>
                <w:szCs w:val="32"/>
              </w:rPr>
              <w:t>1</w:t>
            </w:r>
          </w:p>
        </w:tc>
        <w:tc>
          <w:tcPr>
            <w:tcW w:w="4933" w:type="dxa"/>
            <w:vAlign w:val="center"/>
          </w:tcPr>
          <w:p>
            <w:pPr>
              <w:spacing w:line="256" w:lineRule="auto"/>
              <w:ind w:left="7" w:leftChars="0"/>
              <w:jc w:val="both"/>
              <w:rPr>
                <w:color w:val="auto"/>
              </w:rPr>
            </w:pPr>
            <w:r>
              <w:rPr>
                <w:rFonts w:hint="eastAsia" w:ascii="Times New Roman" w:hAnsi="Times New Roman" w:eastAsia="仿宋" w:cs="Times New Roman"/>
                <w:color w:val="auto"/>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color w:val="auto"/>
              </w:rPr>
            </w:pPr>
            <w:r>
              <w:rPr>
                <w:rFonts w:hint="default" w:ascii="Times New Roman" w:hAnsi="Times New Roman" w:eastAsia="仿宋" w:cs="Times New Roman"/>
                <w:color w:val="auto"/>
                <w:sz w:val="32"/>
                <w:szCs w:val="32"/>
              </w:rPr>
              <w:t>3、其他固定资产</w:t>
            </w:r>
          </w:p>
        </w:tc>
        <w:tc>
          <w:tcPr>
            <w:tcW w:w="4933" w:type="dxa"/>
            <w:vAlign w:val="center"/>
          </w:tcPr>
          <w:p>
            <w:pPr>
              <w:spacing w:line="256" w:lineRule="auto"/>
              <w:ind w:left="5" w:leftChars="0"/>
              <w:jc w:val="both"/>
              <w:rPr>
                <w:rFonts w:hint="default"/>
                <w:color w:val="auto"/>
                <w:lang w:val="en-US"/>
              </w:rPr>
            </w:pPr>
            <w:r>
              <w:rPr>
                <w:rFonts w:hint="eastAsia" w:eastAsia="仿宋" w:cs="Times New Roman"/>
                <w:color w:val="auto"/>
                <w:sz w:val="32"/>
                <w:szCs w:val="32"/>
                <w:lang w:val="en-US" w:eastAsia="zh-CN"/>
              </w:rPr>
              <w:t>174</w:t>
            </w:r>
          </w:p>
        </w:tc>
        <w:tc>
          <w:tcPr>
            <w:tcW w:w="4933" w:type="dxa"/>
            <w:vAlign w:val="center"/>
          </w:tcPr>
          <w:p>
            <w:pPr>
              <w:spacing w:line="256" w:lineRule="auto"/>
              <w:ind w:left="7" w:leftChars="0"/>
              <w:jc w:val="both"/>
              <w:rPr>
                <w:rFonts w:hint="default"/>
                <w:color w:val="auto"/>
                <w:lang w:val="en-US"/>
              </w:rPr>
            </w:pPr>
            <w:r>
              <w:rPr>
                <w:rFonts w:hint="eastAsia" w:eastAsia="仿宋" w:cs="Times New Roman"/>
                <w:color w:val="auto"/>
                <w:sz w:val="32"/>
                <w:szCs w:val="32"/>
                <w:lang w:val="en-US" w:eastAsia="zh-CN"/>
              </w:rPr>
              <w:t>17.55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1、一般公共预算拨款收入：指</w:t>
      </w:r>
      <w:r>
        <w:rPr>
          <w:rFonts w:hint="eastAsia" w:eastAsia="方正仿宋简体" w:cs="Times New Roman"/>
          <w:color w:val="auto"/>
          <w:kern w:val="0"/>
          <w:sz w:val="32"/>
          <w:szCs w:val="32"/>
          <w:lang w:val="en-US" w:eastAsia="zh-CN"/>
        </w:rPr>
        <w:t>区</w:t>
      </w:r>
      <w:r>
        <w:rPr>
          <w:rFonts w:hint="default" w:ascii="Times New Roman" w:hAnsi="Times New Roman" w:eastAsia="方正仿宋简体" w:cs="Times New Roman"/>
          <w:color w:val="auto"/>
          <w:kern w:val="0"/>
          <w:sz w:val="32"/>
          <w:szCs w:val="32"/>
        </w:rPr>
        <w:t>级财政当年拨付的资金。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7、“三公”经费：纳入</w:t>
      </w:r>
      <w:r>
        <w:rPr>
          <w:rFonts w:hint="eastAsia" w:eastAsia="方正仿宋简体" w:cs="Times New Roman"/>
          <w:color w:val="auto"/>
          <w:kern w:val="0"/>
          <w:sz w:val="32"/>
          <w:szCs w:val="32"/>
          <w:lang w:val="en-US" w:eastAsia="zh-CN"/>
        </w:rPr>
        <w:t>区</w:t>
      </w:r>
      <w:r>
        <w:rPr>
          <w:rFonts w:hint="default" w:ascii="Times New Roman" w:hAnsi="Times New Roman" w:eastAsia="方正仿宋简体" w:cs="Times New Roman"/>
          <w:color w:val="auto"/>
          <w:kern w:val="0"/>
          <w:sz w:val="32"/>
          <w:szCs w:val="32"/>
        </w:rPr>
        <w:t>级财政预算管理的“三公”经费，是指</w:t>
      </w:r>
      <w:r>
        <w:rPr>
          <w:rFonts w:hint="eastAsia" w:eastAsia="方正仿宋简体" w:cs="Times New Roman"/>
          <w:color w:val="auto"/>
          <w:kern w:val="0"/>
          <w:sz w:val="32"/>
          <w:szCs w:val="32"/>
          <w:lang w:val="en-US" w:eastAsia="zh-CN"/>
        </w:rPr>
        <w:t>区</w:t>
      </w:r>
      <w:r>
        <w:rPr>
          <w:rFonts w:hint="default" w:ascii="Times New Roman" w:hAnsi="Times New Roman" w:eastAsia="方正仿宋简体" w:cs="Times New Roman"/>
          <w:color w:val="auto"/>
          <w:kern w:val="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b/>
          <w:bCs/>
          <w:color w:val="auto"/>
          <w:kern w:val="0"/>
          <w:sz w:val="32"/>
          <w:szCs w:val="32"/>
        </w:rPr>
      </w:pPr>
      <w:bookmarkStart w:id="17" w:name="_Toc_3_3_0000000018"/>
      <w:r>
        <w:rPr>
          <w:rFonts w:hint="default" w:ascii="Times New Roman" w:hAnsi="Times New Roman" w:eastAsia="方正仿宋简体" w:cs="Times New Roman"/>
          <w:b/>
          <w:bCs/>
          <w:color w:val="auto"/>
          <w:kern w:val="0"/>
          <w:sz w:val="32"/>
          <w:szCs w:val="32"/>
        </w:rPr>
        <w:t>九、其他需要说明的事项</w:t>
      </w:r>
      <w:bookmarkEnd w:id="17"/>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pPr>
      <w:r>
        <w:rPr>
          <w:rFonts w:hint="default" w:ascii="Times New Roman" w:hAnsi="Times New Roman" w:eastAsia="方正仿宋简体" w:cs="Times New Roman"/>
          <w:color w:val="auto"/>
          <w:kern w:val="0"/>
          <w:sz w:val="32"/>
          <w:szCs w:val="32"/>
        </w:rPr>
        <w:t>我部门无其他需要说明的事项。</w:t>
      </w: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6365F"/>
    <w:multiLevelType w:val="singleLevel"/>
    <w:tmpl w:val="A9E6365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961F7"/>
    <w:rsid w:val="06E567C3"/>
    <w:rsid w:val="1BDA1BF1"/>
    <w:rsid w:val="2F4C5C0F"/>
    <w:rsid w:val="319D0135"/>
    <w:rsid w:val="3E4B3C04"/>
    <w:rsid w:val="553A76A1"/>
    <w:rsid w:val="5A34321E"/>
    <w:rsid w:val="5EFB0095"/>
    <w:rsid w:val="6FE058B4"/>
    <w:rsid w:val="74AC0AE0"/>
    <w:rsid w:val="7DDF56EF"/>
    <w:rsid w:val="7E402771"/>
    <w:rsid w:val="7FAB5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Normal_1edeb5de-7f60-4f2a-b5a8-845f6d68ff77"/>
    <w:qFormat/>
    <w:uiPriority w:val="0"/>
    <w:rPr>
      <w:rFonts w:ascii="Times New Roman" w:hAnsi="Times New Roman" w:eastAsia="Times New Roman" w:cs="Times New Roman"/>
      <w:sz w:val="24"/>
      <w:szCs w:val="24"/>
      <w:lang w:val="en-US" w:eastAsia="zh-CN" w:bidi="ar-SA"/>
    </w:rPr>
  </w:style>
  <w:style w:type="paragraph" w:customStyle="1" w:styleId="23">
    <w:name w:val="单元格样式1_4f3ba9d0-da95-45f9-949f-e4d6c1a3f5f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2_ca6265a8-47ad-4b59-b373-2b4a43a5e2bc"/>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5">
    <w:name w:val="单元格样式3_9794b132-b524-4868-aeeb-5100b1a7901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2022-02-17T14:28:00Z</dcterms:created>
  <dc:creator>lenovo</dc:creator>
  <cp:lastModifiedBy>Alexa</cp:lastModifiedBy>
  <dcterms:modified xsi:type="dcterms:W3CDTF">2023-08-17T09:11:12Z</dcterms:modified>
  <dc:title>2022年部门预算信息公开目录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