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秦皇岛北戴河新区发展改革局所属单位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pStyle w:val="2"/>
        <w:tabs>
          <w:tab w:val="right" w:leader="dot" w:pos="14562"/>
        </w:tabs>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一、秦皇岛北戴河新区发展改革局本级收支预算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一、秦皇岛北戴河新区发展改革局本级收支预算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5"/>
              <w:rPr>
                <w:rFonts w:hint="default" w:eastAsia="方正小标宋_GBK"/>
                <w:lang w:val="en-US" w:eastAsia="zh-CN"/>
              </w:rPr>
            </w:pPr>
            <w:r>
              <w:rPr>
                <w:rFonts w:hint="default" w:ascii="Times New Roman" w:hAnsi="Times New Roman" w:cs="Times New Roma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6"/>
            </w:pPr>
            <w:r>
              <w:t>序号</w:t>
            </w:r>
          </w:p>
        </w:tc>
        <w:tc>
          <w:tcPr>
            <w:tcW w:w="2959" w:type="dxa"/>
            <w:vAlign w:val="center"/>
          </w:tcPr>
          <w:p>
            <w:pPr>
              <w:pStyle w:val="6"/>
            </w:pPr>
            <w:r>
              <w:t>收入</w:t>
            </w:r>
          </w:p>
        </w:tc>
        <w:tc>
          <w:tcPr>
            <w:tcW w:w="2959" w:type="dxa"/>
          </w:tcPr>
          <w:p/>
        </w:tc>
        <w:tc>
          <w:tcPr>
            <w:tcW w:w="2959" w:type="dxa"/>
            <w:vAlign w:val="center"/>
          </w:tcPr>
          <w:p>
            <w:pPr>
              <w:pStyle w:val="6"/>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6"/>
            </w:pPr>
            <w:r>
              <w:t>项  目</w:t>
            </w:r>
          </w:p>
        </w:tc>
        <w:tc>
          <w:tcPr>
            <w:tcW w:w="2959" w:type="dxa"/>
            <w:vAlign w:val="center"/>
          </w:tcPr>
          <w:p>
            <w:pPr>
              <w:pStyle w:val="6"/>
            </w:pPr>
            <w:r>
              <w:t>预算数</w:t>
            </w:r>
          </w:p>
        </w:tc>
        <w:tc>
          <w:tcPr>
            <w:tcW w:w="2959" w:type="dxa"/>
            <w:vAlign w:val="center"/>
          </w:tcPr>
          <w:p>
            <w:pPr>
              <w:pStyle w:val="6"/>
            </w:pPr>
            <w:r>
              <w:t>项  目</w:t>
            </w:r>
          </w:p>
        </w:tc>
        <w:tc>
          <w:tcPr>
            <w:tcW w:w="2959" w:type="dxa"/>
            <w:vAlign w:val="center"/>
          </w:tcPr>
          <w:p>
            <w:pPr>
              <w:pStyle w:val="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6"/>
            </w:pPr>
            <w:r>
              <w:t>栏次</w:t>
            </w:r>
          </w:p>
        </w:tc>
        <w:tc>
          <w:tcPr>
            <w:tcW w:w="2959" w:type="dxa"/>
            <w:vAlign w:val="center"/>
          </w:tcPr>
          <w:p>
            <w:pPr>
              <w:pStyle w:val="6"/>
            </w:pPr>
            <w:r>
              <w:t>1</w:t>
            </w:r>
          </w:p>
        </w:tc>
        <w:tc>
          <w:tcPr>
            <w:tcW w:w="2959" w:type="dxa"/>
            <w:vAlign w:val="center"/>
          </w:tcPr>
          <w:p>
            <w:pPr>
              <w:pStyle w:val="6"/>
            </w:pPr>
            <w:r>
              <w:t>2</w:t>
            </w:r>
          </w:p>
        </w:tc>
        <w:tc>
          <w:tcPr>
            <w:tcW w:w="2959" w:type="dxa"/>
            <w:vAlign w:val="center"/>
          </w:tcPr>
          <w:p>
            <w:pPr>
              <w:pStyle w:val="6"/>
            </w:pPr>
            <w:r>
              <w:t>3</w:t>
            </w:r>
          </w:p>
        </w:tc>
        <w:tc>
          <w:tcPr>
            <w:tcW w:w="2959" w:type="dxa"/>
            <w:vAlign w:val="center"/>
          </w:tcPr>
          <w:p>
            <w:pPr>
              <w:pStyle w:val="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2959" w:type="dxa"/>
            <w:vAlign w:val="center"/>
          </w:tcPr>
          <w:p>
            <w:pPr>
              <w:pStyle w:val="8"/>
            </w:pPr>
            <w:r>
              <w:t>一、一般公共预算拨款收入</w:t>
            </w:r>
          </w:p>
        </w:tc>
        <w:tc>
          <w:tcPr>
            <w:tcW w:w="2959" w:type="dxa"/>
            <w:vAlign w:val="center"/>
          </w:tcPr>
          <w:p>
            <w:pPr>
              <w:pStyle w:val="9"/>
              <w:jc w:val="center"/>
            </w:pPr>
            <w:r>
              <w:rPr>
                <w:rFonts w:hint="default" w:ascii="Times New Roman" w:hAnsi="Times New Roman" w:cs="Times New Roman"/>
              </w:rPr>
              <w:t>825.40</w:t>
            </w:r>
          </w:p>
        </w:tc>
        <w:tc>
          <w:tcPr>
            <w:tcW w:w="2959" w:type="dxa"/>
            <w:vAlign w:val="center"/>
          </w:tcPr>
          <w:p>
            <w:pPr>
              <w:pStyle w:val="8"/>
            </w:pPr>
            <w:r>
              <w:t>一、一般公共服务支出</w:t>
            </w:r>
          </w:p>
        </w:tc>
        <w:tc>
          <w:tcPr>
            <w:tcW w:w="2959" w:type="dxa"/>
            <w:vAlign w:val="center"/>
          </w:tcPr>
          <w:p>
            <w:pPr>
              <w:pStyle w:val="9"/>
              <w:jc w:val="center"/>
              <w:rPr>
                <w:rFonts w:hint="default" w:ascii="Times New Roman" w:hAnsi="Times New Roman" w:cs="Times New Roman"/>
              </w:rPr>
            </w:pPr>
            <w:r>
              <w:rPr>
                <w:rFonts w:hint="default" w:ascii="Times New Roman" w:hAnsi="Times New Roman" w:cs="Times New Roman"/>
              </w:rPr>
              <w:t>678.79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2959" w:type="dxa"/>
            <w:vAlign w:val="center"/>
          </w:tcPr>
          <w:p>
            <w:pPr>
              <w:pStyle w:val="8"/>
            </w:pPr>
            <w:r>
              <w:t>二、政府性基金预算拨款收入</w:t>
            </w:r>
          </w:p>
        </w:tc>
        <w:tc>
          <w:tcPr>
            <w:tcW w:w="2959" w:type="dxa"/>
            <w:vAlign w:val="center"/>
          </w:tcPr>
          <w:p>
            <w:pPr>
              <w:pStyle w:val="9"/>
            </w:pPr>
          </w:p>
        </w:tc>
        <w:tc>
          <w:tcPr>
            <w:tcW w:w="2959" w:type="dxa"/>
            <w:vAlign w:val="center"/>
          </w:tcPr>
          <w:p>
            <w:pPr>
              <w:pStyle w:val="8"/>
            </w:pPr>
            <w:r>
              <w:t>二、外交支出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2959" w:type="dxa"/>
            <w:vAlign w:val="center"/>
          </w:tcPr>
          <w:p>
            <w:pPr>
              <w:pStyle w:val="8"/>
            </w:pPr>
            <w:r>
              <w:t>三、国有资本经营预算拨款收入</w:t>
            </w:r>
          </w:p>
        </w:tc>
        <w:tc>
          <w:tcPr>
            <w:tcW w:w="2959" w:type="dxa"/>
            <w:vAlign w:val="center"/>
          </w:tcPr>
          <w:p>
            <w:pPr>
              <w:pStyle w:val="9"/>
            </w:pPr>
          </w:p>
        </w:tc>
        <w:tc>
          <w:tcPr>
            <w:tcW w:w="2959" w:type="dxa"/>
            <w:vAlign w:val="center"/>
          </w:tcPr>
          <w:p>
            <w:pPr>
              <w:pStyle w:val="8"/>
            </w:pPr>
            <w:r>
              <w:t>三、国防支出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2959" w:type="dxa"/>
            <w:vAlign w:val="center"/>
          </w:tcPr>
          <w:p>
            <w:pPr>
              <w:pStyle w:val="8"/>
            </w:pPr>
            <w:r>
              <w:t>四、财政专户管理资金收入</w:t>
            </w:r>
          </w:p>
        </w:tc>
        <w:tc>
          <w:tcPr>
            <w:tcW w:w="2959" w:type="dxa"/>
            <w:vAlign w:val="center"/>
          </w:tcPr>
          <w:p>
            <w:pPr>
              <w:pStyle w:val="9"/>
            </w:pPr>
          </w:p>
        </w:tc>
        <w:tc>
          <w:tcPr>
            <w:tcW w:w="2959" w:type="dxa"/>
            <w:vAlign w:val="center"/>
          </w:tcPr>
          <w:p>
            <w:pPr>
              <w:pStyle w:val="8"/>
            </w:pPr>
            <w:r>
              <w:t>四、公共安全支出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5</w:t>
            </w:r>
          </w:p>
        </w:tc>
        <w:tc>
          <w:tcPr>
            <w:tcW w:w="2959" w:type="dxa"/>
            <w:vAlign w:val="center"/>
          </w:tcPr>
          <w:p>
            <w:pPr>
              <w:pStyle w:val="8"/>
            </w:pPr>
            <w:r>
              <w:t>五、事业收入</w:t>
            </w:r>
          </w:p>
        </w:tc>
        <w:tc>
          <w:tcPr>
            <w:tcW w:w="2959" w:type="dxa"/>
            <w:vAlign w:val="center"/>
          </w:tcPr>
          <w:p>
            <w:pPr>
              <w:pStyle w:val="9"/>
            </w:pPr>
          </w:p>
        </w:tc>
        <w:tc>
          <w:tcPr>
            <w:tcW w:w="2959" w:type="dxa"/>
            <w:vAlign w:val="center"/>
          </w:tcPr>
          <w:p>
            <w:pPr>
              <w:pStyle w:val="8"/>
            </w:pPr>
            <w:r>
              <w:t>五、教育支出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6</w:t>
            </w:r>
          </w:p>
        </w:tc>
        <w:tc>
          <w:tcPr>
            <w:tcW w:w="2959" w:type="dxa"/>
            <w:vAlign w:val="center"/>
          </w:tcPr>
          <w:p>
            <w:pPr>
              <w:pStyle w:val="8"/>
            </w:pPr>
            <w:r>
              <w:t>六、事业单位经营收入</w:t>
            </w:r>
          </w:p>
        </w:tc>
        <w:tc>
          <w:tcPr>
            <w:tcW w:w="2959" w:type="dxa"/>
            <w:vAlign w:val="center"/>
          </w:tcPr>
          <w:p>
            <w:pPr>
              <w:pStyle w:val="9"/>
            </w:pPr>
          </w:p>
        </w:tc>
        <w:tc>
          <w:tcPr>
            <w:tcW w:w="2959" w:type="dxa"/>
            <w:vAlign w:val="center"/>
          </w:tcPr>
          <w:p>
            <w:pPr>
              <w:pStyle w:val="8"/>
            </w:pPr>
            <w:r>
              <w:t>六、科学技术支出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7</w:t>
            </w:r>
          </w:p>
        </w:tc>
        <w:tc>
          <w:tcPr>
            <w:tcW w:w="2959" w:type="dxa"/>
            <w:vAlign w:val="center"/>
          </w:tcPr>
          <w:p>
            <w:pPr>
              <w:pStyle w:val="8"/>
            </w:pPr>
            <w:r>
              <w:t>七、上级补助收入</w:t>
            </w:r>
          </w:p>
        </w:tc>
        <w:tc>
          <w:tcPr>
            <w:tcW w:w="2959" w:type="dxa"/>
            <w:vAlign w:val="center"/>
          </w:tcPr>
          <w:p>
            <w:pPr>
              <w:pStyle w:val="9"/>
            </w:pPr>
          </w:p>
        </w:tc>
        <w:tc>
          <w:tcPr>
            <w:tcW w:w="2959" w:type="dxa"/>
            <w:vAlign w:val="center"/>
          </w:tcPr>
          <w:p>
            <w:pPr>
              <w:pStyle w:val="8"/>
            </w:pPr>
            <w:r>
              <w:t>七、文化旅游体育与传媒支出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8</w:t>
            </w:r>
          </w:p>
        </w:tc>
        <w:tc>
          <w:tcPr>
            <w:tcW w:w="2959" w:type="dxa"/>
            <w:vAlign w:val="center"/>
          </w:tcPr>
          <w:p>
            <w:pPr>
              <w:pStyle w:val="8"/>
            </w:pPr>
            <w:r>
              <w:t>八、附属单位上缴收入</w:t>
            </w:r>
          </w:p>
        </w:tc>
        <w:tc>
          <w:tcPr>
            <w:tcW w:w="2959" w:type="dxa"/>
            <w:vAlign w:val="center"/>
          </w:tcPr>
          <w:p>
            <w:pPr>
              <w:pStyle w:val="9"/>
            </w:pPr>
          </w:p>
        </w:tc>
        <w:tc>
          <w:tcPr>
            <w:tcW w:w="2959" w:type="dxa"/>
            <w:vAlign w:val="center"/>
          </w:tcPr>
          <w:p>
            <w:pPr>
              <w:pStyle w:val="8"/>
            </w:pPr>
            <w:r>
              <w:t>八、社会保障和就业支出</w:t>
            </w:r>
          </w:p>
        </w:tc>
        <w:tc>
          <w:tcPr>
            <w:tcW w:w="2959"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9</w:t>
            </w:r>
          </w:p>
        </w:tc>
        <w:tc>
          <w:tcPr>
            <w:tcW w:w="2959" w:type="dxa"/>
            <w:vAlign w:val="center"/>
          </w:tcPr>
          <w:p>
            <w:pPr>
              <w:pStyle w:val="8"/>
            </w:pPr>
            <w:r>
              <w:t>九、其他收入</w:t>
            </w:r>
          </w:p>
        </w:tc>
        <w:tc>
          <w:tcPr>
            <w:tcW w:w="2959" w:type="dxa"/>
            <w:vAlign w:val="center"/>
          </w:tcPr>
          <w:p>
            <w:pPr>
              <w:pStyle w:val="9"/>
            </w:pPr>
          </w:p>
        </w:tc>
        <w:tc>
          <w:tcPr>
            <w:tcW w:w="2959" w:type="dxa"/>
            <w:vAlign w:val="center"/>
          </w:tcPr>
          <w:p>
            <w:pPr>
              <w:pStyle w:val="8"/>
            </w:pPr>
            <w:r>
              <w:t>九、社会保险基金支出</w:t>
            </w:r>
          </w:p>
        </w:tc>
        <w:tc>
          <w:tcPr>
            <w:tcW w:w="2959"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10</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十、卫生健康支出</w:t>
            </w:r>
          </w:p>
        </w:tc>
        <w:tc>
          <w:tcPr>
            <w:tcW w:w="2959"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11</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十一、节能环保支出</w:t>
            </w:r>
          </w:p>
        </w:tc>
        <w:tc>
          <w:tcPr>
            <w:tcW w:w="2959"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12</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十二、城乡社区支出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13</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十三、农林水支出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14</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十四、交通运输支出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15</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十五、资源勘探工业信息等支出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16</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十六、商业服务业等支出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17</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十七、金融支出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18</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十八、援助其他地区支出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19</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十九、自然资源海洋气象等支出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20</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二十、住房保障支出</w:t>
            </w:r>
          </w:p>
        </w:tc>
        <w:tc>
          <w:tcPr>
            <w:tcW w:w="2959" w:type="dxa"/>
            <w:vAlign w:val="center"/>
          </w:tcPr>
          <w:p>
            <w:pPr>
              <w:pStyle w:val="9"/>
              <w:jc w:val="center"/>
            </w:pPr>
            <w:r>
              <w:rPr>
                <w:rFonts w:hint="default" w:ascii="Times New Roman" w:hAnsi="Times New Roman" w:cs="Times New Roman"/>
              </w:rPr>
              <w:t>42.64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21</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二十一、粮油物资储备支出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22</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二十二、国有资本经营预算支出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23</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二十三、灾害防治及应急管理支出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24</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二十四、预备费</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25</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二十五、其他支出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26</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二十六、转移性支出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27</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二十七、债务还本支出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28</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二十八、债务付息支出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29</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二十九、债务发行费用支出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30</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三十、抗疫特别国债安排的支出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31</w:t>
            </w:r>
          </w:p>
        </w:tc>
        <w:tc>
          <w:tcPr>
            <w:tcW w:w="2959" w:type="dxa"/>
            <w:vAlign w:val="center"/>
          </w:tcPr>
          <w:p>
            <w:pPr>
              <w:pStyle w:val="10"/>
            </w:pPr>
            <w:r>
              <w:t>本年收入合计</w:t>
            </w:r>
          </w:p>
        </w:tc>
        <w:tc>
          <w:tcPr>
            <w:tcW w:w="2959"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2959" w:type="dxa"/>
            <w:vAlign w:val="center"/>
          </w:tcPr>
          <w:p>
            <w:pPr>
              <w:pStyle w:val="10"/>
            </w:pPr>
            <w:r>
              <w:t>本年支出合计</w:t>
            </w:r>
          </w:p>
        </w:tc>
        <w:tc>
          <w:tcPr>
            <w:tcW w:w="2959"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32</w:t>
            </w:r>
          </w:p>
        </w:tc>
        <w:tc>
          <w:tcPr>
            <w:tcW w:w="2959" w:type="dxa"/>
            <w:vAlign w:val="center"/>
          </w:tcPr>
          <w:p>
            <w:pPr>
              <w:pStyle w:val="8"/>
            </w:pPr>
            <w:r>
              <w:t>上年结转结余</w:t>
            </w:r>
          </w:p>
        </w:tc>
        <w:tc>
          <w:tcPr>
            <w:tcW w:w="2959" w:type="dxa"/>
            <w:vAlign w:val="center"/>
          </w:tcPr>
          <w:p>
            <w:pPr>
              <w:pStyle w:val="9"/>
              <w:jc w:val="center"/>
              <w:rPr>
                <w:rFonts w:hint="default" w:ascii="Times New Roman" w:hAnsi="Times New Roman" w:cs="Times New Roman"/>
              </w:rPr>
            </w:pPr>
          </w:p>
        </w:tc>
        <w:tc>
          <w:tcPr>
            <w:tcW w:w="2959" w:type="dxa"/>
            <w:vAlign w:val="center"/>
          </w:tcPr>
          <w:p>
            <w:pPr>
              <w:pStyle w:val="8"/>
            </w:pPr>
            <w:r>
              <w:t>年终结转结余</w:t>
            </w:r>
          </w:p>
        </w:tc>
        <w:tc>
          <w:tcPr>
            <w:tcW w:w="2959"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rPr>
                <w:rFonts w:hint="default" w:ascii="Times New Roman" w:hAnsi="Times New Roman" w:cs="Times New Roman"/>
              </w:rPr>
            </w:pPr>
            <w:r>
              <w:rPr>
                <w:rFonts w:hint="default" w:ascii="Times New Roman" w:hAnsi="Times New Roman" w:cs="Times New Roman"/>
              </w:rPr>
              <w:t>33</w:t>
            </w:r>
          </w:p>
        </w:tc>
        <w:tc>
          <w:tcPr>
            <w:tcW w:w="2959" w:type="dxa"/>
            <w:vAlign w:val="center"/>
          </w:tcPr>
          <w:p>
            <w:pPr>
              <w:pStyle w:val="10"/>
            </w:pPr>
            <w:r>
              <w:t>收入总计</w:t>
            </w:r>
          </w:p>
        </w:tc>
        <w:tc>
          <w:tcPr>
            <w:tcW w:w="2959"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2959" w:type="dxa"/>
            <w:vAlign w:val="center"/>
          </w:tcPr>
          <w:p>
            <w:pPr>
              <w:pStyle w:val="10"/>
            </w:pPr>
            <w:r>
              <w:t>支出总计</w:t>
            </w:r>
          </w:p>
        </w:tc>
        <w:tc>
          <w:tcPr>
            <w:tcW w:w="2959"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49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gridCol w:w="1147"/>
        <w:gridCol w:w="1147"/>
        <w:gridCol w:w="1147"/>
        <w:gridCol w:w="1147"/>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4960" w:type="dxa"/>
            <w:gridSpan w:val="13"/>
            <w:tcBorders>
              <w:top w:val="single" w:color="FFFFFF" w:sz="6" w:space="0"/>
              <w:left w:val="single" w:color="FFFFFF" w:sz="6" w:space="0"/>
              <w:right w:val="single" w:color="FFFFFF" w:sz="6" w:space="0"/>
            </w:tcBorders>
            <w:vAlign w:val="center"/>
          </w:tcPr>
          <w:p>
            <w:pPr>
              <w:pStyle w:val="5"/>
            </w:pPr>
            <w:r>
              <w:rPr>
                <w:rFonts w:hint="default" w:ascii="Times New Roman" w:hAnsi="Times New Roman" w:cs="Times New Roma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blHeader/>
          <w:jc w:val="center"/>
        </w:trPr>
        <w:tc>
          <w:tcPr>
            <w:tcW w:w="1147" w:type="dxa"/>
            <w:vMerge w:val="restart"/>
            <w:vAlign w:val="center"/>
          </w:tcPr>
          <w:p>
            <w:pPr>
              <w:pStyle w:val="6"/>
            </w:pPr>
            <w:r>
              <w:t>序号</w:t>
            </w:r>
          </w:p>
        </w:tc>
        <w:tc>
          <w:tcPr>
            <w:tcW w:w="1147" w:type="dxa"/>
            <w:vAlign w:val="center"/>
          </w:tcPr>
          <w:p>
            <w:pPr>
              <w:pStyle w:val="6"/>
            </w:pPr>
            <w:r>
              <w:t>功能分类科目</w:t>
            </w:r>
          </w:p>
        </w:tc>
        <w:tc>
          <w:tcPr>
            <w:tcW w:w="1147" w:type="dxa"/>
          </w:tcPr>
          <w:p/>
        </w:tc>
        <w:tc>
          <w:tcPr>
            <w:tcW w:w="1147" w:type="dxa"/>
            <w:vMerge w:val="restart"/>
            <w:vAlign w:val="center"/>
          </w:tcPr>
          <w:p>
            <w:pPr>
              <w:pStyle w:val="6"/>
            </w:pPr>
            <w:r>
              <w:t>合计</w:t>
            </w:r>
          </w:p>
        </w:tc>
        <w:tc>
          <w:tcPr>
            <w:tcW w:w="1147" w:type="dxa"/>
            <w:vAlign w:val="center"/>
          </w:tcPr>
          <w:p>
            <w:pPr>
              <w:pStyle w:val="6"/>
            </w:pPr>
            <w:r>
              <w:t>本年收入</w:t>
            </w:r>
          </w:p>
        </w:tc>
        <w:tc>
          <w:tcPr>
            <w:tcW w:w="1147" w:type="dxa"/>
          </w:tcPr>
          <w:p/>
        </w:tc>
        <w:tc>
          <w:tcPr>
            <w:tcW w:w="1147" w:type="dxa"/>
          </w:tcPr>
          <w:p/>
        </w:tc>
        <w:tc>
          <w:tcPr>
            <w:tcW w:w="1147" w:type="dxa"/>
          </w:tcPr>
          <w:p/>
        </w:tc>
        <w:tc>
          <w:tcPr>
            <w:tcW w:w="1147" w:type="dxa"/>
          </w:tcPr>
          <w:p/>
        </w:tc>
        <w:tc>
          <w:tcPr>
            <w:tcW w:w="1147" w:type="dxa"/>
          </w:tcPr>
          <w:p/>
        </w:tc>
        <w:tc>
          <w:tcPr>
            <w:tcW w:w="1147" w:type="dxa"/>
          </w:tcPr>
          <w:p/>
        </w:tc>
        <w:tc>
          <w:tcPr>
            <w:tcW w:w="1147" w:type="dxa"/>
          </w:tcPr>
          <w:p/>
        </w:tc>
        <w:tc>
          <w:tcPr>
            <w:tcW w:w="1196" w:type="dxa"/>
            <w:vMerge w:val="restart"/>
            <w:vAlign w:val="center"/>
          </w:tcPr>
          <w:p>
            <w:pPr>
              <w:pStyle w:val="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tblHeader/>
          <w:jc w:val="center"/>
        </w:trPr>
        <w:tc>
          <w:tcPr>
            <w:tcW w:w="1147" w:type="dxa"/>
            <w:vMerge w:val="continue"/>
          </w:tcPr>
          <w:p/>
        </w:tc>
        <w:tc>
          <w:tcPr>
            <w:tcW w:w="1147" w:type="dxa"/>
            <w:vAlign w:val="center"/>
          </w:tcPr>
          <w:p>
            <w:pPr>
              <w:pStyle w:val="6"/>
            </w:pPr>
            <w:r>
              <w:t>科目    编码</w:t>
            </w:r>
          </w:p>
        </w:tc>
        <w:tc>
          <w:tcPr>
            <w:tcW w:w="1147" w:type="dxa"/>
            <w:vAlign w:val="center"/>
          </w:tcPr>
          <w:p>
            <w:pPr>
              <w:pStyle w:val="6"/>
            </w:pPr>
            <w:r>
              <w:t>科目名称</w:t>
            </w:r>
          </w:p>
        </w:tc>
        <w:tc>
          <w:tcPr>
            <w:tcW w:w="1147" w:type="dxa"/>
            <w:vMerge w:val="continue"/>
          </w:tcPr>
          <w:p/>
        </w:tc>
        <w:tc>
          <w:tcPr>
            <w:tcW w:w="1147" w:type="dxa"/>
            <w:vAlign w:val="center"/>
          </w:tcPr>
          <w:p>
            <w:pPr>
              <w:pStyle w:val="6"/>
            </w:pPr>
            <w:r>
              <w:t>小计</w:t>
            </w:r>
          </w:p>
        </w:tc>
        <w:tc>
          <w:tcPr>
            <w:tcW w:w="1147" w:type="dxa"/>
            <w:vAlign w:val="center"/>
          </w:tcPr>
          <w:p>
            <w:pPr>
              <w:pStyle w:val="6"/>
            </w:pPr>
            <w:r>
              <w:t>财政拨款 收入</w:t>
            </w:r>
          </w:p>
        </w:tc>
        <w:tc>
          <w:tcPr>
            <w:tcW w:w="1147" w:type="dxa"/>
            <w:vAlign w:val="center"/>
          </w:tcPr>
          <w:p>
            <w:pPr>
              <w:pStyle w:val="6"/>
            </w:pPr>
            <w:r>
              <w:t>财政专户 收入</w:t>
            </w:r>
          </w:p>
        </w:tc>
        <w:tc>
          <w:tcPr>
            <w:tcW w:w="1147" w:type="dxa"/>
            <w:vAlign w:val="center"/>
          </w:tcPr>
          <w:p>
            <w:pPr>
              <w:pStyle w:val="6"/>
            </w:pPr>
            <w:r>
              <w:t>事业收入</w:t>
            </w:r>
          </w:p>
        </w:tc>
        <w:tc>
          <w:tcPr>
            <w:tcW w:w="1147" w:type="dxa"/>
            <w:vAlign w:val="center"/>
          </w:tcPr>
          <w:p>
            <w:pPr>
              <w:pStyle w:val="6"/>
            </w:pPr>
            <w:r>
              <w:t>经营收入</w:t>
            </w:r>
          </w:p>
        </w:tc>
        <w:tc>
          <w:tcPr>
            <w:tcW w:w="1147" w:type="dxa"/>
            <w:vAlign w:val="center"/>
          </w:tcPr>
          <w:p>
            <w:pPr>
              <w:pStyle w:val="6"/>
            </w:pPr>
            <w:r>
              <w:t>上级补助收入</w:t>
            </w:r>
          </w:p>
        </w:tc>
        <w:tc>
          <w:tcPr>
            <w:tcW w:w="1147" w:type="dxa"/>
            <w:vAlign w:val="center"/>
          </w:tcPr>
          <w:p>
            <w:pPr>
              <w:pStyle w:val="6"/>
            </w:pPr>
            <w:r>
              <w:t>附属单位上缴收入</w:t>
            </w:r>
          </w:p>
        </w:tc>
        <w:tc>
          <w:tcPr>
            <w:tcW w:w="1147" w:type="dxa"/>
            <w:vAlign w:val="center"/>
          </w:tcPr>
          <w:p>
            <w:pPr>
              <w:pStyle w:val="6"/>
            </w:pPr>
            <w:r>
              <w:t>其他收入</w:t>
            </w:r>
          </w:p>
        </w:tc>
        <w:tc>
          <w:tcPr>
            <w:tcW w:w="11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147" w:type="dxa"/>
            <w:vAlign w:val="center"/>
          </w:tcPr>
          <w:p>
            <w:pPr>
              <w:pStyle w:val="6"/>
            </w:pPr>
            <w:r>
              <w:t>栏次</w:t>
            </w:r>
          </w:p>
        </w:tc>
        <w:tc>
          <w:tcPr>
            <w:tcW w:w="1147" w:type="dxa"/>
            <w:vAlign w:val="center"/>
          </w:tcPr>
          <w:p>
            <w:pPr>
              <w:pStyle w:val="6"/>
            </w:pPr>
            <w:r>
              <w:t>1</w:t>
            </w:r>
          </w:p>
        </w:tc>
        <w:tc>
          <w:tcPr>
            <w:tcW w:w="1147" w:type="dxa"/>
            <w:vAlign w:val="center"/>
          </w:tcPr>
          <w:p>
            <w:pPr>
              <w:pStyle w:val="6"/>
            </w:pPr>
            <w:r>
              <w:t>2</w:t>
            </w:r>
          </w:p>
        </w:tc>
        <w:tc>
          <w:tcPr>
            <w:tcW w:w="1147" w:type="dxa"/>
            <w:vAlign w:val="center"/>
          </w:tcPr>
          <w:p>
            <w:pPr>
              <w:pStyle w:val="6"/>
            </w:pPr>
            <w:r>
              <w:t>3</w:t>
            </w:r>
          </w:p>
        </w:tc>
        <w:tc>
          <w:tcPr>
            <w:tcW w:w="1147" w:type="dxa"/>
            <w:vAlign w:val="center"/>
          </w:tcPr>
          <w:p>
            <w:pPr>
              <w:pStyle w:val="6"/>
            </w:pPr>
            <w:r>
              <w:t>4</w:t>
            </w:r>
          </w:p>
        </w:tc>
        <w:tc>
          <w:tcPr>
            <w:tcW w:w="1147" w:type="dxa"/>
            <w:vAlign w:val="center"/>
          </w:tcPr>
          <w:p>
            <w:pPr>
              <w:pStyle w:val="6"/>
            </w:pPr>
            <w:r>
              <w:t>5</w:t>
            </w:r>
          </w:p>
        </w:tc>
        <w:tc>
          <w:tcPr>
            <w:tcW w:w="1147" w:type="dxa"/>
            <w:vAlign w:val="center"/>
          </w:tcPr>
          <w:p>
            <w:pPr>
              <w:pStyle w:val="6"/>
            </w:pPr>
            <w:r>
              <w:t>6</w:t>
            </w:r>
          </w:p>
        </w:tc>
        <w:tc>
          <w:tcPr>
            <w:tcW w:w="1147" w:type="dxa"/>
            <w:vAlign w:val="center"/>
          </w:tcPr>
          <w:p>
            <w:pPr>
              <w:pStyle w:val="6"/>
            </w:pPr>
            <w:r>
              <w:t>7</w:t>
            </w:r>
          </w:p>
        </w:tc>
        <w:tc>
          <w:tcPr>
            <w:tcW w:w="1147" w:type="dxa"/>
            <w:vAlign w:val="center"/>
          </w:tcPr>
          <w:p>
            <w:pPr>
              <w:pStyle w:val="6"/>
            </w:pPr>
            <w:r>
              <w:t>8</w:t>
            </w:r>
          </w:p>
        </w:tc>
        <w:tc>
          <w:tcPr>
            <w:tcW w:w="1147" w:type="dxa"/>
            <w:vAlign w:val="center"/>
          </w:tcPr>
          <w:p>
            <w:pPr>
              <w:pStyle w:val="6"/>
            </w:pPr>
            <w:r>
              <w:t>9</w:t>
            </w:r>
          </w:p>
        </w:tc>
        <w:tc>
          <w:tcPr>
            <w:tcW w:w="1147" w:type="dxa"/>
            <w:vAlign w:val="center"/>
          </w:tcPr>
          <w:p>
            <w:pPr>
              <w:pStyle w:val="6"/>
            </w:pPr>
            <w:r>
              <w:t>10</w:t>
            </w:r>
          </w:p>
        </w:tc>
        <w:tc>
          <w:tcPr>
            <w:tcW w:w="1147" w:type="dxa"/>
            <w:vAlign w:val="center"/>
          </w:tcPr>
          <w:p>
            <w:pPr>
              <w:pStyle w:val="6"/>
            </w:pPr>
            <w:r>
              <w:t>11</w:t>
            </w:r>
          </w:p>
        </w:tc>
        <w:tc>
          <w:tcPr>
            <w:tcW w:w="1196" w:type="dxa"/>
            <w:vAlign w:val="center"/>
          </w:tcPr>
          <w:p>
            <w:pPr>
              <w:pStyle w:val="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w:t>
            </w:r>
          </w:p>
        </w:tc>
        <w:tc>
          <w:tcPr>
            <w:tcW w:w="1147" w:type="dxa"/>
            <w:vAlign w:val="center"/>
          </w:tcPr>
          <w:p>
            <w:pPr>
              <w:pStyle w:val="12"/>
              <w:jc w:val="center"/>
              <w:rPr>
                <w:rFonts w:hint="default" w:ascii="Times New Roman" w:hAnsi="Times New Roman" w:cs="Times New Roman"/>
              </w:rPr>
            </w:pPr>
          </w:p>
        </w:tc>
        <w:tc>
          <w:tcPr>
            <w:tcW w:w="1147" w:type="dxa"/>
            <w:vAlign w:val="center"/>
          </w:tcPr>
          <w:p>
            <w:pPr>
              <w:pStyle w:val="10"/>
            </w:pPr>
            <w:r>
              <w:t>合计</w:t>
            </w:r>
          </w:p>
        </w:tc>
        <w:tc>
          <w:tcPr>
            <w:tcW w:w="1147"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147"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147"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2</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201</w:t>
            </w:r>
          </w:p>
        </w:tc>
        <w:tc>
          <w:tcPr>
            <w:tcW w:w="1147" w:type="dxa"/>
            <w:vAlign w:val="center"/>
          </w:tcPr>
          <w:p>
            <w:pPr>
              <w:pStyle w:val="8"/>
            </w:pPr>
            <w:r>
              <w:t>一般公共服务支出</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678.79</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678.79</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678.79</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3</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20104</w:t>
            </w:r>
          </w:p>
        </w:tc>
        <w:tc>
          <w:tcPr>
            <w:tcW w:w="1147" w:type="dxa"/>
            <w:vAlign w:val="center"/>
          </w:tcPr>
          <w:p>
            <w:pPr>
              <w:pStyle w:val="8"/>
            </w:pPr>
            <w:r>
              <w:t>发展与改革事务</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4</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2010401</w:t>
            </w:r>
          </w:p>
        </w:tc>
        <w:tc>
          <w:tcPr>
            <w:tcW w:w="1147" w:type="dxa"/>
            <w:vAlign w:val="center"/>
          </w:tcPr>
          <w:p>
            <w:pPr>
              <w:pStyle w:val="8"/>
            </w:pPr>
            <w:r>
              <w:t>行政运行</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5</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20105</w:t>
            </w:r>
          </w:p>
        </w:tc>
        <w:tc>
          <w:tcPr>
            <w:tcW w:w="1147" w:type="dxa"/>
            <w:vAlign w:val="center"/>
          </w:tcPr>
          <w:p>
            <w:pPr>
              <w:pStyle w:val="8"/>
            </w:pPr>
            <w:r>
              <w:t>统计信息事务</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6</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2010505</w:t>
            </w:r>
          </w:p>
        </w:tc>
        <w:tc>
          <w:tcPr>
            <w:tcW w:w="1147" w:type="dxa"/>
            <w:vAlign w:val="center"/>
          </w:tcPr>
          <w:p>
            <w:pPr>
              <w:pStyle w:val="8"/>
            </w:pPr>
            <w:r>
              <w:t>专项统计业务</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7</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20113</w:t>
            </w:r>
          </w:p>
        </w:tc>
        <w:tc>
          <w:tcPr>
            <w:tcW w:w="1147" w:type="dxa"/>
            <w:vAlign w:val="center"/>
          </w:tcPr>
          <w:p>
            <w:pPr>
              <w:pStyle w:val="8"/>
            </w:pPr>
            <w:r>
              <w:t>商贸事务</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8</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2011308</w:t>
            </w:r>
          </w:p>
        </w:tc>
        <w:tc>
          <w:tcPr>
            <w:tcW w:w="1147" w:type="dxa"/>
            <w:vAlign w:val="center"/>
          </w:tcPr>
          <w:p>
            <w:pPr>
              <w:pStyle w:val="8"/>
            </w:pPr>
            <w:r>
              <w:t>招商引资</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9</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208</w:t>
            </w:r>
          </w:p>
        </w:tc>
        <w:tc>
          <w:tcPr>
            <w:tcW w:w="1147" w:type="dxa"/>
            <w:vAlign w:val="center"/>
          </w:tcPr>
          <w:p>
            <w:pPr>
              <w:pStyle w:val="8"/>
            </w:pPr>
            <w:r>
              <w:t>社会保障和就业支出</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9"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10</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20805</w:t>
            </w:r>
          </w:p>
        </w:tc>
        <w:tc>
          <w:tcPr>
            <w:tcW w:w="1147" w:type="dxa"/>
            <w:vAlign w:val="center"/>
          </w:tcPr>
          <w:p>
            <w:pPr>
              <w:pStyle w:val="8"/>
            </w:pPr>
            <w:r>
              <w:t>行政事业单位养老支出</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11</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2080501</w:t>
            </w:r>
          </w:p>
        </w:tc>
        <w:tc>
          <w:tcPr>
            <w:tcW w:w="1147" w:type="dxa"/>
            <w:vAlign w:val="center"/>
          </w:tcPr>
          <w:p>
            <w:pPr>
              <w:pStyle w:val="8"/>
            </w:pPr>
            <w:r>
              <w:t>行政单位离退休</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1.73</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1.73</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1.73</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2"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12</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2080505</w:t>
            </w:r>
          </w:p>
        </w:tc>
        <w:tc>
          <w:tcPr>
            <w:tcW w:w="1147" w:type="dxa"/>
            <w:vAlign w:val="center"/>
          </w:tcPr>
          <w:p>
            <w:pPr>
              <w:pStyle w:val="8"/>
            </w:pPr>
            <w:r>
              <w:t>机关事业单位基本养老保险缴费支出</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13</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2080506</w:t>
            </w:r>
          </w:p>
        </w:tc>
        <w:tc>
          <w:tcPr>
            <w:tcW w:w="1147" w:type="dxa"/>
            <w:vAlign w:val="center"/>
          </w:tcPr>
          <w:p>
            <w:pPr>
              <w:pStyle w:val="8"/>
            </w:pPr>
            <w:r>
              <w:t>机关事业单位职业年金缴费支出</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14</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210</w:t>
            </w:r>
          </w:p>
        </w:tc>
        <w:tc>
          <w:tcPr>
            <w:tcW w:w="1147" w:type="dxa"/>
            <w:vAlign w:val="center"/>
          </w:tcPr>
          <w:p>
            <w:pPr>
              <w:pStyle w:val="8"/>
            </w:pPr>
            <w:r>
              <w:t>卫生健康支出</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15</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21011</w:t>
            </w:r>
          </w:p>
        </w:tc>
        <w:tc>
          <w:tcPr>
            <w:tcW w:w="1147" w:type="dxa"/>
            <w:vAlign w:val="center"/>
          </w:tcPr>
          <w:p>
            <w:pPr>
              <w:pStyle w:val="8"/>
            </w:pPr>
            <w:r>
              <w:t>行政事业单位医疗</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16</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2101101</w:t>
            </w:r>
          </w:p>
        </w:tc>
        <w:tc>
          <w:tcPr>
            <w:tcW w:w="1147" w:type="dxa"/>
            <w:vAlign w:val="center"/>
          </w:tcPr>
          <w:p>
            <w:pPr>
              <w:pStyle w:val="8"/>
            </w:pPr>
            <w:r>
              <w:t>行政单位医疗</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17</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221</w:t>
            </w:r>
          </w:p>
        </w:tc>
        <w:tc>
          <w:tcPr>
            <w:tcW w:w="1147" w:type="dxa"/>
            <w:vAlign w:val="center"/>
          </w:tcPr>
          <w:p>
            <w:pPr>
              <w:pStyle w:val="8"/>
            </w:pPr>
            <w:r>
              <w:t>住房保障支出</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18</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22102</w:t>
            </w:r>
          </w:p>
        </w:tc>
        <w:tc>
          <w:tcPr>
            <w:tcW w:w="1147" w:type="dxa"/>
            <w:vAlign w:val="center"/>
          </w:tcPr>
          <w:p>
            <w:pPr>
              <w:pStyle w:val="8"/>
            </w:pPr>
            <w:r>
              <w:t>住房改革支出</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147" w:type="dxa"/>
            <w:vAlign w:val="center"/>
          </w:tcPr>
          <w:p>
            <w:pPr>
              <w:pStyle w:val="7"/>
              <w:jc w:val="center"/>
              <w:rPr>
                <w:rFonts w:hint="default" w:ascii="Times New Roman" w:hAnsi="Times New Roman" w:cs="Times New Roman"/>
              </w:rPr>
            </w:pPr>
            <w:r>
              <w:rPr>
                <w:rFonts w:hint="default" w:ascii="Times New Roman" w:hAnsi="Times New Roman" w:cs="Times New Roman"/>
              </w:rPr>
              <w:t>19</w:t>
            </w:r>
          </w:p>
        </w:tc>
        <w:tc>
          <w:tcPr>
            <w:tcW w:w="1147" w:type="dxa"/>
            <w:vAlign w:val="center"/>
          </w:tcPr>
          <w:p>
            <w:pPr>
              <w:pStyle w:val="8"/>
              <w:jc w:val="center"/>
              <w:rPr>
                <w:rFonts w:hint="default" w:ascii="Times New Roman" w:hAnsi="Times New Roman" w:cs="Times New Roman"/>
              </w:rPr>
            </w:pPr>
            <w:r>
              <w:rPr>
                <w:rFonts w:hint="default" w:ascii="Times New Roman" w:hAnsi="Times New Roman" w:cs="Times New Roman"/>
              </w:rPr>
              <w:t>2210201</w:t>
            </w:r>
          </w:p>
        </w:tc>
        <w:tc>
          <w:tcPr>
            <w:tcW w:w="1147" w:type="dxa"/>
            <w:vAlign w:val="center"/>
          </w:tcPr>
          <w:p>
            <w:pPr>
              <w:pStyle w:val="8"/>
            </w:pPr>
            <w:r>
              <w:t>住房公积金</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47" w:type="dxa"/>
            <w:vAlign w:val="center"/>
          </w:tcPr>
          <w:p>
            <w:pPr>
              <w:pStyle w:val="9"/>
            </w:pPr>
          </w:p>
        </w:tc>
        <w:tc>
          <w:tcPr>
            <w:tcW w:w="1196"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12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339"/>
        <w:gridCol w:w="1339"/>
        <w:gridCol w:w="1339"/>
        <w:gridCol w:w="1339"/>
        <w:gridCol w:w="1339"/>
        <w:gridCol w:w="1339"/>
        <w:gridCol w:w="1339"/>
        <w:gridCol w:w="1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tblHeader/>
          <w:jc w:val="center"/>
        </w:trPr>
        <w:tc>
          <w:tcPr>
            <w:tcW w:w="12060" w:type="dxa"/>
            <w:gridSpan w:val="9"/>
            <w:tcBorders>
              <w:top w:val="single" w:color="FFFFFF" w:sz="6" w:space="0"/>
              <w:left w:val="single" w:color="FFFFFF" w:sz="6" w:space="0"/>
              <w:right w:val="single" w:color="FFFFFF" w:sz="6" w:space="0"/>
            </w:tcBorders>
            <w:vAlign w:val="center"/>
          </w:tcPr>
          <w:p>
            <w:r>
              <w:rPr>
                <w:rFonts w:hint="default" w:ascii="Times New Roman" w:hAnsi="Times New Roman" w:cs="Times New Roma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w:t>
            </w:r>
            <w:r>
              <w:rPr>
                <w:rFonts w:hint="eastAsia" w:cs="Times New Roman"/>
                <w:lang w:val="en-US" w:eastAsia="zh-CN"/>
              </w:rPr>
              <w:t xml:space="preserve">                     </w:t>
            </w:r>
            <w:r>
              <w:rPr>
                <w:rFonts w:hint="eastAsia" w:ascii="Times New Roman" w:hAnsi="Times New Roman" w:cs="Times New Roman"/>
                <w:lang w:val="en-US" w:eastAsia="zh-CN"/>
              </w:rPr>
              <w:t xml:space="preserve">   </w:t>
            </w:r>
            <w:r>
              <w:rPr>
                <w:rFonts w:hint="eastAsia" w:cs="Times New Roman"/>
                <w:lang w:val="en-US" w:eastAsia="zh-CN"/>
              </w:rPr>
              <w:t>单位：万元</w:t>
            </w:r>
            <w:r>
              <w:rPr>
                <w:rFonts w:hint="eastAsia" w:ascii="Times New Roman" w:hAnsi="Times New Roman" w:cs="Times New Roman"/>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1339" w:type="dxa"/>
            <w:vMerge w:val="restart"/>
            <w:vAlign w:val="center"/>
          </w:tcPr>
          <w:p>
            <w:pPr>
              <w:pStyle w:val="6"/>
            </w:pPr>
            <w:r>
              <w:t>序号</w:t>
            </w:r>
          </w:p>
        </w:tc>
        <w:tc>
          <w:tcPr>
            <w:tcW w:w="1339" w:type="dxa"/>
            <w:vAlign w:val="center"/>
          </w:tcPr>
          <w:p>
            <w:pPr>
              <w:pStyle w:val="6"/>
            </w:pPr>
            <w:r>
              <w:t>功能分类科目</w:t>
            </w:r>
          </w:p>
        </w:tc>
        <w:tc>
          <w:tcPr>
            <w:tcW w:w="1339" w:type="dxa"/>
          </w:tcPr>
          <w:p/>
        </w:tc>
        <w:tc>
          <w:tcPr>
            <w:tcW w:w="1339" w:type="dxa"/>
            <w:vMerge w:val="restart"/>
            <w:vAlign w:val="center"/>
          </w:tcPr>
          <w:p>
            <w:pPr>
              <w:pStyle w:val="6"/>
            </w:pPr>
            <w:r>
              <w:t>合计</w:t>
            </w:r>
          </w:p>
        </w:tc>
        <w:tc>
          <w:tcPr>
            <w:tcW w:w="1339" w:type="dxa"/>
            <w:vMerge w:val="restart"/>
            <w:vAlign w:val="center"/>
          </w:tcPr>
          <w:p>
            <w:pPr>
              <w:pStyle w:val="6"/>
            </w:pPr>
            <w:r>
              <w:t>基本支出</w:t>
            </w:r>
          </w:p>
        </w:tc>
        <w:tc>
          <w:tcPr>
            <w:tcW w:w="1339" w:type="dxa"/>
            <w:vMerge w:val="restart"/>
            <w:vAlign w:val="center"/>
          </w:tcPr>
          <w:p>
            <w:pPr>
              <w:pStyle w:val="6"/>
            </w:pPr>
            <w:r>
              <w:t>项目支出</w:t>
            </w:r>
          </w:p>
        </w:tc>
        <w:tc>
          <w:tcPr>
            <w:tcW w:w="1339" w:type="dxa"/>
            <w:vMerge w:val="restart"/>
            <w:vAlign w:val="center"/>
          </w:tcPr>
          <w:p>
            <w:pPr>
              <w:pStyle w:val="6"/>
            </w:pPr>
            <w:r>
              <w:t>经营支出</w:t>
            </w:r>
          </w:p>
        </w:tc>
        <w:tc>
          <w:tcPr>
            <w:tcW w:w="1339" w:type="dxa"/>
            <w:vMerge w:val="restart"/>
            <w:vAlign w:val="center"/>
          </w:tcPr>
          <w:p>
            <w:pPr>
              <w:pStyle w:val="6"/>
            </w:pPr>
            <w:r>
              <w:t>上解上级     支出</w:t>
            </w:r>
          </w:p>
        </w:tc>
        <w:tc>
          <w:tcPr>
            <w:tcW w:w="1348" w:type="dxa"/>
            <w:vMerge w:val="restart"/>
            <w:vAlign w:val="center"/>
          </w:tcPr>
          <w:p>
            <w:pPr>
              <w:pStyle w:val="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1339" w:type="dxa"/>
            <w:vMerge w:val="continue"/>
          </w:tcPr>
          <w:p/>
        </w:tc>
        <w:tc>
          <w:tcPr>
            <w:tcW w:w="1339" w:type="dxa"/>
            <w:vAlign w:val="center"/>
          </w:tcPr>
          <w:p>
            <w:pPr>
              <w:pStyle w:val="6"/>
            </w:pPr>
            <w:r>
              <w:t>科目    编码</w:t>
            </w:r>
          </w:p>
        </w:tc>
        <w:tc>
          <w:tcPr>
            <w:tcW w:w="1339" w:type="dxa"/>
            <w:vAlign w:val="center"/>
          </w:tcPr>
          <w:p>
            <w:pPr>
              <w:pStyle w:val="6"/>
            </w:pPr>
            <w:r>
              <w:t>科目名称</w:t>
            </w:r>
          </w:p>
        </w:tc>
        <w:tc>
          <w:tcPr>
            <w:tcW w:w="1339" w:type="dxa"/>
            <w:vMerge w:val="continue"/>
          </w:tcPr>
          <w:p/>
        </w:tc>
        <w:tc>
          <w:tcPr>
            <w:tcW w:w="1339" w:type="dxa"/>
            <w:vMerge w:val="continue"/>
          </w:tcPr>
          <w:p/>
        </w:tc>
        <w:tc>
          <w:tcPr>
            <w:tcW w:w="1339" w:type="dxa"/>
            <w:vMerge w:val="continue"/>
          </w:tcPr>
          <w:p/>
        </w:tc>
        <w:tc>
          <w:tcPr>
            <w:tcW w:w="1339" w:type="dxa"/>
            <w:vMerge w:val="continue"/>
          </w:tcPr>
          <w:p/>
        </w:tc>
        <w:tc>
          <w:tcPr>
            <w:tcW w:w="1339" w:type="dxa"/>
            <w:vMerge w:val="continue"/>
          </w:tcPr>
          <w:p/>
        </w:tc>
        <w:tc>
          <w:tcPr>
            <w:tcW w:w="13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tblHeader/>
          <w:jc w:val="center"/>
        </w:trPr>
        <w:tc>
          <w:tcPr>
            <w:tcW w:w="1339" w:type="dxa"/>
            <w:vAlign w:val="center"/>
          </w:tcPr>
          <w:p>
            <w:pPr>
              <w:pStyle w:val="6"/>
            </w:pPr>
            <w:r>
              <w:t>栏次</w:t>
            </w:r>
          </w:p>
        </w:tc>
        <w:tc>
          <w:tcPr>
            <w:tcW w:w="1339" w:type="dxa"/>
            <w:vAlign w:val="center"/>
          </w:tcPr>
          <w:p>
            <w:pPr>
              <w:pStyle w:val="6"/>
            </w:pPr>
            <w:r>
              <w:t>1</w:t>
            </w:r>
          </w:p>
        </w:tc>
        <w:tc>
          <w:tcPr>
            <w:tcW w:w="1339" w:type="dxa"/>
            <w:vAlign w:val="center"/>
          </w:tcPr>
          <w:p>
            <w:pPr>
              <w:pStyle w:val="6"/>
            </w:pPr>
            <w:r>
              <w:t>2</w:t>
            </w:r>
          </w:p>
        </w:tc>
        <w:tc>
          <w:tcPr>
            <w:tcW w:w="1339" w:type="dxa"/>
            <w:vAlign w:val="center"/>
          </w:tcPr>
          <w:p>
            <w:pPr>
              <w:pStyle w:val="6"/>
            </w:pPr>
            <w:r>
              <w:t>3</w:t>
            </w:r>
          </w:p>
        </w:tc>
        <w:tc>
          <w:tcPr>
            <w:tcW w:w="1339" w:type="dxa"/>
            <w:vAlign w:val="center"/>
          </w:tcPr>
          <w:p>
            <w:pPr>
              <w:pStyle w:val="6"/>
            </w:pPr>
            <w:r>
              <w:t>4</w:t>
            </w:r>
          </w:p>
        </w:tc>
        <w:tc>
          <w:tcPr>
            <w:tcW w:w="1339" w:type="dxa"/>
            <w:vAlign w:val="center"/>
          </w:tcPr>
          <w:p>
            <w:pPr>
              <w:pStyle w:val="6"/>
            </w:pPr>
            <w:r>
              <w:t>5</w:t>
            </w:r>
          </w:p>
        </w:tc>
        <w:tc>
          <w:tcPr>
            <w:tcW w:w="1339" w:type="dxa"/>
            <w:vAlign w:val="center"/>
          </w:tcPr>
          <w:p>
            <w:pPr>
              <w:pStyle w:val="6"/>
            </w:pPr>
            <w:r>
              <w:t>6</w:t>
            </w:r>
          </w:p>
        </w:tc>
        <w:tc>
          <w:tcPr>
            <w:tcW w:w="1339" w:type="dxa"/>
            <w:vAlign w:val="center"/>
          </w:tcPr>
          <w:p>
            <w:pPr>
              <w:pStyle w:val="6"/>
            </w:pPr>
            <w:r>
              <w:t>7</w:t>
            </w:r>
          </w:p>
        </w:tc>
        <w:tc>
          <w:tcPr>
            <w:tcW w:w="1348" w:type="dxa"/>
            <w:vAlign w:val="center"/>
          </w:tcPr>
          <w:p>
            <w:pPr>
              <w:pStyle w:val="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w:t>
            </w:r>
          </w:p>
        </w:tc>
        <w:tc>
          <w:tcPr>
            <w:tcW w:w="1339" w:type="dxa"/>
            <w:vAlign w:val="center"/>
          </w:tcPr>
          <w:p>
            <w:pPr>
              <w:pStyle w:val="12"/>
              <w:jc w:val="center"/>
              <w:rPr>
                <w:rFonts w:hint="default" w:ascii="Times New Roman" w:hAnsi="Times New Roman" w:cs="Times New Roman"/>
              </w:rPr>
            </w:pPr>
          </w:p>
        </w:tc>
        <w:tc>
          <w:tcPr>
            <w:tcW w:w="1339" w:type="dxa"/>
            <w:vAlign w:val="center"/>
          </w:tcPr>
          <w:p>
            <w:pPr>
              <w:pStyle w:val="10"/>
            </w:pPr>
            <w:r>
              <w:t>合计</w:t>
            </w:r>
          </w:p>
        </w:tc>
        <w:tc>
          <w:tcPr>
            <w:tcW w:w="1339"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339" w:type="dxa"/>
            <w:vAlign w:val="center"/>
          </w:tcPr>
          <w:p>
            <w:pPr>
              <w:pStyle w:val="11"/>
              <w:jc w:val="center"/>
              <w:rPr>
                <w:rFonts w:hint="default" w:ascii="Times New Roman" w:hAnsi="Times New Roman" w:cs="Times New Roman"/>
              </w:rPr>
            </w:pPr>
            <w:r>
              <w:rPr>
                <w:rFonts w:hint="default" w:ascii="Times New Roman" w:hAnsi="Times New Roman" w:cs="Times New Roman"/>
              </w:rPr>
              <w:t>564.20</w:t>
            </w:r>
          </w:p>
        </w:tc>
        <w:tc>
          <w:tcPr>
            <w:tcW w:w="1339" w:type="dxa"/>
            <w:vAlign w:val="center"/>
          </w:tcPr>
          <w:p>
            <w:pPr>
              <w:pStyle w:val="11"/>
              <w:jc w:val="center"/>
              <w:rPr>
                <w:rFonts w:hint="default" w:ascii="Times New Roman" w:hAnsi="Times New Roman" w:cs="Times New Roman"/>
              </w:rPr>
            </w:pPr>
            <w:r>
              <w:rPr>
                <w:rFonts w:hint="default" w:ascii="Times New Roman" w:hAnsi="Times New Roman" w:cs="Times New Roman"/>
              </w:rPr>
              <w:t>261.20</w:t>
            </w:r>
          </w:p>
        </w:tc>
        <w:tc>
          <w:tcPr>
            <w:tcW w:w="1339" w:type="dxa"/>
            <w:vAlign w:val="center"/>
          </w:tcPr>
          <w:p>
            <w:pPr>
              <w:pStyle w:val="11"/>
            </w:pPr>
          </w:p>
        </w:tc>
        <w:tc>
          <w:tcPr>
            <w:tcW w:w="1339" w:type="dxa"/>
            <w:vAlign w:val="center"/>
          </w:tcPr>
          <w:p>
            <w:pPr>
              <w:pStyle w:val="11"/>
            </w:pPr>
          </w:p>
        </w:tc>
        <w:tc>
          <w:tcPr>
            <w:tcW w:w="13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2</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201</w:t>
            </w:r>
          </w:p>
        </w:tc>
        <w:tc>
          <w:tcPr>
            <w:tcW w:w="1339" w:type="dxa"/>
            <w:vAlign w:val="center"/>
          </w:tcPr>
          <w:p>
            <w:pPr>
              <w:pStyle w:val="8"/>
            </w:pPr>
            <w:r>
              <w:t>一般公共服务支出</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678.79</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417.59</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261.20</w:t>
            </w: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3</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20104</w:t>
            </w:r>
          </w:p>
        </w:tc>
        <w:tc>
          <w:tcPr>
            <w:tcW w:w="1339" w:type="dxa"/>
            <w:vAlign w:val="center"/>
          </w:tcPr>
          <w:p>
            <w:pPr>
              <w:pStyle w:val="8"/>
            </w:pPr>
            <w:r>
              <w:t>发展与改革事务</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417.59</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138.00</w:t>
            </w: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4</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2010401</w:t>
            </w:r>
          </w:p>
        </w:tc>
        <w:tc>
          <w:tcPr>
            <w:tcW w:w="1339" w:type="dxa"/>
            <w:vAlign w:val="center"/>
          </w:tcPr>
          <w:p>
            <w:pPr>
              <w:pStyle w:val="8"/>
            </w:pPr>
            <w:r>
              <w:t>行政运行</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417.59</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138.00</w:t>
            </w: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5</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20105</w:t>
            </w:r>
          </w:p>
        </w:tc>
        <w:tc>
          <w:tcPr>
            <w:tcW w:w="1339" w:type="dxa"/>
            <w:vAlign w:val="center"/>
          </w:tcPr>
          <w:p>
            <w:pPr>
              <w:pStyle w:val="8"/>
            </w:pPr>
            <w:r>
              <w:t>统计信息事务</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6</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2010505</w:t>
            </w:r>
          </w:p>
        </w:tc>
        <w:tc>
          <w:tcPr>
            <w:tcW w:w="1339" w:type="dxa"/>
            <w:vAlign w:val="center"/>
          </w:tcPr>
          <w:p>
            <w:pPr>
              <w:pStyle w:val="8"/>
            </w:pPr>
            <w:r>
              <w:t>专项统计业务</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7</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20113</w:t>
            </w:r>
          </w:p>
        </w:tc>
        <w:tc>
          <w:tcPr>
            <w:tcW w:w="1339" w:type="dxa"/>
            <w:vAlign w:val="center"/>
          </w:tcPr>
          <w:p>
            <w:pPr>
              <w:pStyle w:val="8"/>
            </w:pPr>
            <w:r>
              <w:t>商贸事务</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8</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2011308</w:t>
            </w:r>
          </w:p>
        </w:tc>
        <w:tc>
          <w:tcPr>
            <w:tcW w:w="1339" w:type="dxa"/>
            <w:vAlign w:val="center"/>
          </w:tcPr>
          <w:p>
            <w:pPr>
              <w:pStyle w:val="8"/>
            </w:pPr>
            <w:r>
              <w:t>招商引资</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9</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208</w:t>
            </w:r>
          </w:p>
        </w:tc>
        <w:tc>
          <w:tcPr>
            <w:tcW w:w="1339" w:type="dxa"/>
            <w:vAlign w:val="center"/>
          </w:tcPr>
          <w:p>
            <w:pPr>
              <w:pStyle w:val="8"/>
            </w:pPr>
            <w:r>
              <w:t>社会保障和就业支出</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10</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20805</w:t>
            </w:r>
          </w:p>
        </w:tc>
        <w:tc>
          <w:tcPr>
            <w:tcW w:w="1339" w:type="dxa"/>
            <w:vAlign w:val="center"/>
          </w:tcPr>
          <w:p>
            <w:pPr>
              <w:pStyle w:val="8"/>
            </w:pPr>
            <w:r>
              <w:t>行政事业单位养老支出</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11</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2080501</w:t>
            </w:r>
          </w:p>
        </w:tc>
        <w:tc>
          <w:tcPr>
            <w:tcW w:w="1339" w:type="dxa"/>
            <w:vAlign w:val="center"/>
          </w:tcPr>
          <w:p>
            <w:pPr>
              <w:pStyle w:val="8"/>
            </w:pPr>
            <w:r>
              <w:t>行政单位离退休</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1.73</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1.73</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12</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2080505</w:t>
            </w:r>
          </w:p>
        </w:tc>
        <w:tc>
          <w:tcPr>
            <w:tcW w:w="1339" w:type="dxa"/>
            <w:vAlign w:val="center"/>
          </w:tcPr>
          <w:p>
            <w:pPr>
              <w:pStyle w:val="8"/>
            </w:pPr>
            <w:r>
              <w:t>机关事业单位基本养老保险缴费支出</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13</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2080506</w:t>
            </w:r>
          </w:p>
        </w:tc>
        <w:tc>
          <w:tcPr>
            <w:tcW w:w="1339" w:type="dxa"/>
            <w:vAlign w:val="center"/>
          </w:tcPr>
          <w:p>
            <w:pPr>
              <w:pStyle w:val="8"/>
            </w:pPr>
            <w:r>
              <w:t>机关事业单位职业年金缴费支出</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14</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210</w:t>
            </w:r>
          </w:p>
        </w:tc>
        <w:tc>
          <w:tcPr>
            <w:tcW w:w="1339" w:type="dxa"/>
            <w:vAlign w:val="center"/>
          </w:tcPr>
          <w:p>
            <w:pPr>
              <w:pStyle w:val="8"/>
            </w:pPr>
            <w:r>
              <w:t>卫生健康支出</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15</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21011</w:t>
            </w:r>
          </w:p>
        </w:tc>
        <w:tc>
          <w:tcPr>
            <w:tcW w:w="1339" w:type="dxa"/>
            <w:vAlign w:val="center"/>
          </w:tcPr>
          <w:p>
            <w:pPr>
              <w:pStyle w:val="8"/>
            </w:pPr>
            <w:r>
              <w:t>行政事业单位医疗</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16</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2101101</w:t>
            </w:r>
          </w:p>
        </w:tc>
        <w:tc>
          <w:tcPr>
            <w:tcW w:w="1339" w:type="dxa"/>
            <w:vAlign w:val="center"/>
          </w:tcPr>
          <w:p>
            <w:pPr>
              <w:pStyle w:val="8"/>
            </w:pPr>
            <w:r>
              <w:t>行政单位医疗</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17</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221</w:t>
            </w:r>
          </w:p>
        </w:tc>
        <w:tc>
          <w:tcPr>
            <w:tcW w:w="1339" w:type="dxa"/>
            <w:vAlign w:val="center"/>
          </w:tcPr>
          <w:p>
            <w:pPr>
              <w:pStyle w:val="8"/>
            </w:pPr>
            <w:r>
              <w:t>住房保障支出</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18</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22102</w:t>
            </w:r>
          </w:p>
        </w:tc>
        <w:tc>
          <w:tcPr>
            <w:tcW w:w="1339" w:type="dxa"/>
            <w:vAlign w:val="center"/>
          </w:tcPr>
          <w:p>
            <w:pPr>
              <w:pStyle w:val="8"/>
            </w:pPr>
            <w:r>
              <w:t>住房改革支出</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39" w:type="dxa"/>
            <w:vAlign w:val="center"/>
          </w:tcPr>
          <w:p>
            <w:pPr>
              <w:pStyle w:val="7"/>
              <w:jc w:val="center"/>
              <w:rPr>
                <w:rFonts w:hint="default" w:ascii="Times New Roman" w:hAnsi="Times New Roman" w:cs="Times New Roman"/>
              </w:rPr>
            </w:pPr>
            <w:r>
              <w:rPr>
                <w:rFonts w:hint="default" w:ascii="Times New Roman" w:hAnsi="Times New Roman" w:cs="Times New Roman"/>
              </w:rPr>
              <w:t>19</w:t>
            </w:r>
          </w:p>
        </w:tc>
        <w:tc>
          <w:tcPr>
            <w:tcW w:w="1339" w:type="dxa"/>
            <w:vAlign w:val="center"/>
          </w:tcPr>
          <w:p>
            <w:pPr>
              <w:pStyle w:val="8"/>
              <w:jc w:val="center"/>
              <w:rPr>
                <w:rFonts w:hint="default" w:ascii="Times New Roman" w:hAnsi="Times New Roman" w:cs="Times New Roman"/>
              </w:rPr>
            </w:pPr>
            <w:r>
              <w:rPr>
                <w:rFonts w:hint="default" w:ascii="Times New Roman" w:hAnsi="Times New Roman" w:cs="Times New Roman"/>
              </w:rPr>
              <w:t>2210201</w:t>
            </w:r>
          </w:p>
        </w:tc>
        <w:tc>
          <w:tcPr>
            <w:tcW w:w="1339" w:type="dxa"/>
            <w:vAlign w:val="center"/>
          </w:tcPr>
          <w:p>
            <w:pPr>
              <w:pStyle w:val="8"/>
            </w:pPr>
            <w:r>
              <w:t>住房公积金</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339"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339" w:type="dxa"/>
            <w:vAlign w:val="center"/>
          </w:tcPr>
          <w:p>
            <w:pPr>
              <w:pStyle w:val="9"/>
              <w:jc w:val="center"/>
              <w:rPr>
                <w:rFonts w:hint="default" w:ascii="Times New Roman" w:hAnsi="Times New Roman" w:cs="Times New Roman"/>
              </w:rPr>
            </w:pPr>
          </w:p>
        </w:tc>
        <w:tc>
          <w:tcPr>
            <w:tcW w:w="1339" w:type="dxa"/>
            <w:vAlign w:val="center"/>
          </w:tcPr>
          <w:p>
            <w:pPr>
              <w:pStyle w:val="9"/>
            </w:pPr>
          </w:p>
        </w:tc>
        <w:tc>
          <w:tcPr>
            <w:tcW w:w="1339" w:type="dxa"/>
            <w:vAlign w:val="center"/>
          </w:tcPr>
          <w:p>
            <w:pPr>
              <w:pStyle w:val="9"/>
            </w:pPr>
          </w:p>
        </w:tc>
        <w:tc>
          <w:tcPr>
            <w:tcW w:w="1348"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13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6"/>
        <w:gridCol w:w="1746"/>
        <w:gridCol w:w="1746"/>
        <w:gridCol w:w="1746"/>
        <w:gridCol w:w="1746"/>
        <w:gridCol w:w="1746"/>
        <w:gridCol w:w="1746"/>
        <w:gridCol w:w="1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3980" w:type="dxa"/>
            <w:gridSpan w:val="8"/>
            <w:tcBorders>
              <w:top w:val="single" w:color="FFFFFF" w:sz="6" w:space="0"/>
              <w:left w:val="single" w:color="FFFFFF" w:sz="6" w:space="0"/>
              <w:right w:val="single" w:color="FFFFFF" w:sz="6" w:space="0"/>
            </w:tcBorders>
            <w:vAlign w:val="center"/>
          </w:tcPr>
          <w:p>
            <w:pPr>
              <w:pStyle w:val="5"/>
            </w:pPr>
            <w:r>
              <w:rPr>
                <w:rFonts w:hint="default" w:ascii="Times New Roman" w:hAnsi="Times New Roman" w:cs="Times New Roma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1746" w:type="dxa"/>
            <w:vMerge w:val="restart"/>
            <w:vAlign w:val="center"/>
          </w:tcPr>
          <w:p>
            <w:pPr>
              <w:pStyle w:val="6"/>
            </w:pPr>
            <w:r>
              <w:t>序号</w:t>
            </w:r>
          </w:p>
        </w:tc>
        <w:tc>
          <w:tcPr>
            <w:tcW w:w="1746" w:type="dxa"/>
            <w:vAlign w:val="center"/>
          </w:tcPr>
          <w:p>
            <w:pPr>
              <w:pStyle w:val="6"/>
            </w:pPr>
            <w:r>
              <w:t>收入</w:t>
            </w:r>
          </w:p>
        </w:tc>
        <w:tc>
          <w:tcPr>
            <w:tcW w:w="1746" w:type="dxa"/>
          </w:tcPr>
          <w:p/>
        </w:tc>
        <w:tc>
          <w:tcPr>
            <w:tcW w:w="1746" w:type="dxa"/>
            <w:vAlign w:val="center"/>
          </w:tcPr>
          <w:p>
            <w:pPr>
              <w:pStyle w:val="6"/>
            </w:pPr>
            <w:r>
              <w:t>支出</w:t>
            </w:r>
          </w:p>
        </w:tc>
        <w:tc>
          <w:tcPr>
            <w:tcW w:w="1746" w:type="dxa"/>
          </w:tcPr>
          <w:p/>
        </w:tc>
        <w:tc>
          <w:tcPr>
            <w:tcW w:w="1746" w:type="dxa"/>
          </w:tcPr>
          <w:p/>
        </w:tc>
        <w:tc>
          <w:tcPr>
            <w:tcW w:w="1746" w:type="dxa"/>
          </w:tcPr>
          <w:p/>
        </w:tc>
        <w:tc>
          <w:tcPr>
            <w:tcW w:w="1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blHeader/>
          <w:jc w:val="center"/>
        </w:trPr>
        <w:tc>
          <w:tcPr>
            <w:tcW w:w="1746" w:type="dxa"/>
            <w:vMerge w:val="continue"/>
          </w:tcPr>
          <w:p/>
        </w:tc>
        <w:tc>
          <w:tcPr>
            <w:tcW w:w="1746" w:type="dxa"/>
            <w:vAlign w:val="center"/>
          </w:tcPr>
          <w:p>
            <w:pPr>
              <w:pStyle w:val="6"/>
            </w:pPr>
            <w:r>
              <w:t>项  目</w:t>
            </w:r>
          </w:p>
        </w:tc>
        <w:tc>
          <w:tcPr>
            <w:tcW w:w="1746" w:type="dxa"/>
            <w:vAlign w:val="center"/>
          </w:tcPr>
          <w:p>
            <w:pPr>
              <w:pStyle w:val="6"/>
            </w:pPr>
            <w:r>
              <w:t>金额</w:t>
            </w:r>
          </w:p>
        </w:tc>
        <w:tc>
          <w:tcPr>
            <w:tcW w:w="1746" w:type="dxa"/>
            <w:vAlign w:val="center"/>
          </w:tcPr>
          <w:p>
            <w:pPr>
              <w:pStyle w:val="6"/>
            </w:pPr>
            <w:r>
              <w:t>项  目</w:t>
            </w:r>
          </w:p>
        </w:tc>
        <w:tc>
          <w:tcPr>
            <w:tcW w:w="1746" w:type="dxa"/>
            <w:vAlign w:val="center"/>
          </w:tcPr>
          <w:p>
            <w:pPr>
              <w:pStyle w:val="6"/>
            </w:pPr>
            <w:r>
              <w:t>合计</w:t>
            </w:r>
          </w:p>
        </w:tc>
        <w:tc>
          <w:tcPr>
            <w:tcW w:w="1746" w:type="dxa"/>
            <w:vAlign w:val="center"/>
          </w:tcPr>
          <w:p>
            <w:pPr>
              <w:pStyle w:val="6"/>
            </w:pPr>
            <w:r>
              <w:t>一般公共预算财政拨款</w:t>
            </w:r>
          </w:p>
        </w:tc>
        <w:tc>
          <w:tcPr>
            <w:tcW w:w="1746" w:type="dxa"/>
            <w:vAlign w:val="center"/>
          </w:tcPr>
          <w:p>
            <w:pPr>
              <w:pStyle w:val="6"/>
            </w:pPr>
            <w:r>
              <w:t>政府性基金预算财政    拨款</w:t>
            </w:r>
          </w:p>
        </w:tc>
        <w:tc>
          <w:tcPr>
            <w:tcW w:w="1758" w:type="dxa"/>
            <w:vAlign w:val="center"/>
          </w:tcPr>
          <w:p>
            <w:pPr>
              <w:pStyle w:val="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1746" w:type="dxa"/>
            <w:vAlign w:val="center"/>
          </w:tcPr>
          <w:p>
            <w:pPr>
              <w:pStyle w:val="6"/>
            </w:pPr>
            <w:r>
              <w:t>栏次</w:t>
            </w:r>
          </w:p>
        </w:tc>
        <w:tc>
          <w:tcPr>
            <w:tcW w:w="1746" w:type="dxa"/>
            <w:vAlign w:val="center"/>
          </w:tcPr>
          <w:p>
            <w:pPr>
              <w:pStyle w:val="6"/>
            </w:pPr>
            <w:r>
              <w:t>1</w:t>
            </w:r>
          </w:p>
        </w:tc>
        <w:tc>
          <w:tcPr>
            <w:tcW w:w="1746" w:type="dxa"/>
            <w:vAlign w:val="center"/>
          </w:tcPr>
          <w:p>
            <w:pPr>
              <w:pStyle w:val="6"/>
            </w:pPr>
            <w:r>
              <w:t>2</w:t>
            </w:r>
          </w:p>
        </w:tc>
        <w:tc>
          <w:tcPr>
            <w:tcW w:w="1746" w:type="dxa"/>
            <w:vAlign w:val="center"/>
          </w:tcPr>
          <w:p>
            <w:pPr>
              <w:pStyle w:val="6"/>
            </w:pPr>
            <w:r>
              <w:t>3</w:t>
            </w:r>
          </w:p>
        </w:tc>
        <w:tc>
          <w:tcPr>
            <w:tcW w:w="1746" w:type="dxa"/>
            <w:vAlign w:val="center"/>
          </w:tcPr>
          <w:p>
            <w:pPr>
              <w:pStyle w:val="6"/>
            </w:pPr>
            <w:r>
              <w:t>4</w:t>
            </w:r>
          </w:p>
        </w:tc>
        <w:tc>
          <w:tcPr>
            <w:tcW w:w="1746" w:type="dxa"/>
            <w:vAlign w:val="center"/>
          </w:tcPr>
          <w:p>
            <w:pPr>
              <w:pStyle w:val="6"/>
            </w:pPr>
            <w:r>
              <w:t>5</w:t>
            </w:r>
          </w:p>
        </w:tc>
        <w:tc>
          <w:tcPr>
            <w:tcW w:w="1746" w:type="dxa"/>
            <w:vAlign w:val="center"/>
          </w:tcPr>
          <w:p>
            <w:pPr>
              <w:pStyle w:val="6"/>
            </w:pPr>
            <w:r>
              <w:t>6</w:t>
            </w:r>
          </w:p>
        </w:tc>
        <w:tc>
          <w:tcPr>
            <w:tcW w:w="1758" w:type="dxa"/>
            <w:vAlign w:val="center"/>
          </w:tcPr>
          <w:p>
            <w:pPr>
              <w:pStyle w:val="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1746" w:type="dxa"/>
            <w:vAlign w:val="center"/>
          </w:tcPr>
          <w:p>
            <w:pPr>
              <w:pStyle w:val="8"/>
            </w:pPr>
            <w:r>
              <w:t>一、一般公共预算拨款</w:t>
            </w:r>
          </w:p>
        </w:tc>
        <w:tc>
          <w:tcPr>
            <w:tcW w:w="1746" w:type="dxa"/>
            <w:vAlign w:val="center"/>
          </w:tcPr>
          <w:p>
            <w:pPr>
              <w:pStyle w:val="9"/>
              <w:jc w:val="center"/>
            </w:pPr>
            <w:r>
              <w:rPr>
                <w:rFonts w:hint="default" w:ascii="Times New Roman" w:hAnsi="Times New Roman" w:cs="Times New Roman"/>
              </w:rPr>
              <w:t>825.40</w:t>
            </w:r>
          </w:p>
        </w:tc>
        <w:tc>
          <w:tcPr>
            <w:tcW w:w="1746" w:type="dxa"/>
            <w:vAlign w:val="center"/>
          </w:tcPr>
          <w:p>
            <w:pPr>
              <w:pStyle w:val="8"/>
            </w:pPr>
            <w:r>
              <w:t>一、一般公共服务支出</w:t>
            </w:r>
          </w:p>
        </w:tc>
        <w:tc>
          <w:tcPr>
            <w:tcW w:w="1746" w:type="dxa"/>
            <w:vAlign w:val="center"/>
          </w:tcPr>
          <w:p>
            <w:pPr>
              <w:pStyle w:val="9"/>
              <w:jc w:val="center"/>
              <w:rPr>
                <w:rFonts w:hint="default" w:ascii="Times New Roman" w:hAnsi="Times New Roman" w:cs="Times New Roman"/>
              </w:rPr>
            </w:pPr>
            <w:r>
              <w:rPr>
                <w:rFonts w:hint="default" w:ascii="Times New Roman" w:hAnsi="Times New Roman" w:cs="Times New Roman"/>
              </w:rPr>
              <w:t>678.79</w:t>
            </w:r>
          </w:p>
        </w:tc>
        <w:tc>
          <w:tcPr>
            <w:tcW w:w="1746" w:type="dxa"/>
            <w:vAlign w:val="center"/>
          </w:tcPr>
          <w:p>
            <w:pPr>
              <w:pStyle w:val="9"/>
              <w:jc w:val="center"/>
              <w:rPr>
                <w:rFonts w:hint="default" w:ascii="Times New Roman" w:hAnsi="Times New Roman" w:cs="Times New Roman"/>
              </w:rPr>
            </w:pPr>
            <w:r>
              <w:rPr>
                <w:rFonts w:hint="default" w:ascii="Times New Roman" w:hAnsi="Times New Roman" w:cs="Times New Roman"/>
              </w:rPr>
              <w:t>678.79</w:t>
            </w: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1746" w:type="dxa"/>
            <w:vAlign w:val="center"/>
          </w:tcPr>
          <w:p>
            <w:pPr>
              <w:pStyle w:val="8"/>
            </w:pPr>
            <w:r>
              <w:t>二、政府性基金预算拨款</w:t>
            </w:r>
          </w:p>
        </w:tc>
        <w:tc>
          <w:tcPr>
            <w:tcW w:w="1746" w:type="dxa"/>
            <w:vAlign w:val="center"/>
          </w:tcPr>
          <w:p>
            <w:pPr>
              <w:pStyle w:val="9"/>
            </w:pPr>
          </w:p>
        </w:tc>
        <w:tc>
          <w:tcPr>
            <w:tcW w:w="1746" w:type="dxa"/>
            <w:vAlign w:val="center"/>
          </w:tcPr>
          <w:p>
            <w:pPr>
              <w:pStyle w:val="8"/>
            </w:pPr>
            <w:r>
              <w:t>二、外交支出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1746" w:type="dxa"/>
            <w:vAlign w:val="center"/>
          </w:tcPr>
          <w:p>
            <w:pPr>
              <w:pStyle w:val="8"/>
            </w:pPr>
            <w:r>
              <w:t>三、国有资本经营预算拨款</w:t>
            </w:r>
          </w:p>
        </w:tc>
        <w:tc>
          <w:tcPr>
            <w:tcW w:w="1746" w:type="dxa"/>
            <w:vAlign w:val="center"/>
          </w:tcPr>
          <w:p>
            <w:pPr>
              <w:pStyle w:val="9"/>
            </w:pPr>
          </w:p>
        </w:tc>
        <w:tc>
          <w:tcPr>
            <w:tcW w:w="1746" w:type="dxa"/>
            <w:vAlign w:val="center"/>
          </w:tcPr>
          <w:p>
            <w:pPr>
              <w:pStyle w:val="8"/>
            </w:pPr>
            <w:r>
              <w:t>三、国防支出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四、公共安全支出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5</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五、教育支出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6</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六、科学技术支出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7</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七、文化旅游体育与传媒支出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8</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八、社会保障和就业支出</w:t>
            </w:r>
          </w:p>
        </w:tc>
        <w:tc>
          <w:tcPr>
            <w:tcW w:w="1746"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746"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9</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九、社会保险基金支出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10</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十、卫生健康支出</w:t>
            </w:r>
          </w:p>
        </w:tc>
        <w:tc>
          <w:tcPr>
            <w:tcW w:w="1746"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746"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11</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十一、节能环保支出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12</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十二、城乡社区支出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13</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十三、农林水支出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14</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十四、交通运输支出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15</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十五、资源勘探工业信息等支出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16</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十六、商业服务业等支出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17</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十七、金融支出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18</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十八、援助其他地区支出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19</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十九、自然资源海洋气象等支出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20</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二十、住房保障支出</w:t>
            </w:r>
          </w:p>
        </w:tc>
        <w:tc>
          <w:tcPr>
            <w:tcW w:w="1746"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746"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21</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二十一、粮油物资储备支出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22</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二十二、国有资本经营预算支出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23</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二十三、灾害防治及应急管理支出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24</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二十四、预备费</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25</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二十五、其他支出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26</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二十六、转移性支出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27</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二十七、债务还本支出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28</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二十八、债务付息支出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29</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二十九、债务发行费用支出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rPr>
                <w:rFonts w:hint="default" w:ascii="Times New Roman" w:hAnsi="Times New Roman" w:cs="Times New Roman"/>
              </w:rPr>
            </w:pPr>
            <w:r>
              <w:rPr>
                <w:rFonts w:hint="default" w:ascii="Times New Roman" w:hAnsi="Times New Roman" w:cs="Times New Roman"/>
              </w:rPr>
              <w:t>30</w:t>
            </w:r>
          </w:p>
        </w:tc>
        <w:tc>
          <w:tcPr>
            <w:tcW w:w="1746" w:type="dxa"/>
            <w:vAlign w:val="center"/>
          </w:tcPr>
          <w:p>
            <w:pPr>
              <w:pStyle w:val="8"/>
            </w:pPr>
          </w:p>
        </w:tc>
        <w:tc>
          <w:tcPr>
            <w:tcW w:w="1746" w:type="dxa"/>
            <w:vAlign w:val="center"/>
          </w:tcPr>
          <w:p>
            <w:pPr>
              <w:pStyle w:val="9"/>
            </w:pPr>
          </w:p>
        </w:tc>
        <w:tc>
          <w:tcPr>
            <w:tcW w:w="1746" w:type="dxa"/>
            <w:vAlign w:val="center"/>
          </w:tcPr>
          <w:p>
            <w:pPr>
              <w:pStyle w:val="8"/>
            </w:pPr>
            <w:r>
              <w:t>三十、抗疫特别国债安排的支出</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746" w:type="dxa"/>
            <w:vAlign w:val="center"/>
          </w:tcPr>
          <w:p>
            <w:pPr>
              <w:pStyle w:val="7"/>
            </w:pPr>
            <w:r>
              <w:t>31</w:t>
            </w:r>
          </w:p>
        </w:tc>
        <w:tc>
          <w:tcPr>
            <w:tcW w:w="1746" w:type="dxa"/>
            <w:vAlign w:val="center"/>
          </w:tcPr>
          <w:p>
            <w:pPr>
              <w:pStyle w:val="10"/>
            </w:pPr>
            <w:r>
              <w:t>本年收入合计</w:t>
            </w:r>
          </w:p>
        </w:tc>
        <w:tc>
          <w:tcPr>
            <w:tcW w:w="1746" w:type="dxa"/>
            <w:vAlign w:val="center"/>
          </w:tcPr>
          <w:p>
            <w:pPr>
              <w:pStyle w:val="11"/>
              <w:jc w:val="center"/>
              <w:rPr>
                <w:rFonts w:hint="default" w:ascii="Times New Roman" w:hAnsi="Times New Roman" w:eastAsia="方正小标宋简体" w:cs="Times New Roman"/>
              </w:rPr>
            </w:pPr>
            <w:r>
              <w:rPr>
                <w:rFonts w:hint="default" w:ascii="Times New Roman" w:hAnsi="Times New Roman" w:eastAsia="方正小标宋简体" w:cs="Times New Roman"/>
              </w:rPr>
              <w:t>825.40</w:t>
            </w:r>
          </w:p>
        </w:tc>
        <w:tc>
          <w:tcPr>
            <w:tcW w:w="1746" w:type="dxa"/>
            <w:vAlign w:val="center"/>
          </w:tcPr>
          <w:p>
            <w:pPr>
              <w:pStyle w:val="10"/>
            </w:pPr>
            <w:r>
              <w:t>本年支出合计</w:t>
            </w:r>
          </w:p>
        </w:tc>
        <w:tc>
          <w:tcPr>
            <w:tcW w:w="1746"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746"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746" w:type="dxa"/>
            <w:vAlign w:val="center"/>
          </w:tcPr>
          <w:p>
            <w:pPr>
              <w:pStyle w:val="11"/>
            </w:pPr>
          </w:p>
        </w:tc>
        <w:tc>
          <w:tcPr>
            <w:tcW w:w="1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pPr>
            <w:r>
              <w:t>32</w:t>
            </w:r>
          </w:p>
        </w:tc>
        <w:tc>
          <w:tcPr>
            <w:tcW w:w="1746" w:type="dxa"/>
            <w:vAlign w:val="center"/>
          </w:tcPr>
          <w:p>
            <w:pPr>
              <w:pStyle w:val="8"/>
            </w:pPr>
            <w:r>
              <w:t>年初财政拨款结转和结余</w:t>
            </w:r>
          </w:p>
        </w:tc>
        <w:tc>
          <w:tcPr>
            <w:tcW w:w="1746" w:type="dxa"/>
            <w:vAlign w:val="center"/>
          </w:tcPr>
          <w:p>
            <w:pPr>
              <w:pStyle w:val="9"/>
              <w:jc w:val="center"/>
              <w:rPr>
                <w:rFonts w:hint="default" w:ascii="Times New Roman" w:hAnsi="Times New Roman" w:eastAsia="方正小标宋简体" w:cs="Times New Roman"/>
              </w:rPr>
            </w:pPr>
          </w:p>
        </w:tc>
        <w:tc>
          <w:tcPr>
            <w:tcW w:w="1746" w:type="dxa"/>
            <w:vAlign w:val="center"/>
          </w:tcPr>
          <w:p>
            <w:pPr>
              <w:pStyle w:val="8"/>
            </w:pPr>
            <w:r>
              <w:t>年末财政拨款结转和结余</w:t>
            </w: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pPr>
            <w:r>
              <w:t>33</w:t>
            </w:r>
          </w:p>
        </w:tc>
        <w:tc>
          <w:tcPr>
            <w:tcW w:w="1746" w:type="dxa"/>
            <w:vAlign w:val="center"/>
          </w:tcPr>
          <w:p>
            <w:pPr>
              <w:pStyle w:val="8"/>
            </w:pPr>
            <w:r>
              <w:t>一、一般公共预算拨款</w:t>
            </w:r>
          </w:p>
        </w:tc>
        <w:tc>
          <w:tcPr>
            <w:tcW w:w="1746" w:type="dxa"/>
            <w:vAlign w:val="center"/>
          </w:tcPr>
          <w:p>
            <w:pPr>
              <w:pStyle w:val="9"/>
              <w:jc w:val="center"/>
              <w:rPr>
                <w:rFonts w:hint="default" w:ascii="Times New Roman" w:hAnsi="Times New Roman" w:eastAsia="方正小标宋简体" w:cs="Times New Roman"/>
              </w:rPr>
            </w:pPr>
          </w:p>
        </w:tc>
        <w:tc>
          <w:tcPr>
            <w:tcW w:w="1746" w:type="dxa"/>
            <w:vAlign w:val="center"/>
          </w:tcPr>
          <w:p>
            <w:pPr>
              <w:pStyle w:val="8"/>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pPr>
            <w:r>
              <w:t>34</w:t>
            </w:r>
          </w:p>
        </w:tc>
        <w:tc>
          <w:tcPr>
            <w:tcW w:w="1746" w:type="dxa"/>
            <w:vAlign w:val="center"/>
          </w:tcPr>
          <w:p>
            <w:pPr>
              <w:pStyle w:val="8"/>
            </w:pPr>
            <w:r>
              <w:t>二、政府性基金预算拨款</w:t>
            </w:r>
          </w:p>
        </w:tc>
        <w:tc>
          <w:tcPr>
            <w:tcW w:w="1746" w:type="dxa"/>
            <w:vAlign w:val="center"/>
          </w:tcPr>
          <w:p>
            <w:pPr>
              <w:pStyle w:val="9"/>
              <w:jc w:val="center"/>
              <w:rPr>
                <w:rFonts w:hint="default" w:ascii="Times New Roman" w:hAnsi="Times New Roman" w:eastAsia="方正小标宋简体" w:cs="Times New Roman"/>
              </w:rPr>
            </w:pPr>
          </w:p>
        </w:tc>
        <w:tc>
          <w:tcPr>
            <w:tcW w:w="1746" w:type="dxa"/>
            <w:vAlign w:val="center"/>
          </w:tcPr>
          <w:p>
            <w:pPr>
              <w:pStyle w:val="8"/>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746" w:type="dxa"/>
            <w:vAlign w:val="center"/>
          </w:tcPr>
          <w:p>
            <w:pPr>
              <w:pStyle w:val="7"/>
            </w:pPr>
            <w:r>
              <w:t>35</w:t>
            </w:r>
          </w:p>
        </w:tc>
        <w:tc>
          <w:tcPr>
            <w:tcW w:w="1746" w:type="dxa"/>
            <w:vAlign w:val="center"/>
          </w:tcPr>
          <w:p>
            <w:pPr>
              <w:pStyle w:val="8"/>
            </w:pPr>
            <w:r>
              <w:t>三、国有资本经营预算拨款</w:t>
            </w:r>
          </w:p>
        </w:tc>
        <w:tc>
          <w:tcPr>
            <w:tcW w:w="1746" w:type="dxa"/>
            <w:vAlign w:val="center"/>
          </w:tcPr>
          <w:p>
            <w:pPr>
              <w:pStyle w:val="9"/>
              <w:jc w:val="center"/>
              <w:rPr>
                <w:rFonts w:hint="default" w:ascii="Times New Roman" w:hAnsi="Times New Roman" w:eastAsia="方正小标宋简体" w:cs="Times New Roman"/>
              </w:rPr>
            </w:pPr>
          </w:p>
        </w:tc>
        <w:tc>
          <w:tcPr>
            <w:tcW w:w="1746" w:type="dxa"/>
            <w:vAlign w:val="center"/>
          </w:tcPr>
          <w:p>
            <w:pPr>
              <w:pStyle w:val="8"/>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jc w:val="center"/>
              <w:rPr>
                <w:rFonts w:hint="default" w:ascii="Times New Roman" w:hAnsi="Times New Roman" w:cs="Times New Roman"/>
              </w:rPr>
            </w:pPr>
          </w:p>
        </w:tc>
        <w:tc>
          <w:tcPr>
            <w:tcW w:w="1746" w:type="dxa"/>
            <w:vAlign w:val="center"/>
          </w:tcPr>
          <w:p>
            <w:pPr>
              <w:pStyle w:val="9"/>
            </w:pPr>
          </w:p>
        </w:tc>
        <w:tc>
          <w:tcPr>
            <w:tcW w:w="1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746" w:type="dxa"/>
            <w:vAlign w:val="center"/>
          </w:tcPr>
          <w:p>
            <w:pPr>
              <w:pStyle w:val="7"/>
            </w:pPr>
            <w:r>
              <w:t>36</w:t>
            </w:r>
          </w:p>
        </w:tc>
        <w:tc>
          <w:tcPr>
            <w:tcW w:w="1746" w:type="dxa"/>
            <w:vAlign w:val="center"/>
          </w:tcPr>
          <w:p>
            <w:pPr>
              <w:pStyle w:val="10"/>
            </w:pPr>
            <w:r>
              <w:t>收入总计</w:t>
            </w:r>
          </w:p>
        </w:tc>
        <w:tc>
          <w:tcPr>
            <w:tcW w:w="1746" w:type="dxa"/>
            <w:vAlign w:val="center"/>
          </w:tcPr>
          <w:p>
            <w:pPr>
              <w:pStyle w:val="11"/>
              <w:jc w:val="center"/>
              <w:rPr>
                <w:rFonts w:hint="default" w:ascii="Times New Roman" w:hAnsi="Times New Roman" w:eastAsia="方正小标宋简体" w:cs="Times New Roman"/>
              </w:rPr>
            </w:pPr>
            <w:r>
              <w:rPr>
                <w:rFonts w:hint="default" w:ascii="Times New Roman" w:hAnsi="Times New Roman" w:eastAsia="方正小标宋简体" w:cs="Times New Roman"/>
              </w:rPr>
              <w:t>825.40</w:t>
            </w:r>
          </w:p>
        </w:tc>
        <w:tc>
          <w:tcPr>
            <w:tcW w:w="1746" w:type="dxa"/>
            <w:vAlign w:val="center"/>
          </w:tcPr>
          <w:p>
            <w:pPr>
              <w:pStyle w:val="10"/>
            </w:pPr>
            <w:r>
              <w:t>支出总计</w:t>
            </w:r>
          </w:p>
        </w:tc>
        <w:tc>
          <w:tcPr>
            <w:tcW w:w="1746"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746"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746" w:type="dxa"/>
            <w:vAlign w:val="center"/>
          </w:tcPr>
          <w:p>
            <w:pPr>
              <w:pStyle w:val="11"/>
            </w:pPr>
          </w:p>
        </w:tc>
        <w:tc>
          <w:tcPr>
            <w:tcW w:w="1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5"/>
            </w:pPr>
            <w:r>
              <w:rPr>
                <w:rFonts w:hint="default" w:ascii="Times New Roman" w:hAnsi="Times New Roman" w:cs="Times New Roman"/>
                <w:lang w:val="en-US" w:eastAsia="zh-C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6"/>
            </w:pPr>
            <w:r>
              <w:t>序号</w:t>
            </w:r>
          </w:p>
        </w:tc>
        <w:tc>
          <w:tcPr>
            <w:tcW w:w="1643" w:type="dxa"/>
            <w:vAlign w:val="center"/>
          </w:tcPr>
          <w:p>
            <w:pPr>
              <w:pStyle w:val="6"/>
            </w:pPr>
            <w:r>
              <w:t>功能分类科目</w:t>
            </w:r>
          </w:p>
        </w:tc>
        <w:tc>
          <w:tcPr>
            <w:tcW w:w="1643" w:type="dxa"/>
          </w:tcPr>
          <w:p/>
        </w:tc>
        <w:tc>
          <w:tcPr>
            <w:tcW w:w="1643" w:type="dxa"/>
            <w:vMerge w:val="restart"/>
            <w:vAlign w:val="center"/>
          </w:tcPr>
          <w:p>
            <w:pPr>
              <w:pStyle w:val="6"/>
            </w:pPr>
            <w:r>
              <w:t>合计</w:t>
            </w:r>
          </w:p>
        </w:tc>
        <w:tc>
          <w:tcPr>
            <w:tcW w:w="1643" w:type="dxa"/>
            <w:vMerge w:val="restart"/>
            <w:vAlign w:val="center"/>
          </w:tcPr>
          <w:p>
            <w:pPr>
              <w:pStyle w:val="6"/>
            </w:pPr>
            <w:r>
              <w:t>基本支出</w:t>
            </w:r>
          </w:p>
        </w:tc>
        <w:tc>
          <w:tcPr>
            <w:tcW w:w="1643" w:type="dxa"/>
            <w:vMerge w:val="restart"/>
            <w:vAlign w:val="center"/>
          </w:tcPr>
          <w:p>
            <w:pPr>
              <w:pStyle w:val="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6"/>
            </w:pPr>
            <w:r>
              <w:t>科目编码</w:t>
            </w:r>
          </w:p>
        </w:tc>
        <w:tc>
          <w:tcPr>
            <w:tcW w:w="1643" w:type="dxa"/>
            <w:vAlign w:val="center"/>
          </w:tcPr>
          <w:p>
            <w:pPr>
              <w:pStyle w:val="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12"/>
              <w:jc w:val="center"/>
              <w:rPr>
                <w:rFonts w:hint="default" w:ascii="Times New Roman" w:hAnsi="Times New Roman" w:cs="Times New Roman"/>
              </w:rPr>
            </w:pPr>
          </w:p>
        </w:tc>
        <w:tc>
          <w:tcPr>
            <w:tcW w:w="1643" w:type="dxa"/>
            <w:vAlign w:val="center"/>
          </w:tcPr>
          <w:p>
            <w:pPr>
              <w:pStyle w:val="10"/>
            </w:pPr>
            <w:r>
              <w:t>合计</w:t>
            </w:r>
          </w:p>
        </w:tc>
        <w:tc>
          <w:tcPr>
            <w:tcW w:w="1643" w:type="dxa"/>
            <w:vAlign w:val="center"/>
          </w:tcPr>
          <w:p>
            <w:pPr>
              <w:pStyle w:val="11"/>
              <w:jc w:val="center"/>
              <w:rPr>
                <w:rFonts w:hint="default" w:ascii="Times New Roman" w:hAnsi="Times New Roman" w:cs="Times New Roman"/>
              </w:rPr>
            </w:pPr>
            <w:r>
              <w:rPr>
                <w:rFonts w:hint="default" w:ascii="Times New Roman" w:hAnsi="Times New Roman" w:cs="Times New Roman"/>
              </w:rPr>
              <w:t>825.40</w:t>
            </w:r>
          </w:p>
        </w:tc>
        <w:tc>
          <w:tcPr>
            <w:tcW w:w="1643" w:type="dxa"/>
            <w:vAlign w:val="center"/>
          </w:tcPr>
          <w:p>
            <w:pPr>
              <w:pStyle w:val="11"/>
              <w:jc w:val="center"/>
              <w:rPr>
                <w:rFonts w:hint="default" w:ascii="Times New Roman" w:hAnsi="Times New Roman" w:cs="Times New Roman"/>
              </w:rPr>
            </w:pPr>
            <w:r>
              <w:rPr>
                <w:rFonts w:hint="default" w:ascii="Times New Roman" w:hAnsi="Times New Roman" w:cs="Times New Roman"/>
              </w:rPr>
              <w:t>564.20</w:t>
            </w:r>
          </w:p>
        </w:tc>
        <w:tc>
          <w:tcPr>
            <w:tcW w:w="1643" w:type="dxa"/>
            <w:vAlign w:val="center"/>
          </w:tcPr>
          <w:p>
            <w:pPr>
              <w:pStyle w:val="11"/>
              <w:jc w:val="center"/>
              <w:rPr>
                <w:rFonts w:hint="default" w:ascii="Times New Roman" w:hAnsi="Times New Roman" w:cs="Times New Roman"/>
              </w:rPr>
            </w:pPr>
            <w:r>
              <w:rPr>
                <w:rFonts w:hint="default" w:ascii="Times New Roman" w:hAnsi="Times New Roman" w:cs="Times New Roman"/>
              </w:rPr>
              <w:t>261.20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201</w:t>
            </w:r>
          </w:p>
        </w:tc>
        <w:tc>
          <w:tcPr>
            <w:tcW w:w="1643" w:type="dxa"/>
            <w:vAlign w:val="center"/>
          </w:tcPr>
          <w:p>
            <w:pPr>
              <w:pStyle w:val="8"/>
            </w:pPr>
            <w:r>
              <w:t>一般公共服务支出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678.79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417.59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3</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20104</w:t>
            </w:r>
          </w:p>
        </w:tc>
        <w:tc>
          <w:tcPr>
            <w:tcW w:w="1643" w:type="dxa"/>
            <w:vAlign w:val="center"/>
          </w:tcPr>
          <w:p>
            <w:pPr>
              <w:pStyle w:val="8"/>
            </w:pPr>
            <w:r>
              <w:t>发展与改革事务</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417.59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2010401</w:t>
            </w:r>
          </w:p>
        </w:tc>
        <w:tc>
          <w:tcPr>
            <w:tcW w:w="1643" w:type="dxa"/>
            <w:vAlign w:val="center"/>
          </w:tcPr>
          <w:p>
            <w:pPr>
              <w:pStyle w:val="8"/>
            </w:pPr>
            <w:r>
              <w:t>行政运行</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555.59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417.59</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5</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20105</w:t>
            </w:r>
          </w:p>
        </w:tc>
        <w:tc>
          <w:tcPr>
            <w:tcW w:w="1643" w:type="dxa"/>
            <w:vAlign w:val="center"/>
          </w:tcPr>
          <w:p>
            <w:pPr>
              <w:pStyle w:val="8"/>
            </w:pPr>
            <w:r>
              <w:t>统计信息事务</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6</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2010505</w:t>
            </w:r>
          </w:p>
        </w:tc>
        <w:tc>
          <w:tcPr>
            <w:tcW w:w="1643" w:type="dxa"/>
            <w:vAlign w:val="center"/>
          </w:tcPr>
          <w:p>
            <w:pPr>
              <w:pStyle w:val="8"/>
            </w:pPr>
            <w:r>
              <w:t>专项统计业务</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7</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20113</w:t>
            </w:r>
          </w:p>
        </w:tc>
        <w:tc>
          <w:tcPr>
            <w:tcW w:w="1643" w:type="dxa"/>
            <w:vAlign w:val="center"/>
          </w:tcPr>
          <w:p>
            <w:pPr>
              <w:pStyle w:val="8"/>
            </w:pPr>
            <w:r>
              <w:t>商贸事务</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8</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2011308</w:t>
            </w:r>
          </w:p>
        </w:tc>
        <w:tc>
          <w:tcPr>
            <w:tcW w:w="1643" w:type="dxa"/>
            <w:vAlign w:val="center"/>
          </w:tcPr>
          <w:p>
            <w:pPr>
              <w:pStyle w:val="8"/>
            </w:pPr>
            <w:r>
              <w:t>招商引资</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9</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208</w:t>
            </w:r>
          </w:p>
        </w:tc>
        <w:tc>
          <w:tcPr>
            <w:tcW w:w="1643" w:type="dxa"/>
            <w:vAlign w:val="center"/>
          </w:tcPr>
          <w:p>
            <w:pPr>
              <w:pStyle w:val="8"/>
            </w:pPr>
            <w:r>
              <w:t>社会保障和就业支出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10</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20805</w:t>
            </w:r>
          </w:p>
        </w:tc>
        <w:tc>
          <w:tcPr>
            <w:tcW w:w="1643" w:type="dxa"/>
            <w:vAlign w:val="center"/>
          </w:tcPr>
          <w:p>
            <w:pPr>
              <w:pStyle w:val="8"/>
            </w:pPr>
            <w:r>
              <w:t>行政事业单位养老支出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58.54</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11</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2080501</w:t>
            </w:r>
          </w:p>
        </w:tc>
        <w:tc>
          <w:tcPr>
            <w:tcW w:w="1643" w:type="dxa"/>
            <w:vAlign w:val="center"/>
          </w:tcPr>
          <w:p>
            <w:pPr>
              <w:pStyle w:val="8"/>
            </w:pPr>
            <w:r>
              <w:t>行政单位离退休</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1.73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1.73</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12</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2080505</w:t>
            </w:r>
          </w:p>
        </w:tc>
        <w:tc>
          <w:tcPr>
            <w:tcW w:w="1643" w:type="dxa"/>
            <w:vAlign w:val="center"/>
          </w:tcPr>
          <w:p>
            <w:pPr>
              <w:pStyle w:val="8"/>
            </w:pPr>
            <w:r>
              <w:t>机关事业单位基本养老保险缴费支出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13</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2080506</w:t>
            </w:r>
          </w:p>
        </w:tc>
        <w:tc>
          <w:tcPr>
            <w:tcW w:w="1643" w:type="dxa"/>
            <w:vAlign w:val="center"/>
          </w:tcPr>
          <w:p>
            <w:pPr>
              <w:pStyle w:val="8"/>
            </w:pPr>
            <w:r>
              <w:t>机关事业单位职业年金缴费支出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14</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210</w:t>
            </w:r>
          </w:p>
        </w:tc>
        <w:tc>
          <w:tcPr>
            <w:tcW w:w="1643" w:type="dxa"/>
            <w:vAlign w:val="center"/>
          </w:tcPr>
          <w:p>
            <w:pPr>
              <w:pStyle w:val="8"/>
            </w:pPr>
            <w:r>
              <w:t>卫生健康支出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15</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21011</w:t>
            </w:r>
          </w:p>
        </w:tc>
        <w:tc>
          <w:tcPr>
            <w:tcW w:w="1643" w:type="dxa"/>
            <w:vAlign w:val="center"/>
          </w:tcPr>
          <w:p>
            <w:pPr>
              <w:pStyle w:val="8"/>
            </w:pPr>
            <w:r>
              <w:t>行政事业单位医疗</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16</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2101101</w:t>
            </w:r>
          </w:p>
        </w:tc>
        <w:tc>
          <w:tcPr>
            <w:tcW w:w="1643" w:type="dxa"/>
            <w:vAlign w:val="center"/>
          </w:tcPr>
          <w:p>
            <w:pPr>
              <w:pStyle w:val="8"/>
            </w:pPr>
            <w:r>
              <w:t>行政单位医疗</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17</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221</w:t>
            </w:r>
          </w:p>
        </w:tc>
        <w:tc>
          <w:tcPr>
            <w:tcW w:w="1643" w:type="dxa"/>
            <w:vAlign w:val="center"/>
          </w:tcPr>
          <w:p>
            <w:pPr>
              <w:pStyle w:val="8"/>
            </w:pPr>
            <w:r>
              <w:t>住房保障支出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18</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22102</w:t>
            </w:r>
          </w:p>
        </w:tc>
        <w:tc>
          <w:tcPr>
            <w:tcW w:w="1643" w:type="dxa"/>
            <w:vAlign w:val="center"/>
          </w:tcPr>
          <w:p>
            <w:pPr>
              <w:pStyle w:val="8"/>
            </w:pPr>
            <w:r>
              <w:t>住房改革支出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19</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2210201</w:t>
            </w:r>
          </w:p>
        </w:tc>
        <w:tc>
          <w:tcPr>
            <w:tcW w:w="1643" w:type="dxa"/>
            <w:vAlign w:val="center"/>
          </w:tcPr>
          <w:p>
            <w:pPr>
              <w:pStyle w:val="8"/>
            </w:pPr>
            <w:r>
              <w:t>住房公积金</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643" w:type="dxa"/>
            <w:vAlign w:val="center"/>
          </w:tcPr>
          <w:p>
            <w:pPr>
              <w:pStyle w:val="9"/>
              <w:jc w:val="center"/>
              <w:rPr>
                <w:rFonts w:hint="default" w:ascii="Times New Roman" w:hAnsi="Times New Roman" w:cs="Times New Roma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5"/>
            </w:pPr>
            <w:r>
              <w:rPr>
                <w:rFonts w:hint="default" w:ascii="Times New Roman" w:hAnsi="Times New Roman" w:cs="Times New Roma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6"/>
            </w:pPr>
            <w:r>
              <w:t>序号</w:t>
            </w:r>
          </w:p>
        </w:tc>
        <w:tc>
          <w:tcPr>
            <w:tcW w:w="1643" w:type="dxa"/>
            <w:vAlign w:val="center"/>
          </w:tcPr>
          <w:p>
            <w:pPr>
              <w:pStyle w:val="6"/>
            </w:pPr>
            <w:r>
              <w:t>支出部门经济分类科目</w:t>
            </w:r>
          </w:p>
        </w:tc>
        <w:tc>
          <w:tcPr>
            <w:tcW w:w="1643" w:type="dxa"/>
          </w:tcPr>
          <w:p/>
        </w:tc>
        <w:tc>
          <w:tcPr>
            <w:tcW w:w="1643" w:type="dxa"/>
            <w:vAlign w:val="center"/>
          </w:tcPr>
          <w:p>
            <w:pPr>
              <w:pStyle w:val="6"/>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6"/>
            </w:pPr>
            <w:r>
              <w:t>科目编码</w:t>
            </w:r>
          </w:p>
        </w:tc>
        <w:tc>
          <w:tcPr>
            <w:tcW w:w="1643" w:type="dxa"/>
            <w:vAlign w:val="center"/>
          </w:tcPr>
          <w:p>
            <w:pPr>
              <w:pStyle w:val="6"/>
            </w:pPr>
            <w:r>
              <w:t>科目名称</w:t>
            </w:r>
          </w:p>
        </w:tc>
        <w:tc>
          <w:tcPr>
            <w:tcW w:w="1643" w:type="dxa"/>
            <w:vAlign w:val="center"/>
          </w:tcPr>
          <w:p>
            <w:pPr>
              <w:pStyle w:val="6"/>
            </w:pPr>
            <w:r>
              <w:t>合计</w:t>
            </w:r>
          </w:p>
        </w:tc>
        <w:tc>
          <w:tcPr>
            <w:tcW w:w="1643" w:type="dxa"/>
            <w:vAlign w:val="center"/>
          </w:tcPr>
          <w:p>
            <w:pPr>
              <w:pStyle w:val="6"/>
            </w:pPr>
            <w:r>
              <w:t>人员经费</w:t>
            </w:r>
          </w:p>
        </w:tc>
        <w:tc>
          <w:tcPr>
            <w:tcW w:w="1643" w:type="dxa"/>
            <w:vAlign w:val="center"/>
          </w:tcPr>
          <w:p>
            <w:pPr>
              <w:pStyle w:val="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w:t>
            </w:r>
          </w:p>
        </w:tc>
        <w:tc>
          <w:tcPr>
            <w:tcW w:w="1643" w:type="dxa"/>
            <w:vAlign w:val="center"/>
          </w:tcPr>
          <w:p>
            <w:pPr>
              <w:pStyle w:val="12"/>
              <w:jc w:val="center"/>
              <w:rPr>
                <w:rFonts w:hint="default" w:ascii="Times New Roman" w:hAnsi="Times New Roman" w:cs="Times New Roman"/>
              </w:rPr>
            </w:pPr>
          </w:p>
        </w:tc>
        <w:tc>
          <w:tcPr>
            <w:tcW w:w="1643" w:type="dxa"/>
            <w:vAlign w:val="center"/>
          </w:tcPr>
          <w:p>
            <w:pPr>
              <w:pStyle w:val="10"/>
            </w:pPr>
            <w:r>
              <w:t>合计</w:t>
            </w:r>
          </w:p>
        </w:tc>
        <w:tc>
          <w:tcPr>
            <w:tcW w:w="1643" w:type="dxa"/>
            <w:vAlign w:val="center"/>
          </w:tcPr>
          <w:p>
            <w:pPr>
              <w:pStyle w:val="11"/>
              <w:jc w:val="center"/>
              <w:rPr>
                <w:rFonts w:hint="default" w:ascii="Times New Roman" w:hAnsi="Times New Roman" w:cs="Times New Roman"/>
              </w:rPr>
            </w:pPr>
            <w:r>
              <w:rPr>
                <w:rFonts w:hint="default" w:ascii="Times New Roman" w:hAnsi="Times New Roman" w:cs="Times New Roman"/>
              </w:rPr>
              <w:t>564.20</w:t>
            </w:r>
          </w:p>
        </w:tc>
        <w:tc>
          <w:tcPr>
            <w:tcW w:w="1643" w:type="dxa"/>
            <w:vAlign w:val="center"/>
          </w:tcPr>
          <w:p>
            <w:pPr>
              <w:pStyle w:val="11"/>
              <w:jc w:val="center"/>
              <w:rPr>
                <w:rFonts w:hint="default" w:ascii="Times New Roman" w:hAnsi="Times New Roman" w:cs="Times New Roman"/>
              </w:rPr>
            </w:pPr>
            <w:r>
              <w:rPr>
                <w:rFonts w:hint="default" w:ascii="Times New Roman" w:hAnsi="Times New Roman" w:cs="Times New Roman"/>
              </w:rPr>
              <w:t>529.24</w:t>
            </w:r>
          </w:p>
        </w:tc>
        <w:tc>
          <w:tcPr>
            <w:tcW w:w="1643" w:type="dxa"/>
            <w:vAlign w:val="center"/>
          </w:tcPr>
          <w:p>
            <w:pPr>
              <w:pStyle w:val="11"/>
              <w:jc w:val="center"/>
              <w:rPr>
                <w:rFonts w:hint="default" w:ascii="Times New Roman" w:hAnsi="Times New Roman" w:cs="Times New Roman"/>
              </w:rPr>
            </w:pPr>
            <w:r>
              <w:rPr>
                <w:rFonts w:hint="default" w:ascii="Times New Roman" w:hAnsi="Times New Roman" w:cs="Times New Roman"/>
              </w:rPr>
              <w:t>34.96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w:t>
            </w:r>
          </w:p>
        </w:tc>
        <w:tc>
          <w:tcPr>
            <w:tcW w:w="1643" w:type="dxa"/>
            <w:vAlign w:val="center"/>
          </w:tcPr>
          <w:p>
            <w:pPr>
              <w:pStyle w:val="8"/>
            </w:pPr>
            <w:r>
              <w:t>工资福利支出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527.56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527.56</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3</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30101</w:t>
            </w:r>
          </w:p>
        </w:tc>
        <w:tc>
          <w:tcPr>
            <w:tcW w:w="1643" w:type="dxa"/>
            <w:vAlign w:val="center"/>
          </w:tcPr>
          <w:p>
            <w:pPr>
              <w:pStyle w:val="8"/>
            </w:pPr>
            <w:r>
              <w:t>基本工资</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96.71</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96.71</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4</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30102</w:t>
            </w:r>
          </w:p>
        </w:tc>
        <w:tc>
          <w:tcPr>
            <w:tcW w:w="1643" w:type="dxa"/>
            <w:vAlign w:val="center"/>
          </w:tcPr>
          <w:p>
            <w:pPr>
              <w:pStyle w:val="8"/>
            </w:pPr>
            <w:r>
              <w:t>津贴补贴</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44.58</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44.58</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5</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30103</w:t>
            </w:r>
          </w:p>
        </w:tc>
        <w:tc>
          <w:tcPr>
            <w:tcW w:w="1643" w:type="dxa"/>
            <w:vAlign w:val="center"/>
          </w:tcPr>
          <w:p>
            <w:pPr>
              <w:pStyle w:val="8"/>
            </w:pPr>
            <w:r>
              <w:t>奖金</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62.18</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62.18</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6</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30107</w:t>
            </w:r>
          </w:p>
        </w:tc>
        <w:tc>
          <w:tcPr>
            <w:tcW w:w="1643" w:type="dxa"/>
            <w:vAlign w:val="center"/>
          </w:tcPr>
          <w:p>
            <w:pPr>
              <w:pStyle w:val="8"/>
            </w:pPr>
            <w:r>
              <w:t>绩效工资</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175.54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175.54</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7</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30108</w:t>
            </w:r>
          </w:p>
        </w:tc>
        <w:tc>
          <w:tcPr>
            <w:tcW w:w="1643" w:type="dxa"/>
            <w:vAlign w:val="center"/>
          </w:tcPr>
          <w:p>
            <w:pPr>
              <w:pStyle w:val="8"/>
            </w:pPr>
            <w:r>
              <w:t>机关事业单位基本养老保险缴费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53.65</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8</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30109</w:t>
            </w:r>
          </w:p>
        </w:tc>
        <w:tc>
          <w:tcPr>
            <w:tcW w:w="1643" w:type="dxa"/>
            <w:vAlign w:val="center"/>
          </w:tcPr>
          <w:p>
            <w:pPr>
              <w:pStyle w:val="8"/>
            </w:pPr>
            <w:r>
              <w:t>职业年金缴费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3.16</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9</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30110</w:t>
            </w:r>
          </w:p>
        </w:tc>
        <w:tc>
          <w:tcPr>
            <w:tcW w:w="1643" w:type="dxa"/>
            <w:vAlign w:val="center"/>
          </w:tcPr>
          <w:p>
            <w:pPr>
              <w:pStyle w:val="8"/>
            </w:pPr>
            <w:r>
              <w:t>职工基本医疗保险缴费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45.43</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10</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30112</w:t>
            </w:r>
          </w:p>
        </w:tc>
        <w:tc>
          <w:tcPr>
            <w:tcW w:w="1643" w:type="dxa"/>
            <w:vAlign w:val="center"/>
          </w:tcPr>
          <w:p>
            <w:pPr>
              <w:pStyle w:val="8"/>
            </w:pPr>
            <w:r>
              <w:t>其他社会保障缴费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3.67</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3.67</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11</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30113</w:t>
            </w:r>
          </w:p>
        </w:tc>
        <w:tc>
          <w:tcPr>
            <w:tcW w:w="1643" w:type="dxa"/>
            <w:vAlign w:val="center"/>
          </w:tcPr>
          <w:p>
            <w:pPr>
              <w:pStyle w:val="8"/>
            </w:pPr>
            <w:r>
              <w:t>住房公积金</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42.64</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12</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w:t>
            </w:r>
          </w:p>
        </w:tc>
        <w:tc>
          <w:tcPr>
            <w:tcW w:w="1643" w:type="dxa"/>
            <w:vAlign w:val="center"/>
          </w:tcPr>
          <w:p>
            <w:pPr>
              <w:pStyle w:val="8"/>
            </w:pPr>
            <w:r>
              <w:t>商品和服务支出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33.80</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13</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30201</w:t>
            </w:r>
          </w:p>
        </w:tc>
        <w:tc>
          <w:tcPr>
            <w:tcW w:w="1643" w:type="dxa"/>
            <w:vAlign w:val="center"/>
          </w:tcPr>
          <w:p>
            <w:pPr>
              <w:pStyle w:val="8"/>
            </w:pPr>
            <w:r>
              <w:t>办公费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8.70</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14</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30202</w:t>
            </w:r>
          </w:p>
        </w:tc>
        <w:tc>
          <w:tcPr>
            <w:tcW w:w="1643" w:type="dxa"/>
            <w:vAlign w:val="center"/>
          </w:tcPr>
          <w:p>
            <w:pPr>
              <w:pStyle w:val="8"/>
            </w:pPr>
            <w:r>
              <w:t>印刷费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1.16</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15</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30211</w:t>
            </w:r>
          </w:p>
        </w:tc>
        <w:tc>
          <w:tcPr>
            <w:tcW w:w="1643" w:type="dxa"/>
            <w:vAlign w:val="center"/>
          </w:tcPr>
          <w:p>
            <w:pPr>
              <w:pStyle w:val="8"/>
            </w:pPr>
            <w:r>
              <w:t>差旅费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4.64</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16</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30215</w:t>
            </w:r>
          </w:p>
        </w:tc>
        <w:tc>
          <w:tcPr>
            <w:tcW w:w="1643" w:type="dxa"/>
            <w:vAlign w:val="center"/>
          </w:tcPr>
          <w:p>
            <w:pPr>
              <w:pStyle w:val="8"/>
            </w:pPr>
            <w:r>
              <w:t>会议费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2.40</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17</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30216</w:t>
            </w:r>
          </w:p>
        </w:tc>
        <w:tc>
          <w:tcPr>
            <w:tcW w:w="1643" w:type="dxa"/>
            <w:vAlign w:val="center"/>
          </w:tcPr>
          <w:p>
            <w:pPr>
              <w:pStyle w:val="8"/>
            </w:pPr>
            <w:r>
              <w:t>培训费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2.96</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18</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30217</w:t>
            </w:r>
          </w:p>
        </w:tc>
        <w:tc>
          <w:tcPr>
            <w:tcW w:w="1643" w:type="dxa"/>
            <w:vAlign w:val="center"/>
          </w:tcPr>
          <w:p>
            <w:pPr>
              <w:pStyle w:val="8"/>
            </w:pPr>
            <w:r>
              <w:t>公务接待费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0.36</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19</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30228</w:t>
            </w:r>
          </w:p>
        </w:tc>
        <w:tc>
          <w:tcPr>
            <w:tcW w:w="1643" w:type="dxa"/>
            <w:vAlign w:val="center"/>
          </w:tcPr>
          <w:p>
            <w:pPr>
              <w:pStyle w:val="8"/>
            </w:pPr>
            <w:r>
              <w:t>工会经费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3.94</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20</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30229</w:t>
            </w:r>
          </w:p>
        </w:tc>
        <w:tc>
          <w:tcPr>
            <w:tcW w:w="1643" w:type="dxa"/>
            <w:vAlign w:val="center"/>
          </w:tcPr>
          <w:p>
            <w:pPr>
              <w:pStyle w:val="8"/>
            </w:pPr>
            <w:r>
              <w:t>福利费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2.81</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21</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30231</w:t>
            </w:r>
          </w:p>
        </w:tc>
        <w:tc>
          <w:tcPr>
            <w:tcW w:w="1643" w:type="dxa"/>
            <w:vAlign w:val="center"/>
          </w:tcPr>
          <w:p>
            <w:pPr>
              <w:pStyle w:val="8"/>
            </w:pPr>
            <w:r>
              <w:t>公务用车运行维护费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2.30</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22</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30239</w:t>
            </w:r>
          </w:p>
        </w:tc>
        <w:tc>
          <w:tcPr>
            <w:tcW w:w="1643" w:type="dxa"/>
            <w:vAlign w:val="center"/>
          </w:tcPr>
          <w:p>
            <w:pPr>
              <w:pStyle w:val="8"/>
            </w:pPr>
            <w:r>
              <w:t>其他交通费用</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4.44</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23</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30299</w:t>
            </w:r>
          </w:p>
        </w:tc>
        <w:tc>
          <w:tcPr>
            <w:tcW w:w="1643" w:type="dxa"/>
            <w:vAlign w:val="center"/>
          </w:tcPr>
          <w:p>
            <w:pPr>
              <w:pStyle w:val="8"/>
            </w:pPr>
            <w:r>
              <w:t>其他商品和服务支出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0.09</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24</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303</w:t>
            </w:r>
          </w:p>
        </w:tc>
        <w:tc>
          <w:tcPr>
            <w:tcW w:w="1643" w:type="dxa"/>
            <w:vAlign w:val="center"/>
          </w:tcPr>
          <w:p>
            <w:pPr>
              <w:pStyle w:val="8"/>
            </w:pPr>
            <w:r>
              <w:t>对个人和家庭的补助</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1.68</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1.68</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25</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30302</w:t>
            </w:r>
          </w:p>
        </w:tc>
        <w:tc>
          <w:tcPr>
            <w:tcW w:w="1643" w:type="dxa"/>
            <w:vAlign w:val="center"/>
          </w:tcPr>
          <w:p>
            <w:pPr>
              <w:pStyle w:val="8"/>
            </w:pPr>
            <w:r>
              <w:t>退休费</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1.64</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1.64</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26</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30309</w:t>
            </w:r>
          </w:p>
        </w:tc>
        <w:tc>
          <w:tcPr>
            <w:tcW w:w="1643" w:type="dxa"/>
            <w:vAlign w:val="center"/>
          </w:tcPr>
          <w:p>
            <w:pPr>
              <w:pStyle w:val="8"/>
            </w:pPr>
            <w:r>
              <w:t>奖励金</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0.05</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0.05</w:t>
            </w:r>
          </w:p>
        </w:tc>
        <w:tc>
          <w:tcPr>
            <w:tcW w:w="1643" w:type="dxa"/>
            <w:vAlign w:val="center"/>
          </w:tcPr>
          <w:p>
            <w:pPr>
              <w:pStyle w:val="9"/>
              <w:jc w:val="center"/>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27</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310</w:t>
            </w:r>
          </w:p>
        </w:tc>
        <w:tc>
          <w:tcPr>
            <w:tcW w:w="1643" w:type="dxa"/>
            <w:vAlign w:val="center"/>
          </w:tcPr>
          <w:p>
            <w:pPr>
              <w:pStyle w:val="8"/>
            </w:pPr>
            <w:r>
              <w:t>资本性支出</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1.16</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jc w:val="center"/>
              <w:rPr>
                <w:rFonts w:hint="default" w:ascii="Times New Roman" w:hAnsi="Times New Roman" w:cs="Times New Roman"/>
              </w:rPr>
            </w:pPr>
            <w:r>
              <w:rPr>
                <w:rFonts w:hint="default" w:ascii="Times New Roman" w:hAnsi="Times New Roman" w:cs="Times New Roman"/>
              </w:rPr>
              <w:t>28</w:t>
            </w:r>
          </w:p>
        </w:tc>
        <w:tc>
          <w:tcPr>
            <w:tcW w:w="1643" w:type="dxa"/>
            <w:vAlign w:val="center"/>
          </w:tcPr>
          <w:p>
            <w:pPr>
              <w:pStyle w:val="8"/>
              <w:jc w:val="center"/>
              <w:rPr>
                <w:rFonts w:hint="default" w:ascii="Times New Roman" w:hAnsi="Times New Roman" w:cs="Times New Roman"/>
              </w:rPr>
            </w:pPr>
            <w:r>
              <w:rPr>
                <w:rFonts w:hint="default" w:ascii="Times New Roman" w:hAnsi="Times New Roman" w:cs="Times New Roman"/>
              </w:rPr>
              <w:t>31002</w:t>
            </w:r>
          </w:p>
        </w:tc>
        <w:tc>
          <w:tcPr>
            <w:tcW w:w="1643" w:type="dxa"/>
            <w:vAlign w:val="center"/>
          </w:tcPr>
          <w:p>
            <w:pPr>
              <w:pStyle w:val="8"/>
            </w:pPr>
            <w:r>
              <w:t>办公设备购置</w:t>
            </w: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1.16</w:t>
            </w:r>
          </w:p>
        </w:tc>
        <w:tc>
          <w:tcPr>
            <w:tcW w:w="1643" w:type="dxa"/>
            <w:vAlign w:val="center"/>
          </w:tcPr>
          <w:p>
            <w:pPr>
              <w:pStyle w:val="9"/>
              <w:jc w:val="center"/>
              <w:rPr>
                <w:rFonts w:hint="default" w:ascii="Times New Roman" w:hAnsi="Times New Roman" w:cs="Times New Roman"/>
              </w:rPr>
            </w:pPr>
          </w:p>
        </w:tc>
        <w:tc>
          <w:tcPr>
            <w:tcW w:w="1643" w:type="dxa"/>
            <w:vAlign w:val="center"/>
          </w:tcPr>
          <w:p>
            <w:pPr>
              <w:pStyle w:val="9"/>
              <w:jc w:val="center"/>
              <w:rPr>
                <w:rFonts w:hint="default" w:ascii="Times New Roman" w:hAnsi="Times New Roman" w:cs="Times New Roman"/>
              </w:rPr>
            </w:pPr>
            <w:r>
              <w:rPr>
                <w:rFonts w:hint="default" w:ascii="Times New Roman" w:hAnsi="Times New Roman" w:cs="Times New Roman"/>
              </w:rPr>
              <w:t>1.16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5"/>
            </w:pPr>
            <w:r>
              <w:rPr>
                <w:rFonts w:hint="default" w:ascii="Times New Roman" w:hAnsi="Times New Roman" w:cs="Times New Roman"/>
                <w:lang w:val="en-US" w:eastAsia="zh-C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6"/>
            </w:pPr>
            <w:r>
              <w:t>序号</w:t>
            </w:r>
          </w:p>
        </w:tc>
        <w:tc>
          <w:tcPr>
            <w:tcW w:w="1643" w:type="dxa"/>
            <w:vAlign w:val="center"/>
          </w:tcPr>
          <w:p>
            <w:pPr>
              <w:pStyle w:val="6"/>
            </w:pPr>
            <w:r>
              <w:t>功能分类科目</w:t>
            </w:r>
          </w:p>
        </w:tc>
        <w:tc>
          <w:tcPr>
            <w:tcW w:w="1643" w:type="dxa"/>
          </w:tcPr>
          <w:p/>
        </w:tc>
        <w:tc>
          <w:tcPr>
            <w:tcW w:w="1643" w:type="dxa"/>
            <w:vMerge w:val="restart"/>
            <w:vAlign w:val="center"/>
          </w:tcPr>
          <w:p>
            <w:pPr>
              <w:pStyle w:val="6"/>
            </w:pPr>
            <w:r>
              <w:t>合计</w:t>
            </w:r>
          </w:p>
        </w:tc>
        <w:tc>
          <w:tcPr>
            <w:tcW w:w="1643" w:type="dxa"/>
            <w:vMerge w:val="restart"/>
            <w:vAlign w:val="center"/>
          </w:tcPr>
          <w:p>
            <w:pPr>
              <w:pStyle w:val="6"/>
            </w:pPr>
            <w:r>
              <w:t>基本支出</w:t>
            </w:r>
          </w:p>
        </w:tc>
        <w:tc>
          <w:tcPr>
            <w:tcW w:w="1643" w:type="dxa"/>
            <w:vMerge w:val="restart"/>
            <w:vAlign w:val="center"/>
          </w:tcPr>
          <w:p>
            <w:pPr>
              <w:pStyle w:val="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6"/>
            </w:pPr>
            <w:r>
              <w:t>科目编码</w:t>
            </w:r>
          </w:p>
        </w:tc>
        <w:tc>
          <w:tcPr>
            <w:tcW w:w="1643" w:type="dxa"/>
            <w:vAlign w:val="center"/>
          </w:tcPr>
          <w:p>
            <w:pPr>
              <w:pStyle w:val="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p>
        </w:tc>
        <w:tc>
          <w:tcPr>
            <w:tcW w:w="1643" w:type="dxa"/>
            <w:vAlign w:val="center"/>
          </w:tcPr>
          <w:p>
            <w:pPr>
              <w:pStyle w:val="8"/>
            </w:pPr>
          </w:p>
        </w:tc>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5"/>
            </w:pPr>
            <w:r>
              <w:rPr>
                <w:rFonts w:hint="default" w:ascii="Times New Roman" w:hAnsi="Times New Roman" w:cs="Times New Roma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6"/>
            </w:pPr>
            <w:r>
              <w:t>序号</w:t>
            </w:r>
          </w:p>
        </w:tc>
        <w:tc>
          <w:tcPr>
            <w:tcW w:w="1643" w:type="dxa"/>
            <w:vAlign w:val="center"/>
          </w:tcPr>
          <w:p>
            <w:pPr>
              <w:pStyle w:val="6"/>
            </w:pPr>
            <w:r>
              <w:t>功能分类科目</w:t>
            </w:r>
          </w:p>
        </w:tc>
        <w:tc>
          <w:tcPr>
            <w:tcW w:w="1643" w:type="dxa"/>
          </w:tcPr>
          <w:p/>
        </w:tc>
        <w:tc>
          <w:tcPr>
            <w:tcW w:w="1643" w:type="dxa"/>
            <w:vMerge w:val="restart"/>
            <w:vAlign w:val="center"/>
          </w:tcPr>
          <w:p>
            <w:pPr>
              <w:pStyle w:val="6"/>
            </w:pPr>
            <w:r>
              <w:t>合计</w:t>
            </w:r>
          </w:p>
        </w:tc>
        <w:tc>
          <w:tcPr>
            <w:tcW w:w="1643" w:type="dxa"/>
            <w:vMerge w:val="restart"/>
            <w:vAlign w:val="center"/>
          </w:tcPr>
          <w:p>
            <w:pPr>
              <w:pStyle w:val="6"/>
            </w:pPr>
            <w:r>
              <w:t>基本支出</w:t>
            </w:r>
          </w:p>
        </w:tc>
        <w:tc>
          <w:tcPr>
            <w:tcW w:w="1643" w:type="dxa"/>
            <w:vMerge w:val="restart"/>
            <w:vAlign w:val="center"/>
          </w:tcPr>
          <w:p>
            <w:pPr>
              <w:pStyle w:val="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6"/>
            </w:pPr>
            <w:r>
              <w:t>科目编码</w:t>
            </w:r>
          </w:p>
        </w:tc>
        <w:tc>
          <w:tcPr>
            <w:tcW w:w="1643" w:type="dxa"/>
            <w:vAlign w:val="center"/>
          </w:tcPr>
          <w:p>
            <w:pPr>
              <w:pStyle w:val="6"/>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p>
        </w:tc>
        <w:tc>
          <w:tcPr>
            <w:tcW w:w="1643" w:type="dxa"/>
            <w:vAlign w:val="center"/>
          </w:tcPr>
          <w:p>
            <w:pPr>
              <w:pStyle w:val="8"/>
            </w:pPr>
          </w:p>
        </w:tc>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136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2275"/>
        <w:gridCol w:w="2275"/>
        <w:gridCol w:w="2275"/>
        <w:gridCol w:w="2275"/>
        <w:gridCol w:w="22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13660" w:type="dxa"/>
            <w:gridSpan w:val="6"/>
            <w:tcBorders>
              <w:top w:val="single" w:color="FFFFFF" w:sz="6" w:space="0"/>
              <w:left w:val="single" w:color="FFFFFF" w:sz="6" w:space="0"/>
              <w:right w:val="single" w:color="FFFFFF" w:sz="6" w:space="0"/>
            </w:tcBorders>
            <w:vAlign w:val="center"/>
          </w:tcPr>
          <w:p>
            <w:pPr>
              <w:pStyle w:val="5"/>
            </w:pPr>
            <w:r>
              <w:rPr>
                <w:rFonts w:hint="default" w:ascii="Times New Roman" w:hAnsi="Times New Roman" w:cs="Times New Roman"/>
              </w:rPr>
              <w:t>303001</w:t>
            </w:r>
            <w:r>
              <w:t>秦皇岛北戴河新区发展改革局本级</w:t>
            </w:r>
            <w:r>
              <w:rPr>
                <w:rFonts w:hint="eastAsia"/>
                <w:lang w:val="en-US" w:eastAsia="zh-CN"/>
              </w:rPr>
              <w:t xml:space="preserve">                              预算年度：</w:t>
            </w:r>
            <w:r>
              <w:rPr>
                <w:rFonts w:hint="default" w:ascii="Times New Roman" w:hAnsi="Times New Roman" w:cs="Times New Roman"/>
                <w:lang w:val="en-US" w:eastAsia="zh-CN"/>
              </w:rPr>
              <w:t>2022</w:t>
            </w:r>
            <w:r>
              <w:rPr>
                <w:rFonts w:hint="eastAsia" w:ascii="Times New Roman" w:hAnsi="Times New Roman" w:cs="Times New Roman"/>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2275" w:type="dxa"/>
            <w:vMerge w:val="restart"/>
            <w:vAlign w:val="center"/>
          </w:tcPr>
          <w:p>
            <w:pPr>
              <w:pStyle w:val="6"/>
            </w:pPr>
            <w:r>
              <w:t>序号</w:t>
            </w:r>
          </w:p>
        </w:tc>
        <w:tc>
          <w:tcPr>
            <w:tcW w:w="2275" w:type="dxa"/>
            <w:vMerge w:val="restart"/>
            <w:vAlign w:val="center"/>
          </w:tcPr>
          <w:p>
            <w:pPr>
              <w:pStyle w:val="6"/>
            </w:pPr>
            <w:r>
              <w:t>项  目</w:t>
            </w:r>
          </w:p>
        </w:tc>
        <w:tc>
          <w:tcPr>
            <w:tcW w:w="2275" w:type="dxa"/>
            <w:vAlign w:val="center"/>
          </w:tcPr>
          <w:p>
            <w:pPr>
              <w:pStyle w:val="6"/>
            </w:pPr>
            <w:r>
              <w:t>资 金 性 质</w:t>
            </w:r>
          </w:p>
        </w:tc>
        <w:tc>
          <w:tcPr>
            <w:tcW w:w="2275" w:type="dxa"/>
          </w:tcPr>
          <w:p/>
        </w:tc>
        <w:tc>
          <w:tcPr>
            <w:tcW w:w="2275" w:type="dxa"/>
          </w:tcPr>
          <w:p/>
        </w:tc>
        <w:tc>
          <w:tcPr>
            <w:tcW w:w="228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blHeader/>
          <w:jc w:val="center"/>
        </w:trPr>
        <w:tc>
          <w:tcPr>
            <w:tcW w:w="2275" w:type="dxa"/>
            <w:vMerge w:val="continue"/>
          </w:tcPr>
          <w:p/>
        </w:tc>
        <w:tc>
          <w:tcPr>
            <w:tcW w:w="2275" w:type="dxa"/>
            <w:vMerge w:val="continue"/>
          </w:tcPr>
          <w:p/>
        </w:tc>
        <w:tc>
          <w:tcPr>
            <w:tcW w:w="2275" w:type="dxa"/>
            <w:vAlign w:val="center"/>
          </w:tcPr>
          <w:p>
            <w:pPr>
              <w:pStyle w:val="6"/>
            </w:pPr>
            <w:r>
              <w:t>合计</w:t>
            </w:r>
          </w:p>
        </w:tc>
        <w:tc>
          <w:tcPr>
            <w:tcW w:w="2275" w:type="dxa"/>
            <w:vAlign w:val="center"/>
          </w:tcPr>
          <w:p>
            <w:pPr>
              <w:pStyle w:val="6"/>
            </w:pPr>
            <w:r>
              <w:t>一般公共预算              财政拨款</w:t>
            </w:r>
          </w:p>
        </w:tc>
        <w:tc>
          <w:tcPr>
            <w:tcW w:w="2275" w:type="dxa"/>
            <w:vAlign w:val="center"/>
          </w:tcPr>
          <w:p>
            <w:pPr>
              <w:pStyle w:val="6"/>
            </w:pPr>
            <w:r>
              <w:t>政府性基金                  预算拨款</w:t>
            </w:r>
          </w:p>
        </w:tc>
        <w:tc>
          <w:tcPr>
            <w:tcW w:w="2285" w:type="dxa"/>
            <w:vAlign w:val="center"/>
          </w:tcPr>
          <w:p>
            <w:pPr>
              <w:pStyle w:val="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2275" w:type="dxa"/>
            <w:vAlign w:val="center"/>
          </w:tcPr>
          <w:p>
            <w:pPr>
              <w:pStyle w:val="6"/>
            </w:pPr>
            <w:r>
              <w:t>栏次</w:t>
            </w:r>
          </w:p>
        </w:tc>
        <w:tc>
          <w:tcPr>
            <w:tcW w:w="2275" w:type="dxa"/>
            <w:vAlign w:val="center"/>
          </w:tcPr>
          <w:p>
            <w:pPr>
              <w:pStyle w:val="6"/>
            </w:pPr>
            <w:r>
              <w:t>1</w:t>
            </w:r>
          </w:p>
        </w:tc>
        <w:tc>
          <w:tcPr>
            <w:tcW w:w="2275" w:type="dxa"/>
            <w:vAlign w:val="center"/>
          </w:tcPr>
          <w:p>
            <w:pPr>
              <w:pStyle w:val="6"/>
            </w:pPr>
            <w:r>
              <w:t>2</w:t>
            </w:r>
          </w:p>
        </w:tc>
        <w:tc>
          <w:tcPr>
            <w:tcW w:w="2275" w:type="dxa"/>
            <w:vAlign w:val="center"/>
          </w:tcPr>
          <w:p>
            <w:pPr>
              <w:pStyle w:val="6"/>
            </w:pPr>
            <w:r>
              <w:t>3</w:t>
            </w:r>
          </w:p>
        </w:tc>
        <w:tc>
          <w:tcPr>
            <w:tcW w:w="2275" w:type="dxa"/>
            <w:vAlign w:val="center"/>
          </w:tcPr>
          <w:p>
            <w:pPr>
              <w:pStyle w:val="6"/>
            </w:pPr>
            <w:r>
              <w:t>4</w:t>
            </w:r>
          </w:p>
        </w:tc>
        <w:tc>
          <w:tcPr>
            <w:tcW w:w="2285"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1</w:t>
            </w:r>
          </w:p>
        </w:tc>
        <w:tc>
          <w:tcPr>
            <w:tcW w:w="2275" w:type="dxa"/>
            <w:vAlign w:val="center"/>
          </w:tcPr>
          <w:p>
            <w:pPr>
              <w:pStyle w:val="10"/>
            </w:pPr>
            <w:r>
              <w:t>合计</w:t>
            </w:r>
          </w:p>
        </w:tc>
        <w:tc>
          <w:tcPr>
            <w:tcW w:w="2275" w:type="dxa"/>
            <w:vAlign w:val="center"/>
          </w:tcPr>
          <w:p>
            <w:pPr>
              <w:pStyle w:val="11"/>
              <w:jc w:val="center"/>
              <w:rPr>
                <w:rFonts w:hint="default" w:ascii="Times New Roman" w:hAnsi="Times New Roman" w:cs="Times New Roman"/>
              </w:rPr>
            </w:pPr>
            <w:r>
              <w:rPr>
                <w:rFonts w:hint="default" w:ascii="Times New Roman" w:hAnsi="Times New Roman" w:cs="Times New Roman"/>
              </w:rPr>
              <w:t>2.66</w:t>
            </w:r>
          </w:p>
        </w:tc>
        <w:tc>
          <w:tcPr>
            <w:tcW w:w="2275" w:type="dxa"/>
            <w:vAlign w:val="center"/>
          </w:tcPr>
          <w:p>
            <w:pPr>
              <w:pStyle w:val="11"/>
              <w:jc w:val="center"/>
              <w:rPr>
                <w:rFonts w:hint="default" w:ascii="Times New Roman" w:hAnsi="Times New Roman" w:cs="Times New Roman"/>
              </w:rPr>
            </w:pPr>
            <w:r>
              <w:rPr>
                <w:rFonts w:hint="default" w:ascii="Times New Roman" w:hAnsi="Times New Roman" w:cs="Times New Roman"/>
              </w:rPr>
              <w:t>2.66</w:t>
            </w:r>
          </w:p>
        </w:tc>
        <w:tc>
          <w:tcPr>
            <w:tcW w:w="2275" w:type="dxa"/>
            <w:vAlign w:val="center"/>
          </w:tcPr>
          <w:p>
            <w:pPr>
              <w:pStyle w:val="11"/>
            </w:pPr>
          </w:p>
        </w:tc>
        <w:tc>
          <w:tcPr>
            <w:tcW w:w="22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2</w:t>
            </w:r>
          </w:p>
        </w:tc>
        <w:tc>
          <w:tcPr>
            <w:tcW w:w="2275" w:type="dxa"/>
            <w:vAlign w:val="center"/>
          </w:tcPr>
          <w:p>
            <w:pPr>
              <w:pStyle w:val="8"/>
            </w:pPr>
            <w:r>
              <w:t>“三公”经费小计</w:t>
            </w:r>
          </w:p>
        </w:tc>
        <w:tc>
          <w:tcPr>
            <w:tcW w:w="2275" w:type="dxa"/>
            <w:vAlign w:val="center"/>
          </w:tcPr>
          <w:p>
            <w:pPr>
              <w:pStyle w:val="9"/>
              <w:jc w:val="center"/>
              <w:rPr>
                <w:rFonts w:hint="default" w:ascii="Times New Roman" w:hAnsi="Times New Roman" w:cs="Times New Roman"/>
              </w:rPr>
            </w:pPr>
            <w:r>
              <w:rPr>
                <w:rFonts w:hint="default" w:ascii="Times New Roman" w:hAnsi="Times New Roman" w:cs="Times New Roman"/>
              </w:rPr>
              <w:t>2.66</w:t>
            </w:r>
          </w:p>
        </w:tc>
        <w:tc>
          <w:tcPr>
            <w:tcW w:w="2275" w:type="dxa"/>
            <w:vAlign w:val="center"/>
          </w:tcPr>
          <w:p>
            <w:pPr>
              <w:pStyle w:val="9"/>
              <w:jc w:val="center"/>
              <w:rPr>
                <w:rFonts w:hint="default" w:ascii="Times New Roman" w:hAnsi="Times New Roman" w:cs="Times New Roman"/>
              </w:rPr>
            </w:pPr>
            <w:r>
              <w:rPr>
                <w:rFonts w:hint="default" w:ascii="Times New Roman" w:hAnsi="Times New Roman" w:cs="Times New Roman"/>
              </w:rPr>
              <w:t>2.66</w:t>
            </w:r>
          </w:p>
        </w:tc>
        <w:tc>
          <w:tcPr>
            <w:tcW w:w="2275" w:type="dxa"/>
            <w:vAlign w:val="center"/>
          </w:tcPr>
          <w:p>
            <w:pPr>
              <w:pStyle w:val="9"/>
            </w:pPr>
          </w:p>
        </w:tc>
        <w:tc>
          <w:tcPr>
            <w:tcW w:w="228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3</w:t>
            </w:r>
          </w:p>
        </w:tc>
        <w:tc>
          <w:tcPr>
            <w:tcW w:w="2275" w:type="dxa"/>
            <w:vAlign w:val="center"/>
          </w:tcPr>
          <w:p>
            <w:pPr>
              <w:pStyle w:val="8"/>
            </w:pPr>
            <w:r>
              <w:t>一、因公出国（境）费</w:t>
            </w:r>
          </w:p>
        </w:tc>
        <w:tc>
          <w:tcPr>
            <w:tcW w:w="2275" w:type="dxa"/>
            <w:vAlign w:val="center"/>
          </w:tcPr>
          <w:p>
            <w:pPr>
              <w:pStyle w:val="9"/>
              <w:jc w:val="center"/>
              <w:rPr>
                <w:rFonts w:hint="default" w:ascii="Times New Roman" w:hAnsi="Times New Roman" w:cs="Times New Roman"/>
              </w:rPr>
            </w:pPr>
          </w:p>
        </w:tc>
        <w:tc>
          <w:tcPr>
            <w:tcW w:w="2275" w:type="dxa"/>
            <w:vAlign w:val="center"/>
          </w:tcPr>
          <w:p>
            <w:pPr>
              <w:pStyle w:val="9"/>
              <w:jc w:val="center"/>
              <w:rPr>
                <w:rFonts w:hint="default" w:ascii="Times New Roman" w:hAnsi="Times New Roman" w:cs="Times New Roman"/>
              </w:rPr>
            </w:pPr>
          </w:p>
        </w:tc>
        <w:tc>
          <w:tcPr>
            <w:tcW w:w="2275" w:type="dxa"/>
            <w:vAlign w:val="center"/>
          </w:tcPr>
          <w:p>
            <w:pPr>
              <w:pStyle w:val="9"/>
            </w:pPr>
          </w:p>
        </w:tc>
        <w:tc>
          <w:tcPr>
            <w:tcW w:w="228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1"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4</w:t>
            </w:r>
          </w:p>
        </w:tc>
        <w:tc>
          <w:tcPr>
            <w:tcW w:w="2275" w:type="dxa"/>
            <w:vAlign w:val="center"/>
          </w:tcPr>
          <w:p>
            <w:pPr>
              <w:pStyle w:val="8"/>
            </w:pPr>
            <w:r>
              <w:t xml:space="preserve">    其中：教学科研人员因公出国（境）费</w:t>
            </w:r>
          </w:p>
        </w:tc>
        <w:tc>
          <w:tcPr>
            <w:tcW w:w="2275" w:type="dxa"/>
            <w:vAlign w:val="center"/>
          </w:tcPr>
          <w:p>
            <w:pPr>
              <w:pStyle w:val="9"/>
              <w:jc w:val="center"/>
              <w:rPr>
                <w:rFonts w:hint="default" w:ascii="Times New Roman" w:hAnsi="Times New Roman" w:cs="Times New Roman"/>
              </w:rPr>
            </w:pPr>
          </w:p>
        </w:tc>
        <w:tc>
          <w:tcPr>
            <w:tcW w:w="2275" w:type="dxa"/>
            <w:vAlign w:val="center"/>
          </w:tcPr>
          <w:p>
            <w:pPr>
              <w:pStyle w:val="9"/>
              <w:jc w:val="center"/>
              <w:rPr>
                <w:rFonts w:hint="default" w:ascii="Times New Roman" w:hAnsi="Times New Roman" w:cs="Times New Roman"/>
              </w:rPr>
            </w:pPr>
          </w:p>
        </w:tc>
        <w:tc>
          <w:tcPr>
            <w:tcW w:w="2275" w:type="dxa"/>
            <w:vAlign w:val="center"/>
          </w:tcPr>
          <w:p>
            <w:pPr>
              <w:pStyle w:val="9"/>
            </w:pPr>
          </w:p>
        </w:tc>
        <w:tc>
          <w:tcPr>
            <w:tcW w:w="228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5</w:t>
            </w:r>
          </w:p>
        </w:tc>
        <w:tc>
          <w:tcPr>
            <w:tcW w:w="2275" w:type="dxa"/>
            <w:vAlign w:val="center"/>
          </w:tcPr>
          <w:p>
            <w:pPr>
              <w:pStyle w:val="8"/>
            </w:pPr>
            <w:r>
              <w:t xml:space="preserve">          其他因公出国（境）费</w:t>
            </w:r>
          </w:p>
        </w:tc>
        <w:tc>
          <w:tcPr>
            <w:tcW w:w="2275" w:type="dxa"/>
            <w:vAlign w:val="center"/>
          </w:tcPr>
          <w:p>
            <w:pPr>
              <w:pStyle w:val="9"/>
              <w:jc w:val="center"/>
              <w:rPr>
                <w:rFonts w:hint="default" w:ascii="Times New Roman" w:hAnsi="Times New Roman" w:cs="Times New Roman"/>
              </w:rPr>
            </w:pPr>
          </w:p>
        </w:tc>
        <w:tc>
          <w:tcPr>
            <w:tcW w:w="2275" w:type="dxa"/>
            <w:vAlign w:val="center"/>
          </w:tcPr>
          <w:p>
            <w:pPr>
              <w:pStyle w:val="9"/>
              <w:jc w:val="center"/>
              <w:rPr>
                <w:rFonts w:hint="default" w:ascii="Times New Roman" w:hAnsi="Times New Roman" w:cs="Times New Roman"/>
              </w:rPr>
            </w:pPr>
          </w:p>
        </w:tc>
        <w:tc>
          <w:tcPr>
            <w:tcW w:w="2275" w:type="dxa"/>
            <w:vAlign w:val="center"/>
          </w:tcPr>
          <w:p>
            <w:pPr>
              <w:pStyle w:val="9"/>
            </w:pPr>
          </w:p>
        </w:tc>
        <w:tc>
          <w:tcPr>
            <w:tcW w:w="228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6</w:t>
            </w:r>
          </w:p>
        </w:tc>
        <w:tc>
          <w:tcPr>
            <w:tcW w:w="2275" w:type="dxa"/>
            <w:vAlign w:val="center"/>
          </w:tcPr>
          <w:p>
            <w:pPr>
              <w:pStyle w:val="8"/>
            </w:pPr>
            <w:r>
              <w:t>二、公务用车购置及运维费</w:t>
            </w:r>
          </w:p>
        </w:tc>
        <w:tc>
          <w:tcPr>
            <w:tcW w:w="2275" w:type="dxa"/>
            <w:vAlign w:val="center"/>
          </w:tcPr>
          <w:p>
            <w:pPr>
              <w:pStyle w:val="9"/>
              <w:jc w:val="center"/>
              <w:rPr>
                <w:rFonts w:hint="default" w:ascii="Times New Roman" w:hAnsi="Times New Roman" w:cs="Times New Roman"/>
              </w:rPr>
            </w:pPr>
            <w:r>
              <w:rPr>
                <w:rFonts w:hint="default" w:ascii="Times New Roman" w:hAnsi="Times New Roman" w:cs="Times New Roman"/>
              </w:rPr>
              <w:t>2.30</w:t>
            </w:r>
          </w:p>
        </w:tc>
        <w:tc>
          <w:tcPr>
            <w:tcW w:w="2275" w:type="dxa"/>
            <w:vAlign w:val="center"/>
          </w:tcPr>
          <w:p>
            <w:pPr>
              <w:pStyle w:val="9"/>
              <w:jc w:val="center"/>
              <w:rPr>
                <w:rFonts w:hint="default" w:ascii="Times New Roman" w:hAnsi="Times New Roman" w:cs="Times New Roman"/>
              </w:rPr>
            </w:pPr>
            <w:r>
              <w:rPr>
                <w:rFonts w:hint="default" w:ascii="Times New Roman" w:hAnsi="Times New Roman" w:cs="Times New Roman"/>
              </w:rPr>
              <w:t>2.30</w:t>
            </w:r>
          </w:p>
        </w:tc>
        <w:tc>
          <w:tcPr>
            <w:tcW w:w="2275" w:type="dxa"/>
            <w:vAlign w:val="center"/>
          </w:tcPr>
          <w:p>
            <w:pPr>
              <w:pStyle w:val="9"/>
            </w:pPr>
          </w:p>
        </w:tc>
        <w:tc>
          <w:tcPr>
            <w:tcW w:w="228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7</w:t>
            </w:r>
          </w:p>
        </w:tc>
        <w:tc>
          <w:tcPr>
            <w:tcW w:w="2275" w:type="dxa"/>
            <w:vAlign w:val="center"/>
          </w:tcPr>
          <w:p>
            <w:pPr>
              <w:pStyle w:val="8"/>
            </w:pPr>
            <w:r>
              <w:t xml:space="preserve">    其中：公务用车购置费</w:t>
            </w:r>
          </w:p>
        </w:tc>
        <w:tc>
          <w:tcPr>
            <w:tcW w:w="2275" w:type="dxa"/>
            <w:vAlign w:val="center"/>
          </w:tcPr>
          <w:p>
            <w:pPr>
              <w:pStyle w:val="9"/>
              <w:jc w:val="center"/>
              <w:rPr>
                <w:rFonts w:hint="default" w:ascii="Times New Roman" w:hAnsi="Times New Roman" w:cs="Times New Roman"/>
              </w:rPr>
            </w:pPr>
          </w:p>
        </w:tc>
        <w:tc>
          <w:tcPr>
            <w:tcW w:w="2275" w:type="dxa"/>
            <w:vAlign w:val="center"/>
          </w:tcPr>
          <w:p>
            <w:pPr>
              <w:pStyle w:val="9"/>
              <w:jc w:val="center"/>
              <w:rPr>
                <w:rFonts w:hint="default" w:ascii="Times New Roman" w:hAnsi="Times New Roman" w:cs="Times New Roman"/>
              </w:rPr>
            </w:pPr>
          </w:p>
        </w:tc>
        <w:tc>
          <w:tcPr>
            <w:tcW w:w="2275" w:type="dxa"/>
            <w:vAlign w:val="center"/>
          </w:tcPr>
          <w:p>
            <w:pPr>
              <w:pStyle w:val="9"/>
            </w:pPr>
          </w:p>
        </w:tc>
        <w:tc>
          <w:tcPr>
            <w:tcW w:w="228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8</w:t>
            </w:r>
          </w:p>
        </w:tc>
        <w:tc>
          <w:tcPr>
            <w:tcW w:w="2275" w:type="dxa"/>
            <w:vAlign w:val="center"/>
          </w:tcPr>
          <w:p>
            <w:pPr>
              <w:pStyle w:val="8"/>
            </w:pPr>
            <w:r>
              <w:t xml:space="preserve">          公务用车运行维护费</w:t>
            </w:r>
          </w:p>
        </w:tc>
        <w:tc>
          <w:tcPr>
            <w:tcW w:w="2275" w:type="dxa"/>
            <w:vAlign w:val="center"/>
          </w:tcPr>
          <w:p>
            <w:pPr>
              <w:pStyle w:val="9"/>
              <w:jc w:val="center"/>
              <w:rPr>
                <w:rFonts w:hint="default" w:ascii="Times New Roman" w:hAnsi="Times New Roman" w:cs="Times New Roman"/>
              </w:rPr>
            </w:pPr>
            <w:r>
              <w:rPr>
                <w:rFonts w:hint="default" w:ascii="Times New Roman" w:hAnsi="Times New Roman" w:cs="Times New Roman"/>
              </w:rPr>
              <w:t>2.30</w:t>
            </w:r>
          </w:p>
        </w:tc>
        <w:tc>
          <w:tcPr>
            <w:tcW w:w="2275" w:type="dxa"/>
            <w:vAlign w:val="center"/>
          </w:tcPr>
          <w:p>
            <w:pPr>
              <w:pStyle w:val="9"/>
              <w:jc w:val="center"/>
              <w:rPr>
                <w:rFonts w:hint="default" w:ascii="Times New Roman" w:hAnsi="Times New Roman" w:cs="Times New Roman"/>
              </w:rPr>
            </w:pPr>
            <w:r>
              <w:rPr>
                <w:rFonts w:hint="default" w:ascii="Times New Roman" w:hAnsi="Times New Roman" w:cs="Times New Roman"/>
              </w:rPr>
              <w:t>2.30</w:t>
            </w:r>
          </w:p>
        </w:tc>
        <w:tc>
          <w:tcPr>
            <w:tcW w:w="2275" w:type="dxa"/>
            <w:vAlign w:val="center"/>
          </w:tcPr>
          <w:p>
            <w:pPr>
              <w:pStyle w:val="9"/>
            </w:pPr>
          </w:p>
        </w:tc>
        <w:tc>
          <w:tcPr>
            <w:tcW w:w="228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275" w:type="dxa"/>
            <w:vAlign w:val="center"/>
          </w:tcPr>
          <w:p>
            <w:pPr>
              <w:pStyle w:val="7"/>
              <w:rPr>
                <w:rFonts w:hint="default" w:ascii="Times New Roman" w:hAnsi="Times New Roman" w:cs="Times New Roman"/>
              </w:rPr>
            </w:pPr>
            <w:r>
              <w:rPr>
                <w:rFonts w:hint="default" w:ascii="Times New Roman" w:hAnsi="Times New Roman" w:cs="Times New Roman"/>
              </w:rPr>
              <w:t>9</w:t>
            </w:r>
          </w:p>
        </w:tc>
        <w:tc>
          <w:tcPr>
            <w:tcW w:w="2275" w:type="dxa"/>
            <w:vAlign w:val="center"/>
          </w:tcPr>
          <w:p>
            <w:pPr>
              <w:pStyle w:val="8"/>
            </w:pPr>
            <w:r>
              <w:t>三、公务接待费</w:t>
            </w:r>
          </w:p>
        </w:tc>
        <w:tc>
          <w:tcPr>
            <w:tcW w:w="2275" w:type="dxa"/>
            <w:vAlign w:val="center"/>
          </w:tcPr>
          <w:p>
            <w:pPr>
              <w:pStyle w:val="9"/>
              <w:jc w:val="center"/>
              <w:rPr>
                <w:rFonts w:hint="default" w:ascii="Times New Roman" w:hAnsi="Times New Roman" w:cs="Times New Roman"/>
              </w:rPr>
            </w:pPr>
            <w:r>
              <w:rPr>
                <w:rFonts w:hint="default" w:ascii="Times New Roman" w:hAnsi="Times New Roman" w:cs="Times New Roman"/>
              </w:rPr>
              <w:t>0.36</w:t>
            </w:r>
          </w:p>
        </w:tc>
        <w:tc>
          <w:tcPr>
            <w:tcW w:w="2275" w:type="dxa"/>
            <w:vAlign w:val="center"/>
          </w:tcPr>
          <w:p>
            <w:pPr>
              <w:pStyle w:val="9"/>
              <w:jc w:val="center"/>
              <w:rPr>
                <w:rFonts w:hint="default" w:ascii="Times New Roman" w:hAnsi="Times New Roman" w:cs="Times New Roman"/>
              </w:rPr>
            </w:pPr>
            <w:r>
              <w:rPr>
                <w:rFonts w:hint="default" w:ascii="Times New Roman" w:hAnsi="Times New Roman" w:cs="Times New Roman"/>
              </w:rPr>
              <w:t>0.36</w:t>
            </w:r>
          </w:p>
        </w:tc>
        <w:tc>
          <w:tcPr>
            <w:tcW w:w="2275" w:type="dxa"/>
            <w:vAlign w:val="center"/>
          </w:tcPr>
          <w:p>
            <w:pPr>
              <w:pStyle w:val="9"/>
            </w:pPr>
          </w:p>
        </w:tc>
        <w:tc>
          <w:tcPr>
            <w:tcW w:w="2285" w:type="dxa"/>
            <w:vAlign w:val="center"/>
          </w:tcPr>
          <w:p>
            <w:pPr>
              <w:pStyle w:val="9"/>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秦皇岛北戴河新区发展改革局本级</w:t>
      </w:r>
      <w:r>
        <w:rPr>
          <w:rFonts w:hint="default" w:ascii="Times New Roman" w:hAnsi="Times New Roman" w:eastAsia="方正小标宋_GBK" w:cs="Times New Roman"/>
          <w:b w:val="0"/>
          <w:color w:val="000000"/>
          <w:sz w:val="44"/>
        </w:rPr>
        <w:t>2022</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按照《预算法》、《地方预决算公开操作规程》和《关于进一步推进预算公开工作的实施意见》规定，现将秦皇岛北戴河新区发展改革局本级2022年单位预算公开如下：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根据《秦皇岛北戴河新区发展改革局职能配置、内设机构和人员编制规定》， 秦皇岛北戴河新区发展改革局的主要职责是：</w:t>
      </w:r>
    </w:p>
    <w:p>
      <w:pPr>
        <w:pStyle w:val="13"/>
      </w:pPr>
      <w:r>
        <w:t>（一）负责拟订并组织实施经济和社会发展战略、中长期规划和年度计划。</w:t>
      </w:r>
    </w:p>
    <w:p>
      <w:pPr>
        <w:pStyle w:val="13"/>
      </w:pPr>
      <w: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pPr>
        <w:pStyle w:val="13"/>
      </w:pPr>
      <w: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pPr>
        <w:pStyle w:val="13"/>
      </w:pPr>
      <w:r>
        <w:t>（四）负责全区社会发展和国民经济发展的政策衔接，协调有关重大问题。组织拟定社会发展战略、总体规划，统筹推进基本公共服务体系建设与经济协调发展的政策建议。</w:t>
      </w:r>
    </w:p>
    <w:p>
      <w:pPr>
        <w:pStyle w:val="13"/>
      </w:pPr>
      <w:r>
        <w:t>（五）负责全区投资综合管理。拟定全区固定资产投资总规模、结构调控目标和政策。组织推动重点项目建设，负责配合市有关部门做好新区重点项目考核，组织新区项目考核工作。</w:t>
      </w:r>
    </w:p>
    <w:p>
      <w:pPr>
        <w:pStyle w:val="13"/>
      </w:pPr>
      <w:r>
        <w:t>（六）负责根据国家、省、市经济体制改革的总体部署，研究提出经济体制改革的实施意见，指导市场体系建设。</w:t>
      </w:r>
    </w:p>
    <w:p>
      <w:pPr>
        <w:pStyle w:val="13"/>
      </w:pPr>
      <w:r>
        <w:t>（七）推进实施融入京津冀协同发展等区域发展战略。</w:t>
      </w:r>
    </w:p>
    <w:p>
      <w:pPr>
        <w:pStyle w:val="13"/>
      </w:pPr>
      <w:r>
        <w:t>（八）负责对接承办市重点项目建设领导小组办公室、市推动京津冀协同发展工作领导小组、市沿海地区率先发展领导小组办公室有关具体工作。</w:t>
      </w:r>
    </w:p>
    <w:p>
      <w:pPr>
        <w:pStyle w:val="13"/>
      </w:pPr>
      <w:r>
        <w:t>（九）贯彻落实全市创新驱动发展战略。推动实施高技术产业和战略性新兴产业发展规划政策，协调产业升级、重大技术装备推广应用等方面的重大问题。</w:t>
      </w:r>
    </w:p>
    <w:p>
      <w:pPr>
        <w:pStyle w:val="13"/>
      </w:pPr>
      <w:r>
        <w:t>（十）负责落实国家统计政策、制度，依法开展统计工作，依法组织开展大型普查活动，分析新区国民经济运行态势，核算新区GDP，指导新区各部门统计工作。</w:t>
      </w:r>
    </w:p>
    <w:p>
      <w:pPr>
        <w:pStyle w:val="13"/>
      </w:pPr>
      <w:r>
        <w:t>（十一）负责监测、分析工业经济运行，推进工业企业转型升级，推进信息化和工业化融合，促进中小企业和民营经济发展。</w:t>
      </w:r>
    </w:p>
    <w:p>
      <w:pPr>
        <w:pStyle w:val="13"/>
      </w:pPr>
      <w:r>
        <w:t>（十二）负责高新区数据资料的收集、整理、汇总和上报，做好年度考核工作。</w:t>
      </w:r>
    </w:p>
    <w:p>
      <w:pPr>
        <w:pStyle w:val="13"/>
      </w:pPr>
      <w:r>
        <w:t>（十三）贯彻落实中央、省、市关于科技创新工作的方针政策和决策部署，大力培育高新技术企业和科技型中小企业，促进科技成果转化。</w:t>
      </w:r>
    </w:p>
    <w:p>
      <w:pPr>
        <w:pStyle w:val="13"/>
      </w:pPr>
      <w:r>
        <w:t>（十四）完成新区党工委、管委会交办的其他事项。</w:t>
      </w:r>
    </w:p>
    <w:p>
      <w:pPr>
        <w:spacing w:before="0" w:after="0" w:line="240" w:lineRule="auto"/>
        <w:ind w:firstLine="640"/>
        <w:jc w:val="left"/>
        <w:outlineLvl w:val="9"/>
      </w:pPr>
    </w:p>
    <w:p>
      <w:pPr>
        <w:pStyle w:val="14"/>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14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0"/>
        <w:gridCol w:w="3520"/>
        <w:gridCol w:w="3520"/>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3520" w:type="dxa"/>
            <w:vAlign w:val="center"/>
          </w:tcPr>
          <w:p>
            <w:pPr>
              <w:pStyle w:val="6"/>
            </w:pPr>
            <w:r>
              <w:t>单位名称</w:t>
            </w:r>
          </w:p>
        </w:tc>
        <w:tc>
          <w:tcPr>
            <w:tcW w:w="3520" w:type="dxa"/>
            <w:vAlign w:val="center"/>
          </w:tcPr>
          <w:p>
            <w:pPr>
              <w:pStyle w:val="6"/>
            </w:pPr>
            <w:r>
              <w:t>单位性质</w:t>
            </w:r>
          </w:p>
        </w:tc>
        <w:tc>
          <w:tcPr>
            <w:tcW w:w="3520" w:type="dxa"/>
            <w:vAlign w:val="center"/>
          </w:tcPr>
          <w:p>
            <w:pPr>
              <w:pStyle w:val="6"/>
            </w:pPr>
            <w:r>
              <w:t>单位规格</w:t>
            </w:r>
          </w:p>
        </w:tc>
        <w:tc>
          <w:tcPr>
            <w:tcW w:w="3520" w:type="dxa"/>
            <w:vAlign w:val="center"/>
          </w:tcPr>
          <w:p>
            <w:pPr>
              <w:pStyle w:val="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3520" w:type="dxa"/>
            <w:vAlign w:val="center"/>
          </w:tcPr>
          <w:p>
            <w:pPr>
              <w:pStyle w:val="8"/>
            </w:pPr>
            <w:r>
              <w:t>秦皇岛北戴河新区发展改革局本级</w:t>
            </w:r>
          </w:p>
        </w:tc>
        <w:tc>
          <w:tcPr>
            <w:tcW w:w="3520" w:type="dxa"/>
            <w:vAlign w:val="center"/>
          </w:tcPr>
          <w:p>
            <w:pPr>
              <w:pStyle w:val="7"/>
            </w:pPr>
            <w:r>
              <w:t>行政</w:t>
            </w:r>
          </w:p>
        </w:tc>
        <w:tc>
          <w:tcPr>
            <w:tcW w:w="3520" w:type="dxa"/>
            <w:vAlign w:val="center"/>
          </w:tcPr>
          <w:p>
            <w:pPr>
              <w:pStyle w:val="7"/>
            </w:pPr>
            <w:r>
              <w:t>副处（县）级</w:t>
            </w:r>
          </w:p>
        </w:tc>
        <w:tc>
          <w:tcPr>
            <w:tcW w:w="3520" w:type="dxa"/>
            <w:vAlign w:val="center"/>
          </w:tcPr>
          <w:p>
            <w:pPr>
              <w:pStyle w:val="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（一）收入说明</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ascii="Times New Roman" w:hAnsi="Times New Roman" w:eastAsia="方正仿宋_GBK" w:cs="Times New Roman"/>
          <w:b w:val="0"/>
          <w:color w:val="000000"/>
          <w:sz w:val="28"/>
        </w:rPr>
        <w:t>反映本单位当年全部收入。</w:t>
      </w:r>
      <w:r>
        <w:rPr>
          <w:rFonts w:hint="eastAsia" w:ascii="Times New Roman" w:hAnsi="Times New Roman" w:eastAsia="方正仿宋_GBK" w:cs="Times New Roman"/>
          <w:b w:val="0"/>
          <w:color w:val="000000"/>
          <w:sz w:val="28"/>
          <w:lang w:val="en-US" w:eastAsia="zh-CN"/>
        </w:rPr>
        <w:t>2022年预算收入825.4万元，一般公共预算825.4万元</w:t>
      </w:r>
    </w:p>
    <w:p>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（二）支出说明</w:t>
      </w:r>
    </w:p>
    <w:p>
      <w:pPr>
        <w:ind w:firstLine="560" w:firstLineChars="200"/>
        <w:rPr>
          <w:rFonts w:hint="default" w:eastAsia="方正仿宋_GBK" w:cs="Times New Roman"/>
          <w:color w:val="000000"/>
          <w:sz w:val="28"/>
          <w:lang w:val="en-US" w:eastAsia="zh-CN"/>
        </w:rPr>
      </w:pPr>
      <w:r>
        <w:rPr>
          <w:rFonts w:ascii="Times New Roman" w:hAnsi="Times New Roman" w:eastAsia="方正仿宋_GBK" w:cs="Times New Roman"/>
          <w:b w:val="0"/>
          <w:color w:val="000000"/>
          <w:sz w:val="28"/>
        </w:rPr>
        <w:t>收支预算总表支出栏、基本支出表、项目支出表按经济分类和支出功能分类科目编制，反映单位预算中支出预算的总体情况</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2</w:t>
      </w:r>
      <w:r>
        <w:rPr>
          <w:rFonts w:hint="eastAsia" w:eastAsia="方正仿宋_GBK" w:cs="Times New Roman"/>
          <w:color w:val="000000"/>
          <w:sz w:val="28"/>
          <w:lang w:val="en-US" w:eastAsia="zh-CN"/>
        </w:rPr>
        <w:t>022年单位支出预算825.4万元，其中基本支出564.2万元，包括人员经费529.24万元和日常公用经费34.96万元；项目支出261.2万元，全部为本级支出，主要为发展改革工作经费、项目管理经费、创新发展十条奖励资金、第七次全国人口普查工作经费。</w:t>
      </w:r>
    </w:p>
    <w:p>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（三）比上年增减情况</w:t>
      </w:r>
    </w:p>
    <w:p>
      <w:pPr>
        <w:numPr>
          <w:ilvl w:val="0"/>
          <w:numId w:val="0"/>
        </w:numPr>
        <w:spacing w:before="0" w:after="0" w:line="500" w:lineRule="exact"/>
        <w:ind w:firstLine="560" w:firstLineChars="200"/>
        <w:jc w:val="left"/>
        <w:outlineLvl w:val="9"/>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2022年单位预算较2021年增加79.5万元，其中基本支出增加9.3万元，项目支出增加70.2万元，主要是预算项目增加。</w:t>
      </w:r>
    </w:p>
    <w:p>
      <w:pPr>
        <w:spacing w:before="0" w:after="0" w:line="500" w:lineRule="exact"/>
        <w:ind w:firstLine="560"/>
        <w:jc w:val="left"/>
        <w:outlineLvl w:val="9"/>
        <w:rPr>
          <w:rFonts w:ascii="Times New Roman" w:hAnsi="Times New Roman" w:eastAsia="方正仿宋_GBK" w:cs="Times New Roman"/>
          <w:b w:val="0"/>
          <w:color w:val="000000"/>
          <w:sz w:val="28"/>
        </w:rPr>
      </w:pPr>
    </w:p>
    <w:p>
      <w:pPr>
        <w:pStyle w:val="15"/>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ind w:firstLine="320" w:firstLineChars="100"/>
        <w:outlineLvl w:val="9"/>
      </w:pPr>
      <w:r>
        <w:rPr>
          <w:rFonts w:hint="default" w:ascii="Times New Roman" w:hAnsi="Times New Roman" w:eastAsia="黑体" w:cs="Times New Roman"/>
          <w:color w:val="000000"/>
          <w:sz w:val="32"/>
          <w:lang w:val="en-US" w:eastAsia="zh-CN"/>
        </w:rPr>
        <w:t xml:space="preserve"> </w:t>
      </w:r>
      <w:r>
        <w:rPr>
          <w:rFonts w:hint="default" w:ascii="Times New Roman" w:hAnsi="Times New Roman" w:eastAsia="方正仿宋_GBK" w:cs="Times New Roman"/>
          <w:color w:val="000000"/>
          <w:sz w:val="28"/>
          <w:szCs w:val="24"/>
          <w:lang w:val="en-US" w:eastAsia="zh-CN" w:bidi="ar-SA"/>
        </w:rPr>
        <w:t xml:space="preserve"> 机关运行经费共计安排</w:t>
      </w:r>
      <w:r>
        <w:rPr>
          <w:rFonts w:hint="eastAsia" w:ascii="Times New Roman" w:hAnsi="Times New Roman" w:eastAsia="方正仿宋_GBK" w:cs="Times New Roman"/>
          <w:color w:val="000000"/>
          <w:sz w:val="28"/>
          <w:szCs w:val="24"/>
          <w:lang w:val="en-US" w:eastAsia="zh-CN" w:bidi="ar-SA"/>
        </w:rPr>
        <w:t>34.96万</w:t>
      </w:r>
      <w:r>
        <w:rPr>
          <w:rFonts w:hint="default" w:ascii="Times New Roman" w:hAnsi="Times New Roman" w:eastAsia="方正仿宋_GBK" w:cs="Times New Roman"/>
          <w:color w:val="000000"/>
          <w:sz w:val="28"/>
          <w:szCs w:val="24"/>
          <w:lang w:val="en-US" w:eastAsia="zh-CN" w:bidi="ar-SA"/>
        </w:rPr>
        <w:t>元，主要用于保证机关正常运转支的办公费、印刷费、差旅费、会议费、福利费、专用材料及一般设备购置费、办公用房水电费、日常维修费等支出。</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6"/>
        <w:ind w:firstLine="280" w:firstLineChars="100"/>
        <w:outlineLvl w:val="9"/>
        <w:rPr>
          <w:rFonts w:hint="default" w:ascii="Times New Roman" w:hAnsi="Times New Roman" w:eastAsia="方正仿宋_GBK" w:cs="Times New Roman"/>
          <w:color w:val="000000"/>
          <w:sz w:val="28"/>
          <w:szCs w:val="24"/>
          <w:lang w:val="en-US" w:eastAsia="zh-CN" w:bidi="ar-SA"/>
        </w:rPr>
      </w:pPr>
      <w:r>
        <w:rPr>
          <w:rFonts w:hint="default" w:ascii="Times New Roman" w:hAnsi="Times New Roman" w:eastAsia="方正仿宋_GBK" w:cs="Times New Roman"/>
          <w:color w:val="000000"/>
          <w:sz w:val="28"/>
          <w:szCs w:val="24"/>
          <w:lang w:val="en-US" w:eastAsia="zh-CN" w:bidi="ar-SA"/>
        </w:rPr>
        <w:t>2022年，财政拨款“三公”经费预算安排</w:t>
      </w:r>
      <w:r>
        <w:rPr>
          <w:rFonts w:hint="eastAsia" w:ascii="Times New Roman" w:hAnsi="Times New Roman" w:eastAsia="方正仿宋_GBK" w:cs="Times New Roman"/>
          <w:color w:val="000000"/>
          <w:sz w:val="28"/>
          <w:szCs w:val="24"/>
          <w:lang w:val="en-US" w:eastAsia="zh-CN" w:bidi="ar-SA"/>
        </w:rPr>
        <w:t>2.66</w:t>
      </w:r>
      <w:r>
        <w:rPr>
          <w:rFonts w:hint="default" w:ascii="Times New Roman" w:hAnsi="Times New Roman" w:eastAsia="方正仿宋_GBK" w:cs="Times New Roman"/>
          <w:color w:val="000000"/>
          <w:sz w:val="28"/>
          <w:szCs w:val="24"/>
          <w:lang w:val="en-US" w:eastAsia="zh-CN" w:bidi="ar-SA"/>
        </w:rPr>
        <w:t>万元，其中：因公出国（境）费0万元；公务用车购置及运维费2.3万元；公务接待费0.</w:t>
      </w:r>
      <w:r>
        <w:rPr>
          <w:rFonts w:hint="eastAsia" w:ascii="Times New Roman" w:hAnsi="Times New Roman" w:eastAsia="方正仿宋_GBK" w:cs="Times New Roman"/>
          <w:color w:val="000000"/>
          <w:sz w:val="28"/>
          <w:szCs w:val="24"/>
          <w:lang w:val="en-US" w:eastAsia="zh-CN" w:bidi="ar-SA"/>
        </w:rPr>
        <w:t>36</w:t>
      </w:r>
      <w:r>
        <w:rPr>
          <w:rFonts w:hint="default" w:ascii="Times New Roman" w:hAnsi="Times New Roman" w:eastAsia="方正仿宋_GBK" w:cs="Times New Roman"/>
          <w:color w:val="000000"/>
          <w:sz w:val="28"/>
          <w:szCs w:val="24"/>
          <w:lang w:val="en-US" w:eastAsia="zh-CN" w:bidi="ar-SA"/>
        </w:rPr>
        <w:t>万元。“三公”经费较上年</w:t>
      </w:r>
      <w:r>
        <w:rPr>
          <w:rFonts w:hint="eastAsia" w:ascii="Times New Roman" w:hAnsi="Times New Roman" w:eastAsia="方正仿宋_GBK" w:cs="Times New Roman"/>
          <w:color w:val="000000"/>
          <w:sz w:val="28"/>
          <w:szCs w:val="24"/>
          <w:lang w:val="en-US" w:eastAsia="zh-CN" w:bidi="ar-SA"/>
        </w:rPr>
        <w:t>减少0.36万元，下降11.92</w:t>
      </w:r>
      <w:r>
        <w:rPr>
          <w:rFonts w:hint="default" w:ascii="Times New Roman" w:hAnsi="Times New Roman" w:eastAsia="方正仿宋_GBK" w:cs="Times New Roman"/>
          <w:color w:val="000000"/>
          <w:sz w:val="28"/>
          <w:szCs w:val="24"/>
          <w:lang w:val="en-US" w:eastAsia="zh-CN" w:bidi="ar-SA"/>
        </w:rPr>
        <w:t>%，公务用车购置及运维费</w:t>
      </w:r>
      <w:r>
        <w:rPr>
          <w:rFonts w:hint="eastAsia" w:ascii="Times New Roman" w:hAnsi="Times New Roman" w:eastAsia="方正仿宋_GBK" w:cs="Times New Roman"/>
          <w:color w:val="000000"/>
          <w:sz w:val="28"/>
          <w:szCs w:val="24"/>
          <w:lang w:val="en-US" w:eastAsia="zh-CN" w:bidi="ar-SA"/>
        </w:rPr>
        <w:t>减少0.3万元，</w:t>
      </w:r>
      <w:r>
        <w:rPr>
          <w:rFonts w:hint="default" w:ascii="Times New Roman" w:hAnsi="Times New Roman" w:eastAsia="方正仿宋_GBK" w:cs="Times New Roman"/>
          <w:color w:val="000000"/>
          <w:sz w:val="28"/>
          <w:szCs w:val="24"/>
          <w:lang w:val="en-US" w:eastAsia="zh-CN" w:bidi="ar-SA"/>
        </w:rPr>
        <w:t>公务接待费</w:t>
      </w:r>
      <w:r>
        <w:rPr>
          <w:rFonts w:hint="eastAsia" w:ascii="Times New Roman" w:hAnsi="Times New Roman" w:eastAsia="方正仿宋_GBK" w:cs="Times New Roman"/>
          <w:color w:val="000000"/>
          <w:sz w:val="28"/>
          <w:szCs w:val="24"/>
          <w:lang w:val="en-US" w:eastAsia="zh-CN" w:bidi="ar-SA"/>
        </w:rPr>
        <w:t>减少</w:t>
      </w:r>
      <w:r>
        <w:rPr>
          <w:rFonts w:hint="default"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zh-CN" w:bidi="ar-SA"/>
        </w:rPr>
        <w:t>06</w:t>
      </w:r>
      <w:r>
        <w:rPr>
          <w:rFonts w:hint="default" w:ascii="Times New Roman" w:hAnsi="Times New Roman" w:eastAsia="方正仿宋_GBK" w:cs="Times New Roman"/>
          <w:color w:val="000000"/>
          <w:sz w:val="28"/>
          <w:szCs w:val="24"/>
          <w:lang w:val="en-US" w:eastAsia="zh-CN" w:bidi="ar-SA"/>
        </w:rPr>
        <w:t>万元</w:t>
      </w:r>
      <w:r>
        <w:rPr>
          <w:rFonts w:hint="eastAsia" w:ascii="Times New Roman" w:hAnsi="Times New Roman" w:eastAsia="方正仿宋_GBK" w:cs="Times New Roman"/>
          <w:color w:val="000000"/>
          <w:sz w:val="28"/>
          <w:szCs w:val="24"/>
          <w:lang w:val="en-US" w:eastAsia="zh-CN" w:bidi="ar-SA"/>
        </w:rPr>
        <w:t>。</w:t>
      </w:r>
      <w:r>
        <w:rPr>
          <w:rFonts w:hint="default" w:ascii="Times New Roman" w:hAnsi="Times New Roman" w:eastAsia="方正仿宋_GBK" w:cs="Times New Roman"/>
          <w:color w:val="000000"/>
          <w:sz w:val="28"/>
          <w:szCs w:val="24"/>
          <w:lang w:val="en-US" w:eastAsia="zh-CN" w:bidi="ar-SA"/>
        </w:rPr>
        <w:t>主要原因是公务用车运行维护费</w:t>
      </w:r>
      <w:r>
        <w:rPr>
          <w:rFonts w:hint="eastAsia" w:ascii="Times New Roman" w:hAnsi="Times New Roman" w:eastAsia="方正仿宋_GBK" w:cs="Times New Roman"/>
          <w:color w:val="000000"/>
          <w:sz w:val="28"/>
          <w:szCs w:val="24"/>
          <w:lang w:val="en-US" w:eastAsia="zh-CN" w:bidi="ar-SA"/>
        </w:rPr>
        <w:t>下降，公务接待费下降</w:t>
      </w:r>
      <w:r>
        <w:rPr>
          <w:rFonts w:hint="default" w:ascii="Times New Roman" w:hAnsi="Times New Roman" w:eastAsia="方正仿宋_GBK" w:cs="Times New Roman"/>
          <w:color w:val="000000"/>
          <w:sz w:val="28"/>
          <w:szCs w:val="24"/>
          <w:lang w:val="en-US" w:eastAsia="zh-CN" w:bidi="ar-SA"/>
        </w:rPr>
        <w:t>。</w:t>
      </w:r>
    </w:p>
    <w:p>
      <w:pPr>
        <w:pStyle w:val="18"/>
      </w:pPr>
      <w:bookmarkStart w:id="1" w:name="_GoBack"/>
      <w:bookmarkEnd w:id="1"/>
    </w:p>
    <w:p>
      <w:pPr>
        <w:spacing w:before="10" w:after="10" w:line="240" w:lineRule="auto"/>
        <w:ind w:firstLine="640"/>
        <w:jc w:val="left"/>
        <w:outlineLvl w:val="5"/>
      </w:pPr>
      <w:r>
        <w:rPr>
          <w:rFonts w:ascii="黑体" w:hAnsi="黑体" w:eastAsia="黑体" w:cs="黑体"/>
          <w:color w:val="000000"/>
          <w:sz w:val="32"/>
        </w:rPr>
        <w:t>五、预算绩效信息</w:t>
      </w:r>
    </w:p>
    <w:p>
      <w:pPr>
        <w:pStyle w:val="19"/>
        <w:spacing w:before="0" w:after="0"/>
        <w:ind w:firstLine="560"/>
        <w:jc w:val="left"/>
        <w:outlineLvl w:val="9"/>
      </w:pPr>
      <w:r>
        <w:rPr>
          <w:rFonts w:ascii="方正仿宋_GBK" w:hAnsi="方正仿宋_GBK" w:eastAsia="方正仿宋_GBK" w:cs="方正仿宋_GBK"/>
          <w:b/>
          <w:color w:val="000000"/>
          <w:sz w:val="28"/>
        </w:rPr>
        <w:t>1、发展改革工作经费绩效目标表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0"/>
            </w:pPr>
            <w:r>
              <w:t>绩效目标</w:t>
            </w:r>
          </w:p>
        </w:tc>
        <w:tc>
          <w:tcPr>
            <w:tcW w:w="7399" w:type="dxa"/>
            <w:tcBorders>
              <w:bottom w:val="single" w:color="FFFFFF" w:sz="6" w:space="0"/>
            </w:tcBorders>
            <w:vAlign w:val="center"/>
          </w:tcPr>
          <w:p>
            <w:pPr>
              <w:pStyle w:val="21"/>
            </w:pPr>
            <w:r>
              <w:t>1.保障发展改革局一般日常业务开展和机关事务的基本运转发生的日常支出等。</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0"/>
            </w:pPr>
            <w:r>
              <w:t>一级指标</w:t>
            </w:r>
          </w:p>
        </w:tc>
        <w:tc>
          <w:tcPr>
            <w:tcW w:w="2466" w:type="dxa"/>
            <w:vAlign w:val="center"/>
          </w:tcPr>
          <w:p>
            <w:pPr>
              <w:pStyle w:val="20"/>
            </w:pPr>
            <w:r>
              <w:t>二级指标</w:t>
            </w:r>
          </w:p>
        </w:tc>
        <w:tc>
          <w:tcPr>
            <w:tcW w:w="2466" w:type="dxa"/>
            <w:vAlign w:val="center"/>
          </w:tcPr>
          <w:p>
            <w:pPr>
              <w:pStyle w:val="20"/>
            </w:pPr>
            <w:r>
              <w:t>三级指标</w:t>
            </w:r>
          </w:p>
        </w:tc>
        <w:tc>
          <w:tcPr>
            <w:tcW w:w="2466" w:type="dxa"/>
            <w:vAlign w:val="center"/>
          </w:tcPr>
          <w:p>
            <w:pPr>
              <w:pStyle w:val="20"/>
            </w:pPr>
            <w:r>
              <w:t>绩效指标描述</w:t>
            </w:r>
          </w:p>
        </w:tc>
        <w:tc>
          <w:tcPr>
            <w:tcW w:w="2466"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2"/>
            </w:pPr>
            <w:r>
              <w:t>产出指标</w:t>
            </w:r>
          </w:p>
        </w:tc>
        <w:tc>
          <w:tcPr>
            <w:tcW w:w="2466" w:type="dxa"/>
            <w:vAlign w:val="center"/>
          </w:tcPr>
          <w:p>
            <w:pPr>
              <w:pStyle w:val="21"/>
            </w:pPr>
            <w:r>
              <w:t>数量指标</w:t>
            </w:r>
          </w:p>
        </w:tc>
        <w:tc>
          <w:tcPr>
            <w:tcW w:w="2466" w:type="dxa"/>
            <w:vAlign w:val="center"/>
          </w:tcPr>
          <w:p>
            <w:pPr>
              <w:pStyle w:val="21"/>
            </w:pPr>
            <w:r>
              <w:t>固定资产投资备案数</w:t>
            </w:r>
          </w:p>
        </w:tc>
        <w:tc>
          <w:tcPr>
            <w:tcW w:w="2466" w:type="dxa"/>
            <w:vAlign w:val="center"/>
          </w:tcPr>
          <w:p>
            <w:pPr>
              <w:pStyle w:val="21"/>
            </w:pPr>
            <w:r>
              <w:t>完成年度内固定资产投资备案总金额</w:t>
            </w:r>
          </w:p>
        </w:tc>
        <w:tc>
          <w:tcPr>
            <w:tcW w:w="2466" w:type="dxa"/>
            <w:vAlign w:val="center"/>
          </w:tcPr>
          <w:p>
            <w:pPr>
              <w:pStyle w:val="21"/>
            </w:pPr>
            <w:r>
              <w:t>≥90亿元</w:t>
            </w:r>
          </w:p>
        </w:tc>
        <w:tc>
          <w:tcPr>
            <w:tcW w:w="2466"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质量指标</w:t>
            </w:r>
          </w:p>
        </w:tc>
        <w:tc>
          <w:tcPr>
            <w:tcW w:w="2466" w:type="dxa"/>
            <w:vAlign w:val="center"/>
          </w:tcPr>
          <w:p>
            <w:pPr>
              <w:pStyle w:val="21"/>
            </w:pPr>
            <w:r>
              <w:t>各项任务完成率</w:t>
            </w:r>
          </w:p>
        </w:tc>
        <w:tc>
          <w:tcPr>
            <w:tcW w:w="2466" w:type="dxa"/>
            <w:vAlign w:val="center"/>
          </w:tcPr>
          <w:p>
            <w:pPr>
              <w:pStyle w:val="21"/>
            </w:pPr>
            <w:r>
              <w:t>完成年度内任务数占计划任务数的比率</w:t>
            </w:r>
          </w:p>
        </w:tc>
        <w:tc>
          <w:tcPr>
            <w:tcW w:w="2466" w:type="dxa"/>
            <w:vAlign w:val="center"/>
          </w:tcPr>
          <w:p>
            <w:pPr>
              <w:pStyle w:val="21"/>
            </w:pPr>
            <w:r>
              <w:t>≥100%</w:t>
            </w:r>
          </w:p>
        </w:tc>
        <w:tc>
          <w:tcPr>
            <w:tcW w:w="2466"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时效指标</w:t>
            </w:r>
          </w:p>
        </w:tc>
        <w:tc>
          <w:tcPr>
            <w:tcW w:w="2466" w:type="dxa"/>
            <w:vAlign w:val="center"/>
          </w:tcPr>
          <w:p>
            <w:pPr>
              <w:pStyle w:val="21"/>
            </w:pPr>
            <w:r>
              <w:t>及时性</w:t>
            </w:r>
          </w:p>
        </w:tc>
        <w:tc>
          <w:tcPr>
            <w:tcW w:w="2466" w:type="dxa"/>
            <w:vAlign w:val="center"/>
          </w:tcPr>
          <w:p>
            <w:pPr>
              <w:pStyle w:val="21"/>
            </w:pPr>
            <w:r>
              <w:t>按各项任务时间节点及时完成</w:t>
            </w:r>
          </w:p>
        </w:tc>
        <w:tc>
          <w:tcPr>
            <w:tcW w:w="2466" w:type="dxa"/>
            <w:vAlign w:val="center"/>
          </w:tcPr>
          <w:p>
            <w:pPr>
              <w:pStyle w:val="21"/>
            </w:pPr>
            <w:r>
              <w:t>及时完成</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成本指标</w:t>
            </w:r>
          </w:p>
        </w:tc>
        <w:tc>
          <w:tcPr>
            <w:tcW w:w="2466" w:type="dxa"/>
            <w:vAlign w:val="center"/>
          </w:tcPr>
          <w:p>
            <w:pPr>
              <w:pStyle w:val="21"/>
            </w:pPr>
            <w:r>
              <w:t>成本预算控制数</w:t>
            </w:r>
          </w:p>
        </w:tc>
        <w:tc>
          <w:tcPr>
            <w:tcW w:w="2466" w:type="dxa"/>
            <w:vAlign w:val="center"/>
          </w:tcPr>
          <w:p>
            <w:pPr>
              <w:pStyle w:val="21"/>
            </w:pPr>
            <w:r>
              <w:t>实际支出金额小于预算控制数</w:t>
            </w:r>
          </w:p>
        </w:tc>
        <w:tc>
          <w:tcPr>
            <w:tcW w:w="2466" w:type="dxa"/>
            <w:vAlign w:val="center"/>
          </w:tcPr>
          <w:p>
            <w:pPr>
              <w:pStyle w:val="21"/>
            </w:pPr>
            <w:r>
              <w:t>≤38万元</w:t>
            </w:r>
          </w:p>
        </w:tc>
        <w:tc>
          <w:tcPr>
            <w:tcW w:w="2466" w:type="dxa"/>
            <w:vAlign w:val="center"/>
          </w:tcPr>
          <w:p>
            <w:pPr>
              <w:pStyle w:val="2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2"/>
            </w:pPr>
            <w:r>
              <w:t>效益指标</w:t>
            </w:r>
          </w:p>
        </w:tc>
        <w:tc>
          <w:tcPr>
            <w:tcW w:w="2466" w:type="dxa"/>
            <w:vAlign w:val="center"/>
          </w:tcPr>
          <w:p>
            <w:pPr>
              <w:pStyle w:val="21"/>
            </w:pPr>
            <w:r>
              <w:t>经济效益指标</w:t>
            </w:r>
          </w:p>
        </w:tc>
        <w:tc>
          <w:tcPr>
            <w:tcW w:w="2466" w:type="dxa"/>
            <w:vAlign w:val="center"/>
          </w:tcPr>
          <w:p>
            <w:pPr>
              <w:pStyle w:val="21"/>
            </w:pPr>
            <w:r>
              <w:t>地区生产总值</w:t>
            </w:r>
          </w:p>
        </w:tc>
        <w:tc>
          <w:tcPr>
            <w:tcW w:w="2466" w:type="dxa"/>
            <w:vAlign w:val="center"/>
          </w:tcPr>
          <w:p>
            <w:pPr>
              <w:pStyle w:val="21"/>
            </w:pPr>
            <w:r>
              <w:t>地区生产总值</w:t>
            </w:r>
          </w:p>
        </w:tc>
        <w:tc>
          <w:tcPr>
            <w:tcW w:w="2466" w:type="dxa"/>
            <w:vAlign w:val="center"/>
          </w:tcPr>
          <w:p>
            <w:pPr>
              <w:pStyle w:val="21"/>
            </w:pPr>
            <w:r>
              <w:t>≥40亿元</w:t>
            </w:r>
          </w:p>
        </w:tc>
        <w:tc>
          <w:tcPr>
            <w:tcW w:w="2466"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社会效益指标</w:t>
            </w:r>
          </w:p>
        </w:tc>
        <w:tc>
          <w:tcPr>
            <w:tcW w:w="2466" w:type="dxa"/>
            <w:vAlign w:val="center"/>
          </w:tcPr>
          <w:p>
            <w:pPr>
              <w:pStyle w:val="21"/>
            </w:pPr>
            <w:r>
              <w:t>促进新区发展</w:t>
            </w:r>
          </w:p>
        </w:tc>
        <w:tc>
          <w:tcPr>
            <w:tcW w:w="2466" w:type="dxa"/>
            <w:vAlign w:val="center"/>
          </w:tcPr>
          <w:p>
            <w:pPr>
              <w:pStyle w:val="21"/>
            </w:pPr>
            <w:r>
              <w:t>加快重点项目建设，着力推动新区产业转型升级，推动新区高质量发展</w:t>
            </w:r>
          </w:p>
        </w:tc>
        <w:tc>
          <w:tcPr>
            <w:tcW w:w="2466" w:type="dxa"/>
            <w:vAlign w:val="center"/>
          </w:tcPr>
          <w:p>
            <w:pPr>
              <w:pStyle w:val="21"/>
            </w:pPr>
            <w:r>
              <w:t>效果显著</w:t>
            </w:r>
          </w:p>
        </w:tc>
        <w:tc>
          <w:tcPr>
            <w:tcW w:w="2466"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生态效益指标</w:t>
            </w:r>
          </w:p>
        </w:tc>
        <w:tc>
          <w:tcPr>
            <w:tcW w:w="2466" w:type="dxa"/>
            <w:vAlign w:val="center"/>
          </w:tcPr>
          <w:p>
            <w:pPr>
              <w:pStyle w:val="21"/>
            </w:pPr>
            <w:r>
              <w:t>加强生态环境保护</w:t>
            </w:r>
          </w:p>
        </w:tc>
        <w:tc>
          <w:tcPr>
            <w:tcW w:w="2466" w:type="dxa"/>
            <w:vAlign w:val="center"/>
          </w:tcPr>
          <w:p>
            <w:pPr>
              <w:pStyle w:val="21"/>
            </w:pPr>
            <w:r>
              <w:t>加强生态环境保护，为企业注入活力</w:t>
            </w:r>
          </w:p>
        </w:tc>
        <w:tc>
          <w:tcPr>
            <w:tcW w:w="2466" w:type="dxa"/>
            <w:vAlign w:val="center"/>
          </w:tcPr>
          <w:p>
            <w:pPr>
              <w:pStyle w:val="21"/>
            </w:pPr>
            <w:r>
              <w:t>提高</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可持续影响指标</w:t>
            </w:r>
          </w:p>
        </w:tc>
        <w:tc>
          <w:tcPr>
            <w:tcW w:w="2466" w:type="dxa"/>
            <w:vAlign w:val="center"/>
          </w:tcPr>
          <w:p>
            <w:pPr>
              <w:pStyle w:val="21"/>
            </w:pPr>
            <w:r>
              <w:t>促进新区企业健康发展</w:t>
            </w:r>
          </w:p>
        </w:tc>
        <w:tc>
          <w:tcPr>
            <w:tcW w:w="2466" w:type="dxa"/>
            <w:vAlign w:val="center"/>
          </w:tcPr>
          <w:p>
            <w:pPr>
              <w:pStyle w:val="21"/>
            </w:pPr>
            <w:r>
              <w:t>促进外资外贸企业、批零住餐行业健康发展</w:t>
            </w:r>
          </w:p>
        </w:tc>
        <w:tc>
          <w:tcPr>
            <w:tcW w:w="2466" w:type="dxa"/>
            <w:vAlign w:val="center"/>
          </w:tcPr>
          <w:p>
            <w:pPr>
              <w:pStyle w:val="21"/>
            </w:pPr>
            <w:r>
              <w:t>效果显著</w:t>
            </w:r>
          </w:p>
        </w:tc>
        <w:tc>
          <w:tcPr>
            <w:tcW w:w="2466" w:type="dxa"/>
            <w:vAlign w:val="center"/>
          </w:tcPr>
          <w:p>
            <w:pPr>
              <w:pStyle w:val="21"/>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2"/>
            </w:pPr>
            <w:r>
              <w:t>满意度指标</w:t>
            </w:r>
          </w:p>
        </w:tc>
        <w:tc>
          <w:tcPr>
            <w:tcW w:w="2466" w:type="dxa"/>
            <w:vAlign w:val="center"/>
          </w:tcPr>
          <w:p>
            <w:pPr>
              <w:pStyle w:val="21"/>
            </w:pPr>
            <w:r>
              <w:t>服务对象满意度指标</w:t>
            </w:r>
          </w:p>
        </w:tc>
        <w:tc>
          <w:tcPr>
            <w:tcW w:w="2466" w:type="dxa"/>
            <w:vAlign w:val="center"/>
          </w:tcPr>
          <w:p>
            <w:pPr>
              <w:pStyle w:val="21"/>
            </w:pPr>
            <w:r>
              <w:t>服务对象满意度</w:t>
            </w:r>
          </w:p>
        </w:tc>
        <w:tc>
          <w:tcPr>
            <w:tcW w:w="2466" w:type="dxa"/>
            <w:vAlign w:val="center"/>
          </w:tcPr>
          <w:p>
            <w:pPr>
              <w:pStyle w:val="21"/>
            </w:pPr>
            <w:r>
              <w:t>被调查单位或群体对本部门工作的满意程度</w:t>
            </w:r>
          </w:p>
        </w:tc>
        <w:tc>
          <w:tcPr>
            <w:tcW w:w="2466" w:type="dxa"/>
            <w:vAlign w:val="center"/>
          </w:tcPr>
          <w:p>
            <w:pPr>
              <w:pStyle w:val="21"/>
            </w:pPr>
            <w:r>
              <w:t>≥90%</w:t>
            </w:r>
          </w:p>
        </w:tc>
        <w:tc>
          <w:tcPr>
            <w:tcW w:w="2466" w:type="dxa"/>
            <w:vAlign w:val="center"/>
          </w:tcPr>
          <w:p>
            <w:pPr>
              <w:pStyle w:val="21"/>
            </w:pPr>
            <w:r>
              <w:t>综合调查结果</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2、项目管理经费绩效目标表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0"/>
            </w:pPr>
            <w:r>
              <w:t>绩效目标</w:t>
            </w:r>
          </w:p>
        </w:tc>
        <w:tc>
          <w:tcPr>
            <w:tcW w:w="7399" w:type="dxa"/>
            <w:tcBorders>
              <w:bottom w:val="single" w:color="FFFFFF" w:sz="6" w:space="0"/>
            </w:tcBorders>
            <w:vAlign w:val="center"/>
          </w:tcPr>
          <w:p>
            <w:pPr>
              <w:pStyle w:val="21"/>
            </w:pPr>
            <w:r>
              <w:t>1.每季度举办或参加集中开工活动、观摩活动、推进项目落地开工。</w:t>
            </w:r>
          </w:p>
          <w:p>
            <w:pPr>
              <w:pStyle w:val="21"/>
            </w:pPr>
            <w:r>
              <w:t>2.完成相关项目可研报告编制工作，推进项目前期手续办理。</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0"/>
            </w:pPr>
            <w:r>
              <w:t>一级指标</w:t>
            </w:r>
          </w:p>
        </w:tc>
        <w:tc>
          <w:tcPr>
            <w:tcW w:w="2466" w:type="dxa"/>
            <w:vAlign w:val="center"/>
          </w:tcPr>
          <w:p>
            <w:pPr>
              <w:pStyle w:val="20"/>
            </w:pPr>
            <w:r>
              <w:t>二级指标</w:t>
            </w:r>
          </w:p>
        </w:tc>
        <w:tc>
          <w:tcPr>
            <w:tcW w:w="2466" w:type="dxa"/>
            <w:vAlign w:val="center"/>
          </w:tcPr>
          <w:p>
            <w:pPr>
              <w:pStyle w:val="20"/>
            </w:pPr>
            <w:r>
              <w:t>三级指标</w:t>
            </w:r>
          </w:p>
        </w:tc>
        <w:tc>
          <w:tcPr>
            <w:tcW w:w="2466" w:type="dxa"/>
            <w:vAlign w:val="center"/>
          </w:tcPr>
          <w:p>
            <w:pPr>
              <w:pStyle w:val="20"/>
            </w:pPr>
            <w:r>
              <w:t>绩效指标描述</w:t>
            </w:r>
          </w:p>
        </w:tc>
        <w:tc>
          <w:tcPr>
            <w:tcW w:w="2466"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2"/>
            </w:pPr>
            <w:r>
              <w:t>产出指标</w:t>
            </w:r>
          </w:p>
        </w:tc>
        <w:tc>
          <w:tcPr>
            <w:tcW w:w="2466" w:type="dxa"/>
            <w:vAlign w:val="center"/>
          </w:tcPr>
          <w:p>
            <w:pPr>
              <w:pStyle w:val="21"/>
            </w:pPr>
            <w:r>
              <w:t>数量指标</w:t>
            </w:r>
          </w:p>
        </w:tc>
        <w:tc>
          <w:tcPr>
            <w:tcW w:w="2466" w:type="dxa"/>
            <w:vAlign w:val="center"/>
          </w:tcPr>
          <w:p>
            <w:pPr>
              <w:pStyle w:val="21"/>
            </w:pPr>
            <w:r>
              <w:t>组织或参加开工活动次数</w:t>
            </w:r>
          </w:p>
        </w:tc>
        <w:tc>
          <w:tcPr>
            <w:tcW w:w="2466" w:type="dxa"/>
            <w:vAlign w:val="center"/>
          </w:tcPr>
          <w:p>
            <w:pPr>
              <w:pStyle w:val="21"/>
            </w:pPr>
            <w:r>
              <w:t>年度内完成组织或参加开工活动总次数</w:t>
            </w:r>
          </w:p>
        </w:tc>
        <w:tc>
          <w:tcPr>
            <w:tcW w:w="2466" w:type="dxa"/>
            <w:vAlign w:val="center"/>
          </w:tcPr>
          <w:p>
            <w:pPr>
              <w:pStyle w:val="21"/>
            </w:pPr>
            <w:r>
              <w:t>4次</w:t>
            </w:r>
          </w:p>
        </w:tc>
        <w:tc>
          <w:tcPr>
            <w:tcW w:w="2466" w:type="dxa"/>
            <w:vAlign w:val="center"/>
          </w:tcPr>
          <w:p>
            <w:pPr>
              <w:pStyle w:val="21"/>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质量指标</w:t>
            </w:r>
          </w:p>
        </w:tc>
        <w:tc>
          <w:tcPr>
            <w:tcW w:w="2466" w:type="dxa"/>
            <w:vAlign w:val="center"/>
          </w:tcPr>
          <w:p>
            <w:pPr>
              <w:pStyle w:val="21"/>
            </w:pPr>
            <w:r>
              <w:t>开工率</w:t>
            </w:r>
          </w:p>
        </w:tc>
        <w:tc>
          <w:tcPr>
            <w:tcW w:w="2466" w:type="dxa"/>
            <w:vAlign w:val="center"/>
          </w:tcPr>
          <w:p>
            <w:pPr>
              <w:pStyle w:val="21"/>
            </w:pPr>
            <w:r>
              <w:t>全年实际开工项目占申报集中开工项目比率</w:t>
            </w:r>
          </w:p>
        </w:tc>
        <w:tc>
          <w:tcPr>
            <w:tcW w:w="2466" w:type="dxa"/>
            <w:vAlign w:val="center"/>
          </w:tcPr>
          <w:p>
            <w:pPr>
              <w:pStyle w:val="21"/>
            </w:pPr>
            <w:r>
              <w:t>100%</w:t>
            </w:r>
          </w:p>
        </w:tc>
        <w:tc>
          <w:tcPr>
            <w:tcW w:w="2466" w:type="dxa"/>
            <w:vAlign w:val="center"/>
          </w:tcPr>
          <w:p>
            <w:pPr>
              <w:pStyle w:val="21"/>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时效指标</w:t>
            </w:r>
          </w:p>
        </w:tc>
        <w:tc>
          <w:tcPr>
            <w:tcW w:w="2466" w:type="dxa"/>
            <w:vAlign w:val="center"/>
          </w:tcPr>
          <w:p>
            <w:pPr>
              <w:pStyle w:val="21"/>
            </w:pPr>
            <w:r>
              <w:t>组织或参加活动完成时间</w:t>
            </w:r>
          </w:p>
        </w:tc>
        <w:tc>
          <w:tcPr>
            <w:tcW w:w="2466" w:type="dxa"/>
            <w:vAlign w:val="center"/>
          </w:tcPr>
          <w:p>
            <w:pPr>
              <w:pStyle w:val="21"/>
            </w:pPr>
            <w:r>
              <w:t>年度内组织或参加开工及观摩活动完成时间</w:t>
            </w:r>
          </w:p>
        </w:tc>
        <w:tc>
          <w:tcPr>
            <w:tcW w:w="2466" w:type="dxa"/>
            <w:vAlign w:val="center"/>
          </w:tcPr>
          <w:p>
            <w:pPr>
              <w:pStyle w:val="21"/>
            </w:pPr>
            <w:r>
              <w:t>每季度</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成本指标</w:t>
            </w:r>
          </w:p>
        </w:tc>
        <w:tc>
          <w:tcPr>
            <w:tcW w:w="2466" w:type="dxa"/>
            <w:vAlign w:val="center"/>
          </w:tcPr>
          <w:p>
            <w:pPr>
              <w:pStyle w:val="21"/>
            </w:pPr>
            <w:r>
              <w:t>组织开工活动成本</w:t>
            </w:r>
          </w:p>
        </w:tc>
        <w:tc>
          <w:tcPr>
            <w:tcW w:w="2466" w:type="dxa"/>
            <w:vAlign w:val="center"/>
          </w:tcPr>
          <w:p>
            <w:pPr>
              <w:pStyle w:val="21"/>
            </w:pPr>
            <w:r>
              <w:t>每次举办集中开工活动所需成本控制数</w:t>
            </w:r>
          </w:p>
        </w:tc>
        <w:tc>
          <w:tcPr>
            <w:tcW w:w="2466" w:type="dxa"/>
            <w:vAlign w:val="center"/>
          </w:tcPr>
          <w:p>
            <w:pPr>
              <w:pStyle w:val="21"/>
            </w:pPr>
            <w:r>
              <w:t>≤30万元</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2"/>
            </w:pPr>
            <w:r>
              <w:t>效益指标</w:t>
            </w:r>
          </w:p>
        </w:tc>
        <w:tc>
          <w:tcPr>
            <w:tcW w:w="2466" w:type="dxa"/>
            <w:vAlign w:val="center"/>
          </w:tcPr>
          <w:p>
            <w:pPr>
              <w:pStyle w:val="21"/>
            </w:pPr>
            <w:r>
              <w:t>社会效益指标</w:t>
            </w:r>
          </w:p>
        </w:tc>
        <w:tc>
          <w:tcPr>
            <w:tcW w:w="2466" w:type="dxa"/>
            <w:vAlign w:val="center"/>
          </w:tcPr>
          <w:p>
            <w:pPr>
              <w:pStyle w:val="21"/>
            </w:pPr>
            <w:r>
              <w:t>促进新区企业发展</w:t>
            </w:r>
          </w:p>
        </w:tc>
        <w:tc>
          <w:tcPr>
            <w:tcW w:w="2466" w:type="dxa"/>
            <w:vAlign w:val="center"/>
          </w:tcPr>
          <w:p>
            <w:pPr>
              <w:pStyle w:val="21"/>
            </w:pPr>
            <w:r>
              <w:t>促进项目落地开工，提升新区相关指标有效增长</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经济效益指标</w:t>
            </w:r>
          </w:p>
        </w:tc>
        <w:tc>
          <w:tcPr>
            <w:tcW w:w="2466" w:type="dxa"/>
            <w:vAlign w:val="center"/>
          </w:tcPr>
          <w:p>
            <w:pPr>
              <w:pStyle w:val="21"/>
            </w:pPr>
            <w:r>
              <w:t>促进新区企业经济建设</w:t>
            </w:r>
          </w:p>
        </w:tc>
        <w:tc>
          <w:tcPr>
            <w:tcW w:w="2466" w:type="dxa"/>
            <w:vAlign w:val="center"/>
          </w:tcPr>
          <w:p>
            <w:pPr>
              <w:pStyle w:val="21"/>
            </w:pPr>
            <w:r>
              <w:t>促进新区行业加快发展，推动新区经济建设</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生态效益指标</w:t>
            </w:r>
          </w:p>
        </w:tc>
        <w:tc>
          <w:tcPr>
            <w:tcW w:w="2466" w:type="dxa"/>
            <w:vAlign w:val="center"/>
          </w:tcPr>
          <w:p>
            <w:pPr>
              <w:pStyle w:val="21"/>
            </w:pPr>
            <w:r>
              <w:t>加强生态环境保护</w:t>
            </w:r>
          </w:p>
        </w:tc>
        <w:tc>
          <w:tcPr>
            <w:tcW w:w="2466" w:type="dxa"/>
            <w:vAlign w:val="center"/>
          </w:tcPr>
          <w:p>
            <w:pPr>
              <w:pStyle w:val="21"/>
            </w:pPr>
            <w:r>
              <w:t>减少新区企业污染，加强生态环境保护</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可持续影响指标</w:t>
            </w:r>
          </w:p>
        </w:tc>
        <w:tc>
          <w:tcPr>
            <w:tcW w:w="2466" w:type="dxa"/>
            <w:vAlign w:val="center"/>
          </w:tcPr>
          <w:p>
            <w:pPr>
              <w:pStyle w:val="21"/>
            </w:pPr>
            <w:r>
              <w:t>推进新区项目建设</w:t>
            </w:r>
          </w:p>
        </w:tc>
        <w:tc>
          <w:tcPr>
            <w:tcW w:w="2466" w:type="dxa"/>
            <w:vAlign w:val="center"/>
          </w:tcPr>
          <w:p>
            <w:pPr>
              <w:pStyle w:val="21"/>
            </w:pPr>
            <w:r>
              <w:t>加快重点项目建设，推动新区高质量发展</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2"/>
            </w:pPr>
            <w:r>
              <w:t>满意度指标</w:t>
            </w:r>
          </w:p>
        </w:tc>
        <w:tc>
          <w:tcPr>
            <w:tcW w:w="2466" w:type="dxa"/>
            <w:vAlign w:val="center"/>
          </w:tcPr>
          <w:p>
            <w:pPr>
              <w:pStyle w:val="21"/>
            </w:pPr>
            <w:r>
              <w:t>服务对象满意度指标</w:t>
            </w:r>
          </w:p>
        </w:tc>
        <w:tc>
          <w:tcPr>
            <w:tcW w:w="2466" w:type="dxa"/>
            <w:vAlign w:val="center"/>
          </w:tcPr>
          <w:p>
            <w:pPr>
              <w:pStyle w:val="21"/>
            </w:pPr>
            <w:r>
              <w:t>综合满意度</w:t>
            </w:r>
          </w:p>
        </w:tc>
        <w:tc>
          <w:tcPr>
            <w:tcW w:w="2466" w:type="dxa"/>
            <w:vAlign w:val="center"/>
          </w:tcPr>
          <w:p>
            <w:pPr>
              <w:pStyle w:val="21"/>
            </w:pPr>
            <w:r>
              <w:t>被调查单位或群体对本部门工作的满意程度</w:t>
            </w:r>
          </w:p>
        </w:tc>
        <w:tc>
          <w:tcPr>
            <w:tcW w:w="2466" w:type="dxa"/>
            <w:vAlign w:val="center"/>
          </w:tcPr>
          <w:p>
            <w:pPr>
              <w:pStyle w:val="21"/>
            </w:pPr>
            <w:r>
              <w:t>≥90%</w:t>
            </w:r>
          </w:p>
        </w:tc>
        <w:tc>
          <w:tcPr>
            <w:tcW w:w="2466" w:type="dxa"/>
            <w:vAlign w:val="center"/>
          </w:tcPr>
          <w:p>
            <w:pPr>
              <w:pStyle w:val="21"/>
            </w:pPr>
            <w:r>
              <w:t>综合调查结果</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3、创新发展十条奖励资金绩效目标表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0"/>
            </w:pPr>
            <w:r>
              <w:t>绩效目标</w:t>
            </w:r>
          </w:p>
        </w:tc>
        <w:tc>
          <w:tcPr>
            <w:tcW w:w="7399" w:type="dxa"/>
            <w:tcBorders>
              <w:bottom w:val="single" w:color="FFFFFF" w:sz="6" w:space="0"/>
            </w:tcBorders>
            <w:vAlign w:val="center"/>
          </w:tcPr>
          <w:p>
            <w:pPr>
              <w:pStyle w:val="21"/>
            </w:pPr>
            <w:r>
              <w:t>1.聚焦稳定抓运行，持续拓展经济社会发展成果</w:t>
            </w:r>
          </w:p>
          <w:p>
            <w:pPr>
              <w:pStyle w:val="21"/>
            </w:pPr>
            <w:r>
              <w:t>2.科学有序推进项目建设，力促投资高质量发展</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0"/>
            </w:pPr>
            <w:r>
              <w:t>一级指标</w:t>
            </w:r>
          </w:p>
        </w:tc>
        <w:tc>
          <w:tcPr>
            <w:tcW w:w="2466" w:type="dxa"/>
            <w:vAlign w:val="center"/>
          </w:tcPr>
          <w:p>
            <w:pPr>
              <w:pStyle w:val="20"/>
            </w:pPr>
            <w:r>
              <w:t>二级指标</w:t>
            </w:r>
          </w:p>
        </w:tc>
        <w:tc>
          <w:tcPr>
            <w:tcW w:w="2466" w:type="dxa"/>
            <w:vAlign w:val="center"/>
          </w:tcPr>
          <w:p>
            <w:pPr>
              <w:pStyle w:val="20"/>
            </w:pPr>
            <w:r>
              <w:t>三级指标</w:t>
            </w:r>
          </w:p>
        </w:tc>
        <w:tc>
          <w:tcPr>
            <w:tcW w:w="2466" w:type="dxa"/>
            <w:vAlign w:val="center"/>
          </w:tcPr>
          <w:p>
            <w:pPr>
              <w:pStyle w:val="20"/>
            </w:pPr>
            <w:r>
              <w:t>绩效指标描述</w:t>
            </w:r>
          </w:p>
        </w:tc>
        <w:tc>
          <w:tcPr>
            <w:tcW w:w="2466"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2"/>
            </w:pPr>
            <w:r>
              <w:t>产出指标</w:t>
            </w:r>
          </w:p>
        </w:tc>
        <w:tc>
          <w:tcPr>
            <w:tcW w:w="2466" w:type="dxa"/>
            <w:vAlign w:val="center"/>
          </w:tcPr>
          <w:p>
            <w:pPr>
              <w:pStyle w:val="21"/>
            </w:pPr>
            <w:r>
              <w:t>数量指标</w:t>
            </w:r>
          </w:p>
        </w:tc>
        <w:tc>
          <w:tcPr>
            <w:tcW w:w="2466" w:type="dxa"/>
            <w:vAlign w:val="center"/>
          </w:tcPr>
          <w:p>
            <w:pPr>
              <w:pStyle w:val="21"/>
            </w:pPr>
            <w:r>
              <w:t>奖励金额</w:t>
            </w:r>
          </w:p>
        </w:tc>
        <w:tc>
          <w:tcPr>
            <w:tcW w:w="2466" w:type="dxa"/>
            <w:vAlign w:val="center"/>
          </w:tcPr>
          <w:p>
            <w:pPr>
              <w:pStyle w:val="21"/>
            </w:pPr>
            <w:r>
              <w:t>企业统计员奖励金额</w:t>
            </w:r>
          </w:p>
        </w:tc>
        <w:tc>
          <w:tcPr>
            <w:tcW w:w="2466" w:type="dxa"/>
            <w:vAlign w:val="center"/>
          </w:tcPr>
          <w:p>
            <w:pPr>
              <w:pStyle w:val="21"/>
            </w:pPr>
            <w:r>
              <w:t>2000元</w:t>
            </w:r>
          </w:p>
        </w:tc>
        <w:tc>
          <w:tcPr>
            <w:tcW w:w="2466" w:type="dxa"/>
            <w:vAlign w:val="center"/>
          </w:tcPr>
          <w:p>
            <w:pPr>
              <w:pStyle w:val="21"/>
            </w:pPr>
            <w:r>
              <w:t xml:space="preserve">新纳统“四上”企业暨企业创新发展奖励办法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质量指标</w:t>
            </w:r>
          </w:p>
        </w:tc>
        <w:tc>
          <w:tcPr>
            <w:tcW w:w="2466" w:type="dxa"/>
            <w:vAlign w:val="center"/>
          </w:tcPr>
          <w:p>
            <w:pPr>
              <w:pStyle w:val="21"/>
            </w:pPr>
            <w:r>
              <w:t>收入费用率</w:t>
            </w:r>
          </w:p>
        </w:tc>
        <w:tc>
          <w:tcPr>
            <w:tcW w:w="2466" w:type="dxa"/>
            <w:vAlign w:val="center"/>
          </w:tcPr>
          <w:p>
            <w:pPr>
              <w:pStyle w:val="21"/>
            </w:pPr>
            <w:r>
              <w:t>研究与试验发展经费占营业收入比例</w:t>
            </w:r>
          </w:p>
        </w:tc>
        <w:tc>
          <w:tcPr>
            <w:tcW w:w="2466" w:type="dxa"/>
            <w:vAlign w:val="center"/>
          </w:tcPr>
          <w:p>
            <w:pPr>
              <w:pStyle w:val="21"/>
            </w:pPr>
            <w:r>
              <w:t>≥5%</w:t>
            </w:r>
          </w:p>
        </w:tc>
        <w:tc>
          <w:tcPr>
            <w:tcW w:w="2466" w:type="dxa"/>
            <w:vAlign w:val="center"/>
          </w:tcPr>
          <w:p>
            <w:pPr>
              <w:pStyle w:val="21"/>
            </w:pPr>
            <w:r>
              <w:t xml:space="preserve">新纳统“四上”企业暨企业创新发展奖励办法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时效指标</w:t>
            </w:r>
          </w:p>
        </w:tc>
        <w:tc>
          <w:tcPr>
            <w:tcW w:w="2466" w:type="dxa"/>
            <w:vAlign w:val="center"/>
          </w:tcPr>
          <w:p>
            <w:pPr>
              <w:pStyle w:val="21"/>
            </w:pPr>
            <w:r>
              <w:t>资金拨付及时性</w:t>
            </w:r>
          </w:p>
        </w:tc>
        <w:tc>
          <w:tcPr>
            <w:tcW w:w="2466" w:type="dxa"/>
            <w:vAlign w:val="center"/>
          </w:tcPr>
          <w:p>
            <w:pPr>
              <w:pStyle w:val="21"/>
            </w:pPr>
            <w:r>
              <w:t>实际拨付资金时间</w:t>
            </w:r>
          </w:p>
        </w:tc>
        <w:tc>
          <w:tcPr>
            <w:tcW w:w="2466" w:type="dxa"/>
            <w:vAlign w:val="center"/>
          </w:tcPr>
          <w:p>
            <w:pPr>
              <w:pStyle w:val="21"/>
            </w:pPr>
            <w:r>
              <w:t>2022年</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成本指标</w:t>
            </w:r>
          </w:p>
        </w:tc>
        <w:tc>
          <w:tcPr>
            <w:tcW w:w="2466" w:type="dxa"/>
            <w:vAlign w:val="center"/>
          </w:tcPr>
          <w:p>
            <w:pPr>
              <w:pStyle w:val="21"/>
            </w:pPr>
            <w:r>
              <w:t>成本预算控制数</w:t>
            </w:r>
          </w:p>
        </w:tc>
        <w:tc>
          <w:tcPr>
            <w:tcW w:w="2466" w:type="dxa"/>
            <w:vAlign w:val="center"/>
          </w:tcPr>
          <w:p>
            <w:pPr>
              <w:pStyle w:val="21"/>
            </w:pPr>
            <w:r>
              <w:t>实际支出成本小于预算控制数</w:t>
            </w:r>
          </w:p>
        </w:tc>
        <w:tc>
          <w:tcPr>
            <w:tcW w:w="2466" w:type="dxa"/>
            <w:vAlign w:val="center"/>
          </w:tcPr>
          <w:p>
            <w:pPr>
              <w:pStyle w:val="21"/>
            </w:pPr>
            <w:r>
              <w:t>≤100万元</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2"/>
            </w:pPr>
            <w:r>
              <w:t>效益指标</w:t>
            </w:r>
          </w:p>
        </w:tc>
        <w:tc>
          <w:tcPr>
            <w:tcW w:w="2466" w:type="dxa"/>
            <w:vAlign w:val="center"/>
          </w:tcPr>
          <w:p>
            <w:pPr>
              <w:pStyle w:val="21"/>
            </w:pPr>
            <w:r>
              <w:t>经济效益指标</w:t>
            </w:r>
          </w:p>
        </w:tc>
        <w:tc>
          <w:tcPr>
            <w:tcW w:w="2466" w:type="dxa"/>
            <w:vAlign w:val="center"/>
          </w:tcPr>
          <w:p>
            <w:pPr>
              <w:pStyle w:val="21"/>
            </w:pPr>
            <w:r>
              <w:t>促进新区高质量发展</w:t>
            </w:r>
          </w:p>
        </w:tc>
        <w:tc>
          <w:tcPr>
            <w:tcW w:w="2466" w:type="dxa"/>
            <w:vAlign w:val="center"/>
          </w:tcPr>
          <w:p>
            <w:pPr>
              <w:pStyle w:val="21"/>
            </w:pPr>
            <w:r>
              <w:t>促进新区高质量发展，扩大经济总量规模</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社会效益指标</w:t>
            </w:r>
          </w:p>
        </w:tc>
        <w:tc>
          <w:tcPr>
            <w:tcW w:w="2466" w:type="dxa"/>
            <w:vAlign w:val="center"/>
          </w:tcPr>
          <w:p>
            <w:pPr>
              <w:pStyle w:val="21"/>
            </w:pPr>
            <w:r>
              <w:t>优化产业结构</w:t>
            </w:r>
          </w:p>
        </w:tc>
        <w:tc>
          <w:tcPr>
            <w:tcW w:w="2466" w:type="dxa"/>
            <w:vAlign w:val="center"/>
          </w:tcPr>
          <w:p>
            <w:pPr>
              <w:pStyle w:val="21"/>
            </w:pPr>
            <w:r>
              <w:t>优化产业结构，提升发展层次</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生态效益指标</w:t>
            </w:r>
          </w:p>
        </w:tc>
        <w:tc>
          <w:tcPr>
            <w:tcW w:w="2466" w:type="dxa"/>
            <w:vAlign w:val="center"/>
          </w:tcPr>
          <w:p>
            <w:pPr>
              <w:pStyle w:val="21"/>
            </w:pPr>
            <w:r>
              <w:t>减少新区企业环境污染</w:t>
            </w:r>
          </w:p>
        </w:tc>
        <w:tc>
          <w:tcPr>
            <w:tcW w:w="2466" w:type="dxa"/>
            <w:vAlign w:val="center"/>
          </w:tcPr>
          <w:p>
            <w:pPr>
              <w:pStyle w:val="21"/>
            </w:pPr>
            <w:r>
              <w:t>减少新区企业环境污染，加强生态环境保护</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可持续影响指标</w:t>
            </w:r>
          </w:p>
        </w:tc>
        <w:tc>
          <w:tcPr>
            <w:tcW w:w="2466" w:type="dxa"/>
            <w:vAlign w:val="center"/>
          </w:tcPr>
          <w:p>
            <w:pPr>
              <w:pStyle w:val="21"/>
            </w:pPr>
            <w:r>
              <w:t>促进新区创新发展</w:t>
            </w:r>
          </w:p>
        </w:tc>
        <w:tc>
          <w:tcPr>
            <w:tcW w:w="2466" w:type="dxa"/>
            <w:vAlign w:val="center"/>
          </w:tcPr>
          <w:p>
            <w:pPr>
              <w:pStyle w:val="21"/>
            </w:pPr>
            <w:r>
              <w:t>促进新区创新发展</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2"/>
            </w:pPr>
            <w:r>
              <w:t>满意度指标</w:t>
            </w:r>
          </w:p>
        </w:tc>
        <w:tc>
          <w:tcPr>
            <w:tcW w:w="2466" w:type="dxa"/>
            <w:vAlign w:val="center"/>
          </w:tcPr>
          <w:p>
            <w:pPr>
              <w:pStyle w:val="21"/>
            </w:pPr>
            <w:r>
              <w:t>服务对象满意度指标</w:t>
            </w:r>
          </w:p>
        </w:tc>
        <w:tc>
          <w:tcPr>
            <w:tcW w:w="2466" w:type="dxa"/>
            <w:vAlign w:val="center"/>
          </w:tcPr>
          <w:p>
            <w:pPr>
              <w:pStyle w:val="21"/>
            </w:pPr>
            <w:r>
              <w:t>服务对象满意度</w:t>
            </w:r>
          </w:p>
        </w:tc>
        <w:tc>
          <w:tcPr>
            <w:tcW w:w="2466" w:type="dxa"/>
            <w:vAlign w:val="center"/>
          </w:tcPr>
          <w:p>
            <w:pPr>
              <w:pStyle w:val="21"/>
            </w:pPr>
            <w:r>
              <w:t>被调查单位或群体对本部门工作的满意程度</w:t>
            </w:r>
          </w:p>
        </w:tc>
        <w:tc>
          <w:tcPr>
            <w:tcW w:w="2466" w:type="dxa"/>
            <w:vAlign w:val="center"/>
          </w:tcPr>
          <w:p>
            <w:pPr>
              <w:pStyle w:val="21"/>
            </w:pPr>
            <w:r>
              <w:t>≥90%</w:t>
            </w:r>
          </w:p>
        </w:tc>
        <w:tc>
          <w:tcPr>
            <w:tcW w:w="2466" w:type="dxa"/>
            <w:vAlign w:val="center"/>
          </w:tcPr>
          <w:p>
            <w:pPr>
              <w:pStyle w:val="21"/>
            </w:pPr>
            <w:r>
              <w:t>综合调查结果</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4、第七次全国人口普查工作经费绩效目标表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0"/>
            </w:pPr>
            <w:r>
              <w:t>绩效目标</w:t>
            </w:r>
          </w:p>
        </w:tc>
        <w:tc>
          <w:tcPr>
            <w:tcW w:w="7399" w:type="dxa"/>
            <w:tcBorders>
              <w:bottom w:val="single" w:color="FFFFFF" w:sz="6" w:space="0"/>
            </w:tcBorders>
            <w:vAlign w:val="center"/>
          </w:tcPr>
          <w:p>
            <w:pPr>
              <w:pStyle w:val="21"/>
            </w:pPr>
            <w:r>
              <w:t>1.用于开展人普数据评估开发工作</w:t>
            </w:r>
            <w:r>
              <w:tab/>
            </w:r>
            <w:r>
              <w:tab/>
            </w:r>
            <w:r>
              <w:tab/>
            </w:r>
            <w:r>
              <w:tab/>
            </w:r>
          </w:p>
          <w:p>
            <w:pPr>
              <w:pStyle w:val="21"/>
            </w:pPr>
            <w:r>
              <w:t>2.用于编制数据公报、资料汇编等</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0"/>
            </w:pPr>
            <w:r>
              <w:t>一级指标</w:t>
            </w:r>
          </w:p>
        </w:tc>
        <w:tc>
          <w:tcPr>
            <w:tcW w:w="2466" w:type="dxa"/>
            <w:vAlign w:val="center"/>
          </w:tcPr>
          <w:p>
            <w:pPr>
              <w:pStyle w:val="20"/>
            </w:pPr>
            <w:r>
              <w:t>二级指标</w:t>
            </w:r>
          </w:p>
        </w:tc>
        <w:tc>
          <w:tcPr>
            <w:tcW w:w="2466" w:type="dxa"/>
            <w:vAlign w:val="center"/>
          </w:tcPr>
          <w:p>
            <w:pPr>
              <w:pStyle w:val="20"/>
            </w:pPr>
            <w:r>
              <w:t>三级指标</w:t>
            </w:r>
          </w:p>
        </w:tc>
        <w:tc>
          <w:tcPr>
            <w:tcW w:w="2466" w:type="dxa"/>
            <w:vAlign w:val="center"/>
          </w:tcPr>
          <w:p>
            <w:pPr>
              <w:pStyle w:val="20"/>
            </w:pPr>
            <w:r>
              <w:t>绩效指标描述</w:t>
            </w:r>
          </w:p>
        </w:tc>
        <w:tc>
          <w:tcPr>
            <w:tcW w:w="2466"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2"/>
            </w:pPr>
            <w:r>
              <w:t>产出指标</w:t>
            </w:r>
          </w:p>
        </w:tc>
        <w:tc>
          <w:tcPr>
            <w:tcW w:w="2466" w:type="dxa"/>
            <w:vAlign w:val="center"/>
          </w:tcPr>
          <w:p>
            <w:pPr>
              <w:pStyle w:val="21"/>
            </w:pPr>
            <w:r>
              <w:t>数量指标</w:t>
            </w:r>
          </w:p>
        </w:tc>
        <w:tc>
          <w:tcPr>
            <w:tcW w:w="2466" w:type="dxa"/>
            <w:vAlign w:val="center"/>
          </w:tcPr>
          <w:p>
            <w:pPr>
              <w:pStyle w:val="21"/>
            </w:pPr>
            <w:r>
              <w:t>数据评估、开发费</w:t>
            </w:r>
          </w:p>
          <w:p>
            <w:pPr>
              <w:pStyle w:val="21"/>
            </w:pPr>
          </w:p>
        </w:tc>
        <w:tc>
          <w:tcPr>
            <w:tcW w:w="2466" w:type="dxa"/>
            <w:vAlign w:val="center"/>
          </w:tcPr>
          <w:p>
            <w:pPr>
              <w:pStyle w:val="21"/>
            </w:pPr>
            <w:r>
              <w:t>用于人普数据评估费、开发费</w:t>
            </w:r>
          </w:p>
          <w:p>
            <w:pPr>
              <w:pStyle w:val="21"/>
            </w:pPr>
          </w:p>
        </w:tc>
        <w:tc>
          <w:tcPr>
            <w:tcW w:w="2466" w:type="dxa"/>
            <w:vAlign w:val="center"/>
          </w:tcPr>
          <w:p>
            <w:pPr>
              <w:pStyle w:val="21"/>
            </w:pPr>
            <w:r>
              <w:t>9万元</w:t>
            </w:r>
          </w:p>
        </w:tc>
        <w:tc>
          <w:tcPr>
            <w:tcW w:w="2466" w:type="dxa"/>
            <w:vAlign w:val="center"/>
          </w:tcPr>
          <w:p>
            <w:pPr>
              <w:pStyle w:val="21"/>
            </w:pPr>
            <w:r>
              <w:t>关于增加人口普查工作经费的请示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质量指标</w:t>
            </w:r>
          </w:p>
        </w:tc>
        <w:tc>
          <w:tcPr>
            <w:tcW w:w="2466" w:type="dxa"/>
            <w:vAlign w:val="center"/>
          </w:tcPr>
          <w:p>
            <w:pPr>
              <w:pStyle w:val="21"/>
            </w:pPr>
            <w:r>
              <w:t>调查对象覆盖率</w:t>
            </w:r>
          </w:p>
        </w:tc>
        <w:tc>
          <w:tcPr>
            <w:tcW w:w="2466" w:type="dxa"/>
            <w:vAlign w:val="center"/>
          </w:tcPr>
          <w:p>
            <w:pPr>
              <w:pStyle w:val="21"/>
            </w:pPr>
            <w:r>
              <w:t>实际调查对象占调查总人数的比率</w:t>
            </w:r>
          </w:p>
        </w:tc>
        <w:tc>
          <w:tcPr>
            <w:tcW w:w="2466" w:type="dxa"/>
            <w:vAlign w:val="center"/>
          </w:tcPr>
          <w:p>
            <w:pPr>
              <w:pStyle w:val="21"/>
            </w:pPr>
            <w:r>
              <w:t>100%</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时效指标</w:t>
            </w:r>
          </w:p>
        </w:tc>
        <w:tc>
          <w:tcPr>
            <w:tcW w:w="2466" w:type="dxa"/>
            <w:vAlign w:val="center"/>
          </w:tcPr>
          <w:p>
            <w:pPr>
              <w:pStyle w:val="21"/>
            </w:pPr>
            <w:r>
              <w:t>完成时间</w:t>
            </w:r>
          </w:p>
        </w:tc>
        <w:tc>
          <w:tcPr>
            <w:tcW w:w="2466" w:type="dxa"/>
            <w:vAlign w:val="center"/>
          </w:tcPr>
          <w:p>
            <w:pPr>
              <w:pStyle w:val="21"/>
            </w:pPr>
            <w:r>
              <w:t>按工作计划时间节点完成</w:t>
            </w:r>
          </w:p>
        </w:tc>
        <w:tc>
          <w:tcPr>
            <w:tcW w:w="2466" w:type="dxa"/>
            <w:vAlign w:val="center"/>
          </w:tcPr>
          <w:p>
            <w:pPr>
              <w:pStyle w:val="21"/>
            </w:pPr>
            <w:r>
              <w:t>2021年</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成本指标</w:t>
            </w:r>
          </w:p>
        </w:tc>
        <w:tc>
          <w:tcPr>
            <w:tcW w:w="2466" w:type="dxa"/>
            <w:vAlign w:val="center"/>
          </w:tcPr>
          <w:p>
            <w:pPr>
              <w:pStyle w:val="21"/>
            </w:pPr>
            <w:r>
              <w:t>预算控制数</w:t>
            </w:r>
          </w:p>
        </w:tc>
        <w:tc>
          <w:tcPr>
            <w:tcW w:w="2466" w:type="dxa"/>
            <w:vAlign w:val="center"/>
          </w:tcPr>
          <w:p>
            <w:pPr>
              <w:pStyle w:val="21"/>
            </w:pPr>
            <w:r>
              <w:t>实际支出小于等于预算数</w:t>
            </w:r>
          </w:p>
        </w:tc>
        <w:tc>
          <w:tcPr>
            <w:tcW w:w="2466" w:type="dxa"/>
            <w:vAlign w:val="center"/>
          </w:tcPr>
          <w:p>
            <w:pPr>
              <w:pStyle w:val="21"/>
            </w:pPr>
            <w:r>
              <w:t>≤23.2万元</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2"/>
            </w:pPr>
            <w:r>
              <w:t>效益指标</w:t>
            </w:r>
          </w:p>
        </w:tc>
        <w:tc>
          <w:tcPr>
            <w:tcW w:w="2466" w:type="dxa"/>
            <w:vAlign w:val="center"/>
          </w:tcPr>
          <w:p>
            <w:pPr>
              <w:pStyle w:val="21"/>
            </w:pPr>
            <w:r>
              <w:t>经济效益指标</w:t>
            </w:r>
          </w:p>
        </w:tc>
        <w:tc>
          <w:tcPr>
            <w:tcW w:w="2466" w:type="dxa"/>
            <w:vAlign w:val="center"/>
          </w:tcPr>
          <w:p>
            <w:pPr>
              <w:pStyle w:val="21"/>
            </w:pPr>
            <w:r>
              <w:t>促进新区高质量发展</w:t>
            </w:r>
          </w:p>
        </w:tc>
        <w:tc>
          <w:tcPr>
            <w:tcW w:w="2466" w:type="dxa"/>
            <w:vAlign w:val="center"/>
          </w:tcPr>
          <w:p>
            <w:pPr>
              <w:pStyle w:val="21"/>
            </w:pPr>
            <w:r>
              <w:t>摸清人口变动情况，促进新区高质量发展</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社会效益指标</w:t>
            </w:r>
          </w:p>
        </w:tc>
        <w:tc>
          <w:tcPr>
            <w:tcW w:w="2466" w:type="dxa"/>
            <w:vAlign w:val="center"/>
          </w:tcPr>
          <w:p>
            <w:pPr>
              <w:pStyle w:val="21"/>
            </w:pPr>
            <w:r>
              <w:t>及时掌握人口变动情况</w:t>
            </w:r>
          </w:p>
        </w:tc>
        <w:tc>
          <w:tcPr>
            <w:tcW w:w="2466" w:type="dxa"/>
            <w:vAlign w:val="center"/>
          </w:tcPr>
          <w:p>
            <w:pPr>
              <w:pStyle w:val="21"/>
            </w:pPr>
            <w:r>
              <w:t>为准确、及时地监测和反映我区人口发展变化情况，为党和政府制定国民经济和社会发展计划及人口政策提供依据</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9"/>
            </w:pPr>
          </w:p>
        </w:tc>
        <w:tc>
          <w:tcPr>
            <w:tcW w:w="2466" w:type="dxa"/>
            <w:vAlign w:val="center"/>
          </w:tcPr>
          <w:p>
            <w:pPr>
              <w:pStyle w:val="21"/>
            </w:pPr>
            <w:r>
              <w:t>可持续影响指标</w:t>
            </w:r>
          </w:p>
        </w:tc>
        <w:tc>
          <w:tcPr>
            <w:tcW w:w="2466" w:type="dxa"/>
            <w:vAlign w:val="center"/>
          </w:tcPr>
          <w:p>
            <w:pPr>
              <w:pStyle w:val="21"/>
            </w:pPr>
            <w:r>
              <w:t>促进新区人口统计工作</w:t>
            </w:r>
          </w:p>
        </w:tc>
        <w:tc>
          <w:tcPr>
            <w:tcW w:w="2466" w:type="dxa"/>
            <w:vAlign w:val="center"/>
          </w:tcPr>
          <w:p>
            <w:pPr>
              <w:pStyle w:val="21"/>
            </w:pPr>
            <w:r>
              <w:t>保持新区人口统计工作持续发展</w:t>
            </w:r>
          </w:p>
        </w:tc>
        <w:tc>
          <w:tcPr>
            <w:tcW w:w="2466" w:type="dxa"/>
            <w:vAlign w:val="center"/>
          </w:tcPr>
          <w:p>
            <w:pPr>
              <w:pStyle w:val="21"/>
            </w:pPr>
            <w:r>
              <w:t>效果显著</w:t>
            </w:r>
          </w:p>
        </w:tc>
        <w:tc>
          <w:tcPr>
            <w:tcW w:w="2466"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2"/>
            </w:pPr>
            <w:r>
              <w:t>满意度指标</w:t>
            </w:r>
          </w:p>
        </w:tc>
        <w:tc>
          <w:tcPr>
            <w:tcW w:w="2466" w:type="dxa"/>
            <w:vAlign w:val="center"/>
          </w:tcPr>
          <w:p>
            <w:pPr>
              <w:pStyle w:val="21"/>
            </w:pPr>
            <w:r>
              <w:t>服务对象满意度指标</w:t>
            </w:r>
          </w:p>
        </w:tc>
        <w:tc>
          <w:tcPr>
            <w:tcW w:w="2466" w:type="dxa"/>
            <w:vAlign w:val="center"/>
          </w:tcPr>
          <w:p>
            <w:pPr>
              <w:pStyle w:val="21"/>
            </w:pPr>
            <w:r>
              <w:t>综合满意度</w:t>
            </w:r>
          </w:p>
        </w:tc>
        <w:tc>
          <w:tcPr>
            <w:tcW w:w="2466" w:type="dxa"/>
            <w:vAlign w:val="center"/>
          </w:tcPr>
          <w:p>
            <w:pPr>
              <w:pStyle w:val="21"/>
            </w:pPr>
            <w:r>
              <w:t>被调查单位或群体对本部门工作的满意程度</w:t>
            </w:r>
          </w:p>
        </w:tc>
        <w:tc>
          <w:tcPr>
            <w:tcW w:w="2466" w:type="dxa"/>
            <w:vAlign w:val="center"/>
          </w:tcPr>
          <w:p>
            <w:pPr>
              <w:pStyle w:val="21"/>
            </w:pPr>
            <w:r>
              <w:t>≥90%</w:t>
            </w:r>
          </w:p>
        </w:tc>
        <w:tc>
          <w:tcPr>
            <w:tcW w:w="2466" w:type="dxa"/>
            <w:vAlign w:val="center"/>
          </w:tcPr>
          <w:p>
            <w:pPr>
              <w:pStyle w:val="21"/>
            </w:pPr>
            <w:r>
              <w:t>历史经验</w:t>
            </w:r>
          </w:p>
        </w:tc>
      </w:tr>
    </w:tbl>
    <w:p>
      <w:pPr>
        <w:pStyle w:val="19"/>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2022年，秦皇岛北戴河新区发展改革局本级安排政府采购预算70.00万元。具体内容见下表。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5"/>
              <w:rPr>
                <w:rFonts w:hint="default" w:eastAsia="方正小标宋_GBK"/>
                <w:lang w:val="en-US" w:eastAsia="zh-CN"/>
              </w:rPr>
            </w:pPr>
            <w:r>
              <w:t>303001秦皇岛北戴河新区发展改革局本级</w:t>
            </w:r>
            <w:r>
              <w:rPr>
                <w:rFonts w:hint="eastAsia"/>
                <w:lang w:val="en-US" w:eastAsia="zh-CN"/>
              </w:rPr>
              <w:t xml:space="preserve">                                                                        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6"/>
            </w:pPr>
            <w:r>
              <w:t>政府采购项目来源</w:t>
            </w:r>
          </w:p>
        </w:tc>
        <w:tc>
          <w:tcPr>
            <w:tcW w:w="924" w:type="dxa"/>
          </w:tcPr>
          <w:p/>
        </w:tc>
        <w:tc>
          <w:tcPr>
            <w:tcW w:w="924" w:type="dxa"/>
            <w:vMerge w:val="restart"/>
            <w:vAlign w:val="center"/>
          </w:tcPr>
          <w:p>
            <w:pPr>
              <w:pStyle w:val="6"/>
            </w:pPr>
            <w:r>
              <w:t>采购物品名称</w:t>
            </w:r>
          </w:p>
        </w:tc>
        <w:tc>
          <w:tcPr>
            <w:tcW w:w="924" w:type="dxa"/>
            <w:vMerge w:val="restart"/>
            <w:vAlign w:val="center"/>
          </w:tcPr>
          <w:p>
            <w:pPr>
              <w:pStyle w:val="6"/>
            </w:pPr>
            <w:r>
              <w:t>政府采购目录序号</w:t>
            </w:r>
          </w:p>
        </w:tc>
        <w:tc>
          <w:tcPr>
            <w:tcW w:w="924" w:type="dxa"/>
            <w:vMerge w:val="restart"/>
            <w:vAlign w:val="center"/>
          </w:tcPr>
          <w:p>
            <w:pPr>
              <w:pStyle w:val="6"/>
            </w:pPr>
            <w:r>
              <w:t>计量  单位</w:t>
            </w:r>
          </w:p>
        </w:tc>
        <w:tc>
          <w:tcPr>
            <w:tcW w:w="924" w:type="dxa"/>
            <w:vMerge w:val="restart"/>
            <w:vAlign w:val="center"/>
          </w:tcPr>
          <w:p>
            <w:pPr>
              <w:pStyle w:val="6"/>
            </w:pPr>
            <w:r>
              <w:t>数量</w:t>
            </w:r>
          </w:p>
        </w:tc>
        <w:tc>
          <w:tcPr>
            <w:tcW w:w="924" w:type="dxa"/>
            <w:vMerge w:val="restart"/>
            <w:vAlign w:val="center"/>
          </w:tcPr>
          <w:p>
            <w:pPr>
              <w:pStyle w:val="6"/>
            </w:pPr>
            <w:r>
              <w:t>单价</w:t>
            </w:r>
          </w:p>
        </w:tc>
        <w:tc>
          <w:tcPr>
            <w:tcW w:w="924" w:type="dxa"/>
            <w:vAlign w:val="center"/>
          </w:tcPr>
          <w:p>
            <w:pPr>
              <w:pStyle w:val="6"/>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6"/>
            </w:pPr>
            <w:r>
              <w:t>项目名称</w:t>
            </w:r>
          </w:p>
        </w:tc>
        <w:tc>
          <w:tcPr>
            <w:tcW w:w="924" w:type="dxa"/>
            <w:vAlign w:val="center"/>
          </w:tcPr>
          <w:p>
            <w:pPr>
              <w:pStyle w:val="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6"/>
            </w:pPr>
            <w:r>
              <w:t>合计</w:t>
            </w:r>
          </w:p>
        </w:tc>
        <w:tc>
          <w:tcPr>
            <w:tcW w:w="924" w:type="dxa"/>
            <w:vAlign w:val="center"/>
          </w:tcPr>
          <w:p>
            <w:pPr>
              <w:pStyle w:val="6"/>
            </w:pPr>
            <w:r>
              <w:t>一般公共预算拨款</w:t>
            </w:r>
          </w:p>
        </w:tc>
        <w:tc>
          <w:tcPr>
            <w:tcW w:w="924" w:type="dxa"/>
            <w:vAlign w:val="center"/>
          </w:tcPr>
          <w:p>
            <w:pPr>
              <w:pStyle w:val="6"/>
            </w:pPr>
            <w:r>
              <w:t>基金预算拨款</w:t>
            </w:r>
          </w:p>
        </w:tc>
        <w:tc>
          <w:tcPr>
            <w:tcW w:w="924" w:type="dxa"/>
            <w:vAlign w:val="center"/>
          </w:tcPr>
          <w:p>
            <w:pPr>
              <w:pStyle w:val="6"/>
            </w:pPr>
            <w:r>
              <w:t>国有资本经营预算拨款</w:t>
            </w:r>
          </w:p>
        </w:tc>
        <w:tc>
          <w:tcPr>
            <w:tcW w:w="924" w:type="dxa"/>
            <w:vAlign w:val="center"/>
          </w:tcPr>
          <w:p>
            <w:pPr>
              <w:pStyle w:val="6"/>
            </w:pPr>
            <w:r>
              <w:t>财政专户核拨</w:t>
            </w:r>
          </w:p>
        </w:tc>
        <w:tc>
          <w:tcPr>
            <w:tcW w:w="924" w:type="dxa"/>
            <w:vAlign w:val="center"/>
          </w:tcPr>
          <w:p>
            <w:pPr>
              <w:pStyle w:val="6"/>
            </w:pPr>
            <w:r>
              <w:t>单位    资金</w:t>
            </w:r>
          </w:p>
        </w:tc>
        <w:tc>
          <w:tcPr>
            <w:tcW w:w="924" w:type="dxa"/>
            <w:vAlign w:val="center"/>
          </w:tcPr>
          <w:p>
            <w:pPr>
              <w:pStyle w:val="6"/>
            </w:pPr>
            <w:r>
              <w:t>财政拨    款结转</w:t>
            </w:r>
          </w:p>
        </w:tc>
        <w:tc>
          <w:tcPr>
            <w:tcW w:w="924" w:type="dxa"/>
            <w:vAlign w:val="center"/>
          </w:tcPr>
          <w:p>
            <w:pPr>
              <w:pStyle w:val="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合  计</w:t>
            </w: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0"/>
            </w:pPr>
          </w:p>
        </w:tc>
        <w:tc>
          <w:tcPr>
            <w:tcW w:w="924" w:type="dxa"/>
            <w:vAlign w:val="center"/>
          </w:tcPr>
          <w:p>
            <w:pPr>
              <w:pStyle w:val="11"/>
            </w:pPr>
          </w:p>
        </w:tc>
        <w:tc>
          <w:tcPr>
            <w:tcW w:w="924" w:type="dxa"/>
            <w:vAlign w:val="center"/>
          </w:tcPr>
          <w:p>
            <w:pPr>
              <w:pStyle w:val="11"/>
            </w:pPr>
          </w:p>
        </w:tc>
        <w:tc>
          <w:tcPr>
            <w:tcW w:w="924" w:type="dxa"/>
            <w:vAlign w:val="center"/>
          </w:tcPr>
          <w:p>
            <w:pPr>
              <w:pStyle w:val="11"/>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1"/>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r>
              <w:rPr>
                <w:rFonts w:hint="default" w:ascii="Times New Roman" w:hAnsi="Times New Roman" w:cs="Times New Roman"/>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秦皇岛北戴河新区发展改革局本级小计</w:t>
            </w: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0"/>
            </w:pPr>
          </w:p>
        </w:tc>
        <w:tc>
          <w:tcPr>
            <w:tcW w:w="924" w:type="dxa"/>
            <w:vAlign w:val="center"/>
          </w:tcPr>
          <w:p>
            <w:pPr>
              <w:pStyle w:val="11"/>
            </w:pPr>
          </w:p>
        </w:tc>
        <w:tc>
          <w:tcPr>
            <w:tcW w:w="924" w:type="dxa"/>
            <w:vAlign w:val="center"/>
          </w:tcPr>
          <w:p>
            <w:pPr>
              <w:pStyle w:val="11"/>
            </w:pPr>
          </w:p>
        </w:tc>
        <w:tc>
          <w:tcPr>
            <w:tcW w:w="924" w:type="dxa"/>
            <w:vAlign w:val="center"/>
          </w:tcPr>
          <w:p>
            <w:pPr>
              <w:pStyle w:val="11"/>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1"/>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p>
        </w:tc>
        <w:tc>
          <w:tcPr>
            <w:tcW w:w="924" w:type="dxa"/>
            <w:vAlign w:val="center"/>
          </w:tcPr>
          <w:p>
            <w:pPr>
              <w:pStyle w:val="11"/>
              <w:jc w:val="center"/>
              <w:rPr>
                <w:rFonts w:hint="default" w:ascii="Times New Roman" w:hAnsi="Times New Roman" w:cs="Times New Roman"/>
              </w:rPr>
            </w:pPr>
            <w:r>
              <w:rPr>
                <w:rFonts w:hint="default" w:ascii="Times New Roman" w:hAnsi="Times New Roman" w:cs="Times New Roman"/>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项目管理经费</w:t>
            </w:r>
          </w:p>
        </w:tc>
        <w:tc>
          <w:tcPr>
            <w:tcW w:w="924" w:type="dxa"/>
            <w:vAlign w:val="center"/>
          </w:tcPr>
          <w:p>
            <w:pPr>
              <w:pStyle w:val="9"/>
              <w:jc w:val="center"/>
              <w:rPr>
                <w:rFonts w:hint="default" w:ascii="Times New Roman" w:hAnsi="Times New Roman" w:cs="Times New Roman"/>
              </w:rPr>
            </w:pPr>
            <w:r>
              <w:rPr>
                <w:rFonts w:hint="default" w:ascii="Times New Roman" w:hAnsi="Times New Roman" w:cs="Times New Roman"/>
              </w:rPr>
              <w:t>100.00</w:t>
            </w:r>
          </w:p>
        </w:tc>
        <w:tc>
          <w:tcPr>
            <w:tcW w:w="924" w:type="dxa"/>
            <w:vAlign w:val="center"/>
          </w:tcPr>
          <w:p>
            <w:pPr>
              <w:pStyle w:val="8"/>
              <w:jc w:val="center"/>
              <w:rPr>
                <w:rFonts w:hint="default" w:ascii="Times New Roman" w:hAnsi="Times New Roman" w:cs="Times New Roman"/>
              </w:rPr>
            </w:pPr>
            <w:r>
              <w:rPr>
                <w:rFonts w:hint="default" w:ascii="Times New Roman" w:hAnsi="Times New Roman" w:cs="Times New Roman"/>
              </w:rPr>
              <w:t>其他会展服务</w:t>
            </w:r>
          </w:p>
        </w:tc>
        <w:tc>
          <w:tcPr>
            <w:tcW w:w="924" w:type="dxa"/>
            <w:vAlign w:val="center"/>
          </w:tcPr>
          <w:p>
            <w:pPr>
              <w:pStyle w:val="8"/>
              <w:jc w:val="center"/>
              <w:rPr>
                <w:rFonts w:hint="default" w:ascii="Times New Roman" w:hAnsi="Times New Roman" w:cs="Times New Roman"/>
              </w:rPr>
            </w:pPr>
            <w:r>
              <w:rPr>
                <w:rFonts w:hint="default" w:ascii="Times New Roman" w:hAnsi="Times New Roman" w:cs="Times New Roman"/>
              </w:rPr>
              <w:t>C060299</w:t>
            </w:r>
          </w:p>
        </w:tc>
        <w:tc>
          <w:tcPr>
            <w:tcW w:w="924" w:type="dxa"/>
            <w:vAlign w:val="center"/>
          </w:tcPr>
          <w:p>
            <w:pPr>
              <w:pStyle w:val="7"/>
              <w:jc w:val="center"/>
              <w:rPr>
                <w:rFonts w:hint="default" w:ascii="Times New Roman" w:hAnsi="Times New Roman" w:cs="Times New Roman"/>
              </w:rPr>
            </w:pPr>
            <w:r>
              <w:rPr>
                <w:rFonts w:hint="default" w:ascii="Times New Roman" w:hAnsi="Times New Roman" w:cs="Times New Roman"/>
              </w:rPr>
              <w:t>万元</w:t>
            </w:r>
          </w:p>
        </w:tc>
        <w:tc>
          <w:tcPr>
            <w:tcW w:w="924" w:type="dxa"/>
            <w:vAlign w:val="center"/>
          </w:tcPr>
          <w:p>
            <w:pPr>
              <w:pStyle w:val="9"/>
              <w:jc w:val="center"/>
              <w:rPr>
                <w:rFonts w:hint="default" w:ascii="Times New Roman" w:hAnsi="Times New Roman" w:cs="Times New Roman"/>
              </w:rPr>
            </w:pPr>
            <w:r>
              <w:rPr>
                <w:rFonts w:hint="default" w:ascii="Times New Roman" w:hAnsi="Times New Roman" w:cs="Times New Roman"/>
              </w:rPr>
              <w:t>1</w:t>
            </w:r>
          </w:p>
        </w:tc>
        <w:tc>
          <w:tcPr>
            <w:tcW w:w="924" w:type="dxa"/>
            <w:vAlign w:val="center"/>
          </w:tcPr>
          <w:p>
            <w:pPr>
              <w:pStyle w:val="9"/>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9"/>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9"/>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9"/>
              <w:jc w:val="center"/>
              <w:rPr>
                <w:rFonts w:hint="default" w:ascii="Times New Roman" w:hAnsi="Times New Roman" w:cs="Times New Roman"/>
              </w:rPr>
            </w:pPr>
          </w:p>
        </w:tc>
        <w:tc>
          <w:tcPr>
            <w:tcW w:w="924" w:type="dxa"/>
            <w:vAlign w:val="center"/>
          </w:tcPr>
          <w:p>
            <w:pPr>
              <w:pStyle w:val="9"/>
              <w:jc w:val="center"/>
              <w:rPr>
                <w:rFonts w:hint="default" w:ascii="Times New Roman" w:hAnsi="Times New Roman" w:cs="Times New Roman"/>
              </w:rPr>
            </w:pPr>
          </w:p>
        </w:tc>
        <w:tc>
          <w:tcPr>
            <w:tcW w:w="924" w:type="dxa"/>
            <w:vAlign w:val="center"/>
          </w:tcPr>
          <w:p>
            <w:pPr>
              <w:pStyle w:val="9"/>
              <w:jc w:val="center"/>
              <w:rPr>
                <w:rFonts w:hint="default" w:ascii="Times New Roman" w:hAnsi="Times New Roman" w:cs="Times New Roman"/>
              </w:rPr>
            </w:pPr>
          </w:p>
        </w:tc>
        <w:tc>
          <w:tcPr>
            <w:tcW w:w="924" w:type="dxa"/>
            <w:vAlign w:val="center"/>
          </w:tcPr>
          <w:p>
            <w:pPr>
              <w:pStyle w:val="9"/>
              <w:jc w:val="center"/>
              <w:rPr>
                <w:rFonts w:hint="default" w:ascii="Times New Roman" w:hAnsi="Times New Roman" w:cs="Times New Roman"/>
              </w:rPr>
            </w:pPr>
          </w:p>
        </w:tc>
        <w:tc>
          <w:tcPr>
            <w:tcW w:w="924" w:type="dxa"/>
            <w:vAlign w:val="center"/>
          </w:tcPr>
          <w:p>
            <w:pPr>
              <w:pStyle w:val="9"/>
              <w:jc w:val="center"/>
              <w:rPr>
                <w:rFonts w:hint="default" w:ascii="Times New Roman" w:hAnsi="Times New Roman" w:cs="Times New Roman"/>
              </w:rPr>
            </w:pPr>
          </w:p>
        </w:tc>
        <w:tc>
          <w:tcPr>
            <w:tcW w:w="924" w:type="dxa"/>
            <w:vAlign w:val="center"/>
          </w:tcPr>
          <w:p>
            <w:pPr>
              <w:pStyle w:val="9"/>
              <w:jc w:val="center"/>
              <w:rPr>
                <w:rFonts w:hint="default" w:ascii="Times New Roman" w:hAnsi="Times New Roman" w:cs="Times New Roman"/>
              </w:rPr>
            </w:pPr>
          </w:p>
        </w:tc>
        <w:tc>
          <w:tcPr>
            <w:tcW w:w="924" w:type="dxa"/>
            <w:vAlign w:val="center"/>
          </w:tcPr>
          <w:p>
            <w:pPr>
              <w:pStyle w:val="9"/>
              <w:jc w:val="center"/>
              <w:rPr>
                <w:rFonts w:hint="default" w:ascii="Times New Roman" w:hAnsi="Times New Roman" w:cs="Times New Roman"/>
              </w:rPr>
            </w:pPr>
            <w:r>
              <w:rPr>
                <w:rFonts w:hint="default" w:ascii="Times New Roman" w:hAnsi="Times New Roman" w:cs="Times New Roman"/>
              </w:rP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秦皇岛北戴河新区发展改革局本级上年末固定资产金额为</w:t>
      </w:r>
      <w:r>
        <w:rPr>
          <w:rFonts w:hint="eastAsia" w:eastAsia="方正仿宋_GBK" w:cs="Times New Roman"/>
          <w:b w:val="0"/>
          <w:color w:val="000000"/>
          <w:sz w:val="28"/>
          <w:lang w:val="en-US" w:eastAsia="zh-CN"/>
        </w:rPr>
        <w:t>52.06895</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rPr>
                <w:rFonts w:hint="default" w:ascii="Times New Roman" w:hAnsi="Times New Roman" w:cs="Times New Roman"/>
              </w:rPr>
              <w:t>303001</w:t>
            </w:r>
            <w:r>
              <w:t>秦皇岛北戴河新区发展改革局本级</w:t>
            </w:r>
          </w:p>
        </w:tc>
        <w:tc>
          <w:tcPr>
            <w:tcW w:w="4933" w:type="dxa"/>
            <w:tcBorders>
              <w:top w:val="single" w:color="FFFFFF" w:sz="6" w:space="0"/>
              <w:left w:val="single" w:color="FFFFFF" w:sz="6" w:space="0"/>
              <w:right w:val="single" w:color="FFFFFF" w:sz="6" w:space="0"/>
            </w:tcBorders>
            <w:vAlign w:val="center"/>
          </w:tcPr>
          <w:p>
            <w:pPr>
              <w:pStyle w:val="23"/>
            </w:pPr>
            <w:r>
              <w:rPr>
                <w:rFonts w:hint="eastAsia"/>
                <w:lang w:val="en-US" w:eastAsia="zh-CN"/>
              </w:rPr>
              <w:t xml:space="preserve">          </w:t>
            </w:r>
            <w:r>
              <w:t>截止时间：</w:t>
            </w:r>
            <w:r>
              <w:rPr>
                <w:rFonts w:hint="default" w:ascii="Times New Roman" w:hAnsi="Times New Roman" w:cs="Times New Roman"/>
              </w:rPr>
              <w:t>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6"/>
            </w:pPr>
            <w:r>
              <w:t>项   目</w:t>
            </w:r>
          </w:p>
        </w:tc>
        <w:tc>
          <w:tcPr>
            <w:tcW w:w="4933" w:type="dxa"/>
            <w:vAlign w:val="center"/>
          </w:tcPr>
          <w:p>
            <w:pPr>
              <w:pStyle w:val="6"/>
            </w:pPr>
            <w:r>
              <w:t>数量</w:t>
            </w:r>
          </w:p>
        </w:tc>
        <w:tc>
          <w:tcPr>
            <w:tcW w:w="4933" w:type="dxa"/>
            <w:vAlign w:val="center"/>
          </w:tcPr>
          <w:p>
            <w:pPr>
              <w:pStyle w:val="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rPr>
                <w:rFonts w:hint="default" w:ascii="Times New Roman" w:hAnsi="Times New Roman" w:cs="Times New Roman"/>
                <w:lang w:val="en-US" w:eastAsia="zh-CN"/>
              </w:rPr>
              <w:t>1、房屋</w:t>
            </w:r>
          </w:p>
        </w:tc>
        <w:tc>
          <w:tcPr>
            <w:tcW w:w="4933" w:type="dxa"/>
            <w:vAlign w:val="center"/>
          </w:tcPr>
          <w:p>
            <w:pPr>
              <w:pStyle w:val="7"/>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c>
          <w:tcPr>
            <w:tcW w:w="4933" w:type="dxa"/>
            <w:vAlign w:val="center"/>
          </w:tcPr>
          <w:p>
            <w:pPr>
              <w:pStyle w:val="9"/>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rPr>
                <w:rFonts w:hint="default" w:ascii="Times New Roman" w:hAnsi="Times New Roman" w:cs="Times New Roman"/>
                <w:lang w:val="en-US" w:eastAsia="zh-CN"/>
              </w:rPr>
              <w:t>2、车辆（台、辆）</w:t>
            </w:r>
          </w:p>
        </w:tc>
        <w:tc>
          <w:tcPr>
            <w:tcW w:w="4933" w:type="dxa"/>
            <w:vAlign w:val="center"/>
          </w:tcPr>
          <w:p>
            <w:pPr>
              <w:pStyle w:val="7"/>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w:t>
            </w:r>
          </w:p>
        </w:tc>
        <w:tc>
          <w:tcPr>
            <w:tcW w:w="4933" w:type="dxa"/>
            <w:vAlign w:val="center"/>
          </w:tcPr>
          <w:p>
            <w:pPr>
              <w:pStyle w:val="9"/>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9.3133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rPr>
                <w:rFonts w:hint="default" w:ascii="Times New Roman" w:hAnsi="Times New Roman" w:cs="Times New Roman"/>
                <w:lang w:val="en-US" w:eastAsia="zh-CN"/>
              </w:rPr>
              <w:t>3、其他固定资产</w:t>
            </w:r>
          </w:p>
        </w:tc>
        <w:tc>
          <w:tcPr>
            <w:tcW w:w="4933" w:type="dxa"/>
            <w:vAlign w:val="center"/>
          </w:tcPr>
          <w:p>
            <w:pPr>
              <w:pStyle w:val="7"/>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210</w:t>
            </w:r>
          </w:p>
        </w:tc>
        <w:tc>
          <w:tcPr>
            <w:tcW w:w="4933" w:type="dxa"/>
            <w:vAlign w:val="center"/>
          </w:tcPr>
          <w:p>
            <w:pPr>
              <w:pStyle w:val="9"/>
              <w:jc w:val="center"/>
              <w:rPr>
                <w:rFonts w:hint="default" w:ascii="Times New Roman" w:hAnsi="Times New Roman" w:eastAsia="方正书宋_GBK" w:cs="Times New Roman"/>
                <w:lang w:val="en-US" w:eastAsia="zh-CN"/>
              </w:rPr>
            </w:pPr>
            <w:r>
              <w:rPr>
                <w:rFonts w:hint="eastAsia" w:ascii="Times New Roman" w:hAnsi="Times New Roman" w:cs="Times New Roman"/>
                <w:lang w:val="en-US" w:eastAsia="zh-CN"/>
              </w:rPr>
              <w:t>42.42565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rPr>
                <w:rFonts w:hint="default" w:ascii="Times New Roman" w:hAnsi="Times New Roman" w:cs="Times New Roman"/>
                <w:lang w:val="en-US" w:eastAsia="zh-CN"/>
              </w:rPr>
              <w:t>4、无形资产</w:t>
            </w:r>
          </w:p>
        </w:tc>
        <w:tc>
          <w:tcPr>
            <w:tcW w:w="4933" w:type="dxa"/>
            <w:vAlign w:val="center"/>
          </w:tcPr>
          <w:p>
            <w:pPr>
              <w:pStyle w:val="7"/>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w:t>
            </w:r>
          </w:p>
        </w:tc>
        <w:tc>
          <w:tcPr>
            <w:tcW w:w="4933" w:type="dxa"/>
            <w:vAlign w:val="center"/>
          </w:tcPr>
          <w:p>
            <w:pPr>
              <w:pStyle w:val="9"/>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0.33</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A44D9"/>
    <w:rsid w:val="317870BB"/>
    <w:rsid w:val="72B71975"/>
    <w:rsid w:val="782A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Normal_ed43088c-6bbf-49f2-8878-80018fe90df5"/>
    <w:qFormat/>
    <w:uiPriority w:val="0"/>
    <w:rPr>
      <w:rFonts w:ascii="Times New Roman" w:hAnsi="Times New Roman" w:eastAsia="Times New Roman" w:cstheme="minorBidi"/>
      <w:sz w:val="24"/>
      <w:szCs w:val="24"/>
      <w:lang w:val="en-US" w:eastAsia="uk-UA" w:bidi="ar-SA"/>
    </w:rPr>
  </w:style>
  <w:style w:type="paragraph" w:customStyle="1" w:styleId="20">
    <w:name w:val="单元格样式1_9d2a1700-dfe7-4304-947c-5e4354828904"/>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_ce3c5610-d127-4532-84d0-66f171150581"/>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_7a016093-a461-43b2-9a8f-06eb9277877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2023-08-02T07:06:00Z</dcterms:created>
  <dc:creator>XQZW</dc:creator>
  <cp:lastModifiedBy>Alexa</cp:lastModifiedBy>
  <dcterms:modified xsi:type="dcterms:W3CDTF">2023-08-17T05:44:34Z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