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hint="default" w:ascii="Times New Roman" w:hAnsi="Times New Roman" w:cs="Times New Roman"/>
          <w:highlight w:val="none"/>
        </w:rPr>
      </w:pPr>
      <w:r>
        <w:rPr>
          <w:rFonts w:hint="default" w:ascii="Times New Roman" w:hAnsi="Times New Roman" w:eastAsia="方正小标宋_GBK" w:cs="Times New Roman"/>
          <w:b w:val="0"/>
          <w:color w:val="000000"/>
          <w:sz w:val="44"/>
          <w:highlight w:val="none"/>
        </w:rPr>
        <w:t>三、秦皇岛北戴河新区团林卫生院大蒲河分院收支预算</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84"/>
        <w:gridCol w:w="3543"/>
        <w:gridCol w:w="1664"/>
        <w:gridCol w:w="2731"/>
        <w:gridCol w:w="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0" w:type="auto"/>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预算数</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一、一般公共预算拨款收入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1224.74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二、政府性基金预算拨款收入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三、国有资本经营预算拨款收入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四、财政专户管理资金收入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五、事业收入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六、事业单位经营收入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115.70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七、上级补助收入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八、附属单位上缴收入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九、其他收入</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1135.27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0"/>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0"/>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0"/>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1340.44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1377.85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上年结转结余</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37.41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年终结转结余</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1377.85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1377.85</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9"/>
        <w:gridCol w:w="1309"/>
        <w:gridCol w:w="2573"/>
        <w:gridCol w:w="899"/>
        <w:gridCol w:w="899"/>
        <w:gridCol w:w="1364"/>
        <w:gridCol w:w="1213"/>
        <w:gridCol w:w="855"/>
        <w:gridCol w:w="970"/>
        <w:gridCol w:w="1142"/>
        <w:gridCol w:w="1428"/>
        <w:gridCol w:w="855"/>
        <w:gridCol w:w="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0" w:type="auto"/>
            <w:gridSpan w:val="3"/>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5"/>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gridSpan w:val="8"/>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本年收入</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小计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财政拨款 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财政专户 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事业收入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经营收入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上级补助收入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附属单位上缴收入</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其他收入</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1377.85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1340.44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1224.74</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115.70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1135.27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1097.86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982.16</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115.70</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592.36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585.27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469.57</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115.70</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585.27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585.27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469.57</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115.70</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7.09</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r>
      <w:tr>
        <w:tblPrEx>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899"/>
        <w:gridCol w:w="1056"/>
        <w:gridCol w:w="1056"/>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0" w:type="auto"/>
            <w:gridSpan w:val="2"/>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项目支出</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经营支出</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上解上级     支出</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1377.85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1271.37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106.48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1135.27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1028.79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106.48</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592.36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516.20</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76.16</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585.27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516.20</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69.07</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7.09</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7.09</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5"/>
        <w:gridCol w:w="2827"/>
        <w:gridCol w:w="1073"/>
        <w:gridCol w:w="2808"/>
        <w:gridCol w:w="899"/>
        <w:gridCol w:w="2020"/>
        <w:gridCol w:w="242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0" w:type="auto"/>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5"/>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金额</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一般公共预算财政拨款</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政府性基金预算财政    拨款</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1224.74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1019.57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1019.57</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1224.74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年初财政拨款结转和结余</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37.41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年末财政拨款结转和结余</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37.41</w:t>
            </w: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2"/>
        <w:gridCol w:w="1065"/>
        <w:gridCol w:w="3609"/>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0" w:type="auto"/>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1155.67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1019.57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913.09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476.66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400.50</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469.57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400.50</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7.09</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0"/>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0"/>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支出部门经济分类科目</w:t>
            </w:r>
          </w:p>
        </w:tc>
        <w:tc>
          <w:tcPr>
            <w:tcW w:w="7654" w:type="dxa"/>
            <w:gridSpan w:val="3"/>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人员经费</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w:t>
            </w:r>
          </w:p>
        </w:tc>
        <w:tc>
          <w:tcPr>
            <w:tcW w:w="1191" w:type="dxa"/>
            <w:vAlign w:val="center"/>
          </w:tcPr>
          <w:p>
            <w:pPr>
              <w:pStyle w:val="13"/>
              <w:rPr>
                <w:rFonts w:hint="default" w:ascii="Times New Roman" w:hAnsi="Times New Roman" w:cs="Times New Roman"/>
                <w:highlight w:val="none"/>
              </w:rPr>
            </w:pP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1155.67</w:t>
            </w:r>
          </w:p>
        </w:tc>
        <w:tc>
          <w:tcPr>
            <w:tcW w:w="2551"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1122.02</w:t>
            </w:r>
          </w:p>
        </w:tc>
        <w:tc>
          <w:tcPr>
            <w:tcW w:w="2551"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工资福利支出</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1056.92</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1056.92</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30101</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基本工资</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138.65</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138.65</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4</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30102</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津贴补贴</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25.50</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25.50</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5</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30103</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奖金</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89.89</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89.89</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6</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30107</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绩效工资</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108.73</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108.73</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7</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30108</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74.68</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74.68</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8</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30109</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职业年金缴费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39.25</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39.25</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9</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30110</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职工基本医疗保险缴费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66.61</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66.61</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10</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30112</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其他社会保障缴费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451.17</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451.17</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11</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30113</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62.44</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12</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商品和服务支出</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33.65</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13</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30208</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取暖费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20.00</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14</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30216</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培训费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3.46</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15</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30228</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工会经费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4.61</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16</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30229</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福利费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3.51</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17</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30299</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其他商品和服务支出</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2.07</w:t>
            </w: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18</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303</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对个人和家庭的补助</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65.10</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65.10</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19</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30302</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退休费</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64.14</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64.14</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20</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30305</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生活补助</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0.88</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0.88</w:t>
            </w:r>
          </w:p>
        </w:tc>
        <w:tc>
          <w:tcPr>
            <w:tcW w:w="2551" w:type="dxa"/>
            <w:vAlign w:val="center"/>
          </w:tcPr>
          <w:p>
            <w:pPr>
              <w:pStyle w:val="10"/>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21</w:t>
            </w:r>
          </w:p>
        </w:tc>
        <w:tc>
          <w:tcPr>
            <w:tcW w:w="119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30309</w:t>
            </w:r>
          </w:p>
        </w:tc>
        <w:tc>
          <w:tcPr>
            <w:tcW w:w="4535"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奖励金</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0.08</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0.08</w:t>
            </w:r>
          </w:p>
        </w:tc>
        <w:tc>
          <w:tcPr>
            <w:tcW w:w="2551" w:type="dxa"/>
            <w:vAlign w:val="center"/>
          </w:tcPr>
          <w:p>
            <w:pPr>
              <w:pStyle w:val="10"/>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p>
        </w:tc>
        <w:tc>
          <w:tcPr>
            <w:tcW w:w="1191" w:type="dxa"/>
            <w:vAlign w:val="center"/>
          </w:tcPr>
          <w:p>
            <w:pPr>
              <w:pStyle w:val="9"/>
              <w:rPr>
                <w:rFonts w:hint="default" w:ascii="Times New Roman" w:hAnsi="Times New Roman" w:cs="Times New Roman"/>
                <w:highlight w:val="none"/>
              </w:rPr>
            </w:pPr>
          </w:p>
        </w:tc>
        <w:tc>
          <w:tcPr>
            <w:tcW w:w="4535" w:type="dxa"/>
            <w:vAlign w:val="center"/>
          </w:tcPr>
          <w:p>
            <w:pPr>
              <w:pStyle w:val="9"/>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注：无政府基金预算财政拨款预算，空表列示。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hint="default" w:ascii="Times New Roman" w:hAnsi="Times New Roman" w:cs="Times New Roman"/>
                <w:highlight w:val="none"/>
              </w:rPr>
            </w:pPr>
          </w:p>
        </w:tc>
        <w:tc>
          <w:tcPr>
            <w:tcW w:w="1191" w:type="dxa"/>
            <w:vAlign w:val="center"/>
          </w:tcPr>
          <w:p>
            <w:pPr>
              <w:pStyle w:val="9"/>
              <w:rPr>
                <w:rFonts w:hint="default" w:ascii="Times New Roman" w:hAnsi="Times New Roman" w:cs="Times New Roman"/>
                <w:highlight w:val="none"/>
              </w:rPr>
            </w:pPr>
          </w:p>
        </w:tc>
        <w:tc>
          <w:tcPr>
            <w:tcW w:w="4535" w:type="dxa"/>
            <w:vAlign w:val="center"/>
          </w:tcPr>
          <w:p>
            <w:pPr>
              <w:pStyle w:val="9"/>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c>
          <w:tcPr>
            <w:tcW w:w="2551" w:type="dxa"/>
            <w:vAlign w:val="center"/>
          </w:tcPr>
          <w:p>
            <w:pPr>
              <w:pStyle w:val="10"/>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注：无国有资本经营预算财政拨款预算，空表列示。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2381"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序号</w:t>
            </w:r>
          </w:p>
        </w:tc>
        <w:tc>
          <w:tcPr>
            <w:tcW w:w="3798"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  目</w:t>
            </w:r>
          </w:p>
        </w:tc>
        <w:tc>
          <w:tcPr>
            <w:tcW w:w="9524" w:type="dxa"/>
            <w:gridSpan w:val="4"/>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default" w:ascii="Times New Roman" w:hAnsi="Times New Roman" w:cs="Times New Roman"/>
                <w:highlight w:val="none"/>
              </w:rPr>
            </w:pPr>
          </w:p>
        </w:tc>
        <w:tc>
          <w:tcPr>
            <w:tcW w:w="3798" w:type="dxa"/>
            <w:vMerge w:val="continue"/>
          </w:tcPr>
          <w:p>
            <w:pPr>
              <w:rPr>
                <w:rFonts w:hint="default" w:ascii="Times New Roman" w:hAnsi="Times New Roman" w:cs="Times New Roman"/>
                <w:highlight w:val="none"/>
              </w:rPr>
            </w:pP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一般公共预算              财政拨款</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政府性基金                  预算拨款</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栏次</w:t>
            </w:r>
          </w:p>
        </w:tc>
        <w:tc>
          <w:tcPr>
            <w:tcW w:w="3798"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1</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4</w:t>
            </w:r>
          </w:p>
        </w:tc>
        <w:tc>
          <w:tcPr>
            <w:tcW w:w="238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hint="default" w:ascii="Times New Roman" w:hAnsi="Times New Roman" w:cs="Times New Roman"/>
                <w:highlight w:val="none"/>
              </w:rPr>
            </w:pPr>
          </w:p>
        </w:tc>
        <w:tc>
          <w:tcPr>
            <w:tcW w:w="3798" w:type="dxa"/>
            <w:vAlign w:val="center"/>
          </w:tcPr>
          <w:p>
            <w:pPr>
              <w:pStyle w:val="9"/>
              <w:rPr>
                <w:rFonts w:hint="default" w:ascii="Times New Roman" w:hAnsi="Times New Roman" w:cs="Times New Roman"/>
                <w:highlight w:val="none"/>
              </w:rPr>
            </w:pPr>
          </w:p>
        </w:tc>
        <w:tc>
          <w:tcPr>
            <w:tcW w:w="2381" w:type="dxa"/>
            <w:vAlign w:val="center"/>
          </w:tcPr>
          <w:p>
            <w:pPr>
              <w:pStyle w:val="10"/>
              <w:rPr>
                <w:rFonts w:hint="default" w:ascii="Times New Roman" w:hAnsi="Times New Roman" w:cs="Times New Roman"/>
                <w:highlight w:val="none"/>
              </w:rPr>
            </w:pPr>
          </w:p>
        </w:tc>
        <w:tc>
          <w:tcPr>
            <w:tcW w:w="2381" w:type="dxa"/>
            <w:vAlign w:val="center"/>
          </w:tcPr>
          <w:p>
            <w:pPr>
              <w:pStyle w:val="10"/>
              <w:rPr>
                <w:rFonts w:hint="default" w:ascii="Times New Roman" w:hAnsi="Times New Roman" w:cs="Times New Roman"/>
                <w:highlight w:val="none"/>
              </w:rPr>
            </w:pPr>
          </w:p>
        </w:tc>
        <w:tc>
          <w:tcPr>
            <w:tcW w:w="2381" w:type="dxa"/>
            <w:vAlign w:val="center"/>
          </w:tcPr>
          <w:p>
            <w:pPr>
              <w:pStyle w:val="10"/>
              <w:rPr>
                <w:rFonts w:hint="default" w:ascii="Times New Roman" w:hAnsi="Times New Roman" w:cs="Times New Roman"/>
                <w:highlight w:val="none"/>
              </w:rPr>
            </w:pPr>
          </w:p>
        </w:tc>
        <w:tc>
          <w:tcPr>
            <w:tcW w:w="2381" w:type="dxa"/>
            <w:vAlign w:val="center"/>
          </w:tcPr>
          <w:p>
            <w:pPr>
              <w:pStyle w:val="10"/>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361" w:bottom="1020" w:left="1361" w:header="720" w:footer="720" w:gutter="0"/>
          <w:cols w:space="720" w:num="1"/>
        </w:sectPr>
      </w:pPr>
      <w:r>
        <w:rPr>
          <w:rFonts w:hint="default" w:ascii="Times New Roman" w:hAnsi="Times New Roman" w:eastAsia="方正书宋_GBK" w:cs="Times New Roman"/>
          <w:color w:val="000000"/>
          <w:sz w:val="21"/>
          <w:highlight w:val="none"/>
        </w:rPr>
        <w:t>注：无财政拨款“三公”经费支出表预算，空表列示。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b w:val="0"/>
          <w:color w:val="000000"/>
          <w:sz w:val="44"/>
          <w:highlight w:val="none"/>
        </w:rPr>
        <w:t>秦皇岛北戴河新区团林卫生院大蒲河分院2023年单位预算信息公开情况说明</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按照《预算法》、《地方预决算公开操作规程》和《关于进一步推进预算公开工作的实施意见》规定，现将秦皇岛北戴河新区团林卫生院大蒲河分院2023年单位预算公开如下：</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一、单位职责及机构设置情况</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单位职责：</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1、负责本乡镇的卫生工作法律、法规、政策的贯彻，卫生事业发展规划和工作计划的制订，社会公共卫生工作的组织和实施；</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2、负责本乡镇的基本医疗服务；</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3、负责本乡镇突发公共卫生事件的报告，并依据上级部门要求组织实施处置；</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4、负责本乡镇辖区内的卫生信息统计、分析、上报；</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5、负责对本乡镇辖区内村级卫生组织和乡村医生的业务指导和培训。</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机构设置：</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3"/>
        <w:gridCol w:w="1533"/>
        <w:gridCol w:w="1533"/>
        <w:gridCol w:w="2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单位名称</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单位性质</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单位规格</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秦皇岛北戴河新区团林卫生院大蒲河分院</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事业</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股级</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财政性资金定额或定项补助</w:t>
            </w:r>
          </w:p>
        </w:tc>
      </w:tr>
    </w:tbl>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二、单位预算安排的总体情况</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按照预算管理有关规定，目前我单位预算的编制实行综合预算管理，即全部收入和支出都反映在预算中。</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收入说明</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202</w:t>
      </w:r>
      <w:r>
        <w:rPr>
          <w:rFonts w:hint="default" w:ascii="Times New Roman" w:hAnsi="Times New Roman" w:eastAsia="方正仿宋_GBK" w:cs="Times New Roman"/>
          <w:b w:val="0"/>
          <w:color w:val="000000"/>
          <w:sz w:val="28"/>
          <w:highlight w:val="none"/>
          <w:lang w:eastAsia="zh-CN"/>
        </w:rPr>
        <w:t>3</w:t>
      </w:r>
      <w:r>
        <w:rPr>
          <w:rFonts w:hint="default" w:ascii="Times New Roman" w:hAnsi="Times New Roman" w:eastAsia="方正仿宋_GBK" w:cs="Times New Roman"/>
          <w:b w:val="0"/>
          <w:color w:val="000000"/>
          <w:sz w:val="28"/>
          <w:highlight w:val="none"/>
        </w:rPr>
        <w:t>年预算收入</w:t>
      </w:r>
      <w:r>
        <w:rPr>
          <w:rFonts w:hint="default" w:ascii="Times New Roman" w:hAnsi="Times New Roman" w:eastAsia="方正仿宋_GBK" w:cs="Times New Roman"/>
          <w:b w:val="0"/>
          <w:color w:val="000000"/>
          <w:sz w:val="28"/>
          <w:highlight w:val="none"/>
          <w:lang w:eastAsia="zh-CN"/>
        </w:rPr>
        <w:t>1377.85</w:t>
      </w:r>
      <w:r>
        <w:rPr>
          <w:rFonts w:hint="default" w:ascii="Times New Roman" w:hAnsi="Times New Roman" w:eastAsia="方正仿宋_GBK" w:cs="Times New Roman"/>
          <w:b w:val="0"/>
          <w:color w:val="000000"/>
          <w:sz w:val="28"/>
          <w:highlight w:val="none"/>
        </w:rPr>
        <w:t>万元，一般公共预算拨款</w:t>
      </w:r>
      <w:r>
        <w:rPr>
          <w:rFonts w:hint="default" w:ascii="Times New Roman" w:hAnsi="Times New Roman" w:eastAsia="方正仿宋_GBK" w:cs="Times New Roman"/>
          <w:b w:val="0"/>
          <w:color w:val="000000"/>
          <w:sz w:val="28"/>
          <w:highlight w:val="none"/>
          <w:lang w:eastAsia="zh-CN"/>
        </w:rPr>
        <w:t>1224.74</w:t>
      </w:r>
      <w:r>
        <w:rPr>
          <w:rFonts w:hint="default" w:ascii="Times New Roman" w:hAnsi="Times New Roman" w:eastAsia="方正仿宋_GBK" w:cs="Times New Roman"/>
          <w:b w:val="0"/>
          <w:color w:val="000000"/>
          <w:sz w:val="28"/>
          <w:highlight w:val="none"/>
        </w:rPr>
        <w:t>万元</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收支说明</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202</w:t>
      </w:r>
      <w:r>
        <w:rPr>
          <w:rFonts w:hint="default" w:ascii="Times New Roman" w:hAnsi="Times New Roman" w:eastAsia="方正仿宋_GBK" w:cs="Times New Roman"/>
          <w:b w:val="0"/>
          <w:color w:val="000000"/>
          <w:sz w:val="28"/>
          <w:highlight w:val="none"/>
          <w:lang w:eastAsia="zh-CN"/>
        </w:rPr>
        <w:t>3</w:t>
      </w:r>
      <w:r>
        <w:rPr>
          <w:rFonts w:hint="default" w:ascii="Times New Roman" w:hAnsi="Times New Roman" w:eastAsia="方正仿宋_GBK" w:cs="Times New Roman"/>
          <w:b w:val="0"/>
          <w:color w:val="000000"/>
          <w:sz w:val="28"/>
          <w:highlight w:val="none"/>
        </w:rPr>
        <w:t>年部门支出预算</w:t>
      </w:r>
      <w:r>
        <w:rPr>
          <w:rFonts w:hint="default" w:ascii="Times New Roman" w:hAnsi="Times New Roman" w:eastAsia="方正仿宋_GBK" w:cs="Times New Roman"/>
          <w:b w:val="0"/>
          <w:color w:val="000000"/>
          <w:sz w:val="28"/>
          <w:highlight w:val="none"/>
          <w:lang w:eastAsia="zh-CN"/>
        </w:rPr>
        <w:t>1377.85</w:t>
      </w:r>
      <w:r>
        <w:rPr>
          <w:rFonts w:hint="default" w:ascii="Times New Roman" w:hAnsi="Times New Roman" w:eastAsia="方正仿宋_GBK" w:cs="Times New Roman"/>
          <w:b w:val="0"/>
          <w:color w:val="000000"/>
          <w:sz w:val="28"/>
          <w:highlight w:val="none"/>
        </w:rPr>
        <w:t>万元，其中财政预算基本支出</w:t>
      </w:r>
      <w:r>
        <w:rPr>
          <w:rFonts w:hint="default" w:ascii="Times New Roman" w:hAnsi="Times New Roman" w:eastAsia="方正仿宋_GBK" w:cs="Times New Roman"/>
          <w:b w:val="0"/>
          <w:color w:val="000000"/>
          <w:sz w:val="28"/>
          <w:highlight w:val="none"/>
          <w:lang w:eastAsia="zh-CN"/>
        </w:rPr>
        <w:t>1155.67</w:t>
      </w:r>
      <w:r>
        <w:rPr>
          <w:rFonts w:hint="default" w:ascii="Times New Roman" w:hAnsi="Times New Roman" w:eastAsia="方正仿宋_GBK" w:cs="Times New Roman"/>
          <w:b w:val="0"/>
          <w:color w:val="000000"/>
          <w:sz w:val="28"/>
          <w:highlight w:val="none"/>
        </w:rPr>
        <w:t>万元，包括人员经费</w:t>
      </w:r>
      <w:r>
        <w:rPr>
          <w:rFonts w:hint="default" w:ascii="Times New Roman" w:hAnsi="Times New Roman" w:eastAsia="方正仿宋_GBK" w:cs="Times New Roman"/>
          <w:b w:val="0"/>
          <w:color w:val="000000"/>
          <w:sz w:val="28"/>
          <w:highlight w:val="none"/>
          <w:lang w:eastAsia="zh-CN"/>
        </w:rPr>
        <w:t>1122.02</w:t>
      </w:r>
      <w:r>
        <w:rPr>
          <w:rFonts w:hint="default" w:ascii="Times New Roman" w:hAnsi="Times New Roman" w:eastAsia="方正仿宋_GBK" w:cs="Times New Roman"/>
          <w:b w:val="0"/>
          <w:color w:val="000000"/>
          <w:sz w:val="28"/>
          <w:highlight w:val="none"/>
        </w:rPr>
        <w:t>万元，日常公用经费</w:t>
      </w:r>
      <w:r>
        <w:rPr>
          <w:rFonts w:hint="default" w:ascii="Times New Roman" w:hAnsi="Times New Roman" w:eastAsia="方正仿宋_GBK" w:cs="Times New Roman"/>
          <w:b w:val="0"/>
          <w:color w:val="000000"/>
          <w:sz w:val="28"/>
          <w:highlight w:val="none"/>
          <w:lang w:eastAsia="zh-CN"/>
        </w:rPr>
        <w:t>33.65</w:t>
      </w:r>
      <w:r>
        <w:rPr>
          <w:rFonts w:hint="default" w:ascii="Times New Roman" w:hAnsi="Times New Roman" w:eastAsia="方正仿宋_GBK" w:cs="Times New Roman"/>
          <w:b w:val="0"/>
          <w:color w:val="000000"/>
          <w:sz w:val="28"/>
          <w:highlight w:val="none"/>
        </w:rPr>
        <w:t>万元；</w:t>
      </w:r>
      <w:r>
        <w:rPr>
          <w:rFonts w:hint="default" w:ascii="Times New Roman" w:hAnsi="Times New Roman" w:eastAsia="方正仿宋_GBK" w:cs="Times New Roman"/>
          <w:b w:val="0"/>
          <w:color w:val="000000"/>
          <w:sz w:val="28"/>
          <w:highlight w:val="none"/>
          <w:lang w:eastAsia="zh-CN"/>
        </w:rPr>
        <w:t>项目支出106.48万元，包括上年结转的公共卫生及基本药物资金37.41万元，人事代理人员工资及保险等69.07万元。</w:t>
      </w:r>
      <w:r>
        <w:rPr>
          <w:rFonts w:hint="default" w:ascii="Times New Roman" w:hAnsi="Times New Roman" w:eastAsia="方正仿宋_GBK" w:cs="Times New Roman"/>
          <w:b w:val="0"/>
          <w:color w:val="000000"/>
          <w:sz w:val="28"/>
          <w:highlight w:val="none"/>
        </w:rPr>
        <w:t>其他来源支出</w:t>
      </w:r>
      <w:r>
        <w:rPr>
          <w:rFonts w:hint="default" w:ascii="Times New Roman" w:hAnsi="Times New Roman" w:eastAsia="方正仿宋_GBK" w:cs="Times New Roman"/>
          <w:b w:val="0"/>
          <w:color w:val="000000"/>
          <w:sz w:val="28"/>
          <w:highlight w:val="none"/>
          <w:lang w:eastAsia="zh-CN"/>
        </w:rPr>
        <w:t>115.70</w:t>
      </w:r>
      <w:r>
        <w:rPr>
          <w:rFonts w:hint="default" w:ascii="Times New Roman" w:hAnsi="Times New Roman" w:eastAsia="方正仿宋_GBK" w:cs="Times New Roman"/>
          <w:b w:val="0"/>
          <w:color w:val="000000"/>
          <w:sz w:val="28"/>
          <w:highlight w:val="none"/>
        </w:rPr>
        <w:t>万元，主要用于单位日常运转公用经费，全部为本级支出。</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比上年增减情况</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202</w:t>
      </w:r>
      <w:r>
        <w:rPr>
          <w:rFonts w:hint="default" w:ascii="Times New Roman" w:hAnsi="Times New Roman" w:eastAsia="方正仿宋_GBK" w:cs="Times New Roman"/>
          <w:b w:val="0"/>
          <w:color w:val="000000"/>
          <w:sz w:val="28"/>
          <w:highlight w:val="none"/>
          <w:lang w:eastAsia="zh-CN"/>
        </w:rPr>
        <w:t>3</w:t>
      </w:r>
      <w:r>
        <w:rPr>
          <w:rFonts w:hint="default" w:ascii="Times New Roman" w:hAnsi="Times New Roman" w:eastAsia="方正仿宋_GBK" w:cs="Times New Roman"/>
          <w:b w:val="0"/>
          <w:color w:val="000000"/>
          <w:sz w:val="28"/>
          <w:highlight w:val="none"/>
        </w:rPr>
        <w:t>年单位预算较202</w:t>
      </w:r>
      <w:r>
        <w:rPr>
          <w:rFonts w:hint="default" w:ascii="Times New Roman" w:hAnsi="Times New Roman" w:eastAsia="方正仿宋_GBK" w:cs="Times New Roman"/>
          <w:b w:val="0"/>
          <w:color w:val="000000"/>
          <w:sz w:val="28"/>
          <w:highlight w:val="none"/>
          <w:lang w:eastAsia="zh-CN"/>
        </w:rPr>
        <w:t>2</w:t>
      </w:r>
      <w:r>
        <w:rPr>
          <w:rFonts w:hint="default" w:ascii="Times New Roman" w:hAnsi="Times New Roman" w:eastAsia="方正仿宋_GBK" w:cs="Times New Roman"/>
          <w:b w:val="0"/>
          <w:color w:val="000000"/>
          <w:sz w:val="28"/>
          <w:highlight w:val="none"/>
        </w:rPr>
        <w:t>年增加</w:t>
      </w:r>
      <w:r>
        <w:rPr>
          <w:rFonts w:hint="default" w:ascii="Times New Roman" w:hAnsi="Times New Roman" w:eastAsia="方正仿宋_GBK" w:cs="Times New Roman"/>
          <w:b w:val="0"/>
          <w:color w:val="000000"/>
          <w:sz w:val="28"/>
          <w:highlight w:val="none"/>
          <w:lang w:eastAsia="zh-CN"/>
        </w:rPr>
        <w:t>303.85</w:t>
      </w:r>
      <w:r>
        <w:rPr>
          <w:rFonts w:hint="default" w:ascii="Times New Roman" w:hAnsi="Times New Roman" w:eastAsia="方正仿宋_GBK" w:cs="Times New Roman"/>
          <w:b w:val="0"/>
          <w:color w:val="000000"/>
          <w:sz w:val="28"/>
          <w:highlight w:val="none"/>
        </w:rPr>
        <w:t>万元，其中基本支出增加</w:t>
      </w:r>
      <w:r>
        <w:rPr>
          <w:rFonts w:hint="default" w:ascii="Times New Roman" w:hAnsi="Times New Roman" w:eastAsia="方正仿宋_GBK" w:cs="Times New Roman"/>
          <w:b w:val="0"/>
          <w:color w:val="000000"/>
          <w:sz w:val="28"/>
          <w:highlight w:val="none"/>
          <w:lang w:eastAsia="zh-CN"/>
        </w:rPr>
        <w:t>175.32</w:t>
      </w:r>
      <w:r>
        <w:rPr>
          <w:rFonts w:hint="default" w:ascii="Times New Roman" w:hAnsi="Times New Roman" w:eastAsia="方正仿宋_GBK" w:cs="Times New Roman"/>
          <w:b w:val="0"/>
          <w:color w:val="000000"/>
          <w:sz w:val="28"/>
          <w:highlight w:val="none"/>
        </w:rPr>
        <w:t>万元，主要是在编在职人员及人事代理人员经费增加，本年度药品购置经费加入了年初预算。</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三、机关运行经费安排情况</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 xml:space="preserve">本年度年初预算安排日常公用经费 </w:t>
      </w:r>
      <w:r>
        <w:rPr>
          <w:rFonts w:hint="default" w:ascii="Times New Roman" w:hAnsi="Times New Roman" w:eastAsia="方正仿宋_GBK" w:cs="Times New Roman"/>
          <w:b w:val="0"/>
          <w:color w:val="000000"/>
          <w:sz w:val="28"/>
          <w:highlight w:val="none"/>
          <w:lang w:eastAsia="zh-CN"/>
        </w:rPr>
        <w:t>33.65</w:t>
      </w:r>
      <w:r>
        <w:rPr>
          <w:rFonts w:hint="default" w:ascii="Times New Roman" w:hAnsi="Times New Roman" w:eastAsia="方正仿宋_GBK" w:cs="Times New Roman"/>
          <w:b w:val="0"/>
          <w:color w:val="000000"/>
          <w:sz w:val="28"/>
          <w:highlight w:val="none"/>
        </w:rPr>
        <w:t>万元，主要用于单位正常运转的办公取暖费、培训费、工会经费、福利费等支出</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四、财政拨款“三公”经费预算情况及增减变化原因</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val="en-US" w:eastAsia="zh-CN"/>
        </w:rPr>
      </w:pPr>
      <w:r>
        <w:rPr>
          <w:rFonts w:hint="default" w:ascii="Times New Roman" w:hAnsi="Times New Roman" w:eastAsia="方正仿宋_GBK" w:cs="Times New Roman"/>
          <w:b w:val="0"/>
          <w:color w:val="000000"/>
          <w:sz w:val="28"/>
          <w:highlight w:val="none"/>
        </w:rPr>
        <w:t>本单位年初预算安排财政拨款三公经费</w:t>
      </w:r>
      <w:r>
        <w:rPr>
          <w:rFonts w:hint="default" w:ascii="Times New Roman" w:hAnsi="Times New Roman" w:eastAsia="方正仿宋_GBK" w:cs="Times New Roman"/>
          <w:b w:val="0"/>
          <w:color w:val="000000"/>
          <w:sz w:val="28"/>
          <w:highlight w:val="none"/>
          <w:lang w:eastAsia="zh-CN"/>
        </w:rPr>
        <w:t>0</w:t>
      </w:r>
      <w:r>
        <w:rPr>
          <w:rFonts w:hint="default" w:ascii="Times New Roman" w:hAnsi="Times New Roman" w:eastAsia="方正仿宋_GBK" w:cs="Times New Roman"/>
          <w:b w:val="0"/>
          <w:color w:val="000000"/>
          <w:sz w:val="28"/>
          <w:highlight w:val="none"/>
        </w:rPr>
        <w:t>万元，较202</w:t>
      </w:r>
      <w:r>
        <w:rPr>
          <w:rFonts w:hint="default" w:ascii="Times New Roman" w:hAnsi="Times New Roman" w:eastAsia="方正仿宋_GBK" w:cs="Times New Roman"/>
          <w:b w:val="0"/>
          <w:color w:val="000000"/>
          <w:sz w:val="28"/>
          <w:highlight w:val="none"/>
          <w:lang w:eastAsia="zh-CN"/>
        </w:rPr>
        <w:t>2</w:t>
      </w:r>
      <w:r>
        <w:rPr>
          <w:rFonts w:hint="default" w:ascii="Times New Roman" w:hAnsi="Times New Roman" w:eastAsia="方正仿宋_GBK" w:cs="Times New Roman"/>
          <w:b w:val="0"/>
          <w:color w:val="000000"/>
          <w:sz w:val="28"/>
          <w:highlight w:val="none"/>
        </w:rPr>
        <w:t>年度预算</w:t>
      </w:r>
      <w:r>
        <w:rPr>
          <w:rFonts w:hint="eastAsia" w:ascii="Times New Roman" w:hAnsi="Times New Roman" w:eastAsia="方正仿宋_GBK" w:cs="Times New Roman"/>
          <w:b w:val="0"/>
          <w:color w:val="000000"/>
          <w:sz w:val="28"/>
          <w:highlight w:val="none"/>
          <w:lang w:val="en-US" w:eastAsia="zh-CN"/>
        </w:rPr>
        <w:t>无变化。</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val="uk-UA" w:eastAsia="zh-CN"/>
        </w:rPr>
      </w:pPr>
      <w:r>
        <w:rPr>
          <w:rFonts w:hint="default" w:ascii="Times New Roman" w:hAnsi="Times New Roman" w:eastAsia="方正仿宋_GBK" w:cs="Times New Roman"/>
          <w:b w:val="0"/>
          <w:color w:val="000000"/>
          <w:sz w:val="28"/>
          <w:highlight w:val="none"/>
        </w:rPr>
        <w:t>五、预算绩效信息</w:t>
      </w: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1、人事代理人员经费绩效目标表</w:t>
      </w:r>
    </w:p>
    <w:tbl>
      <w:tblPr>
        <w:tblStyle w:val="2"/>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37"/>
        <w:gridCol w:w="888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3" w:type="pct"/>
            <w:tcBorders>
              <w:bottom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6" w:type="pct"/>
            <w:tcBorders>
              <w:bottom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6.目标内容1</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26"/>
        <w:gridCol w:w="1027"/>
        <w:gridCol w:w="1612"/>
        <w:gridCol w:w="3189"/>
        <w:gridCol w:w="2115"/>
        <w:gridCol w:w="9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支付在职医务人员人数</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支付在职人事代理人员人数</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≥4人</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人事代理人数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工资及社保缴费计算准确率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工资及社保缴费计算准确笔数占总笔数的比例</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组织部门审批依据</w:t>
            </w:r>
          </w:p>
          <w:p>
            <w:pPr>
              <w:pStyle w:val="9"/>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工资与规定相符</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工资发放符合组织部门审批标准</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支付及时率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人员经费发放及时率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按照预算指标完成</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通过科学编制预算，严格遵守各项制度，提高财政资金的使用效率，做到节俭高效</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提高财政资金的使用效率，做到节俭高效</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保持工作稳定、持续开展</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节约成本</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根据工作计划调节取暖工作，并根据实际情况及时调整</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节约燃气，水电资源，降低能耗，实现绿色办公</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业务工作可持续性</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历史经验</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2、2022年村卫生室中央基本药物制度补助资金绩效目标表</w:t>
      </w:r>
    </w:p>
    <w:tbl>
      <w:tblPr>
        <w:tblStyle w:val="2"/>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87"/>
        <w:gridCol w:w="873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61" w:type="pct"/>
            <w:tcBorders>
              <w:bottom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38" w:type="pct"/>
            <w:tcBorders>
              <w:bottom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1.提升村医待遇，做到老有所依</w:t>
            </w:r>
          </w:p>
          <w:p>
            <w:pPr>
              <w:pStyle w:val="9"/>
              <w:rPr>
                <w:rFonts w:hint="default" w:ascii="Times New Roman" w:hAnsi="Times New Roman" w:cs="Times New Roman"/>
                <w:highlight w:val="none"/>
              </w:rPr>
            </w:pPr>
            <w:r>
              <w:rPr>
                <w:rFonts w:hint="default" w:ascii="Times New Roman" w:hAnsi="Times New Roman" w:cs="Times New Roman"/>
                <w:highlight w:val="none"/>
              </w:rPr>
              <w:t>2.专款专用</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3"/>
        <w:gridCol w:w="1340"/>
        <w:gridCol w:w="2121"/>
        <w:gridCol w:w="3378"/>
        <w:gridCol w:w="787"/>
        <w:gridCol w:w="1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培训人员人次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培训人员人次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≥12次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正常使用率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正常使用率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按时完成工作任务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按时完成工作任务</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工作完成率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工作完成率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提升公共服务水平和质量</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提升公共服务水平和质量</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3、2022年基本公共卫生服务补助区级资金绩效目标表</w:t>
      </w:r>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4809"/>
        <w:gridCol w:w="481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2500" w:type="pct"/>
            <w:tcBorders>
              <w:bottom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1.专款专用</w:t>
            </w:r>
          </w:p>
          <w:p>
            <w:pPr>
              <w:pStyle w:val="9"/>
              <w:rPr>
                <w:rFonts w:hint="default" w:ascii="Times New Roman" w:hAnsi="Times New Roman" w:cs="Times New Roman"/>
                <w:highlight w:val="none"/>
              </w:rPr>
            </w:pPr>
            <w:r>
              <w:rPr>
                <w:rFonts w:hint="default" w:ascii="Times New Roman" w:hAnsi="Times New Roman" w:cs="Times New Roman"/>
                <w:highlight w:val="none"/>
              </w:rPr>
              <w:t>2.提升公共卫生服务水平</w:t>
            </w:r>
          </w:p>
          <w:p>
            <w:pPr>
              <w:pStyle w:val="9"/>
              <w:rPr>
                <w:rFonts w:hint="default" w:ascii="Times New Roman" w:hAnsi="Times New Roman" w:cs="Times New Roman"/>
                <w:highlight w:val="none"/>
              </w:rPr>
            </w:pPr>
            <w:r>
              <w:rPr>
                <w:rFonts w:hint="default" w:ascii="Times New Roman" w:hAnsi="Times New Roman" w:cs="Times New Roman"/>
                <w:highlight w:val="none"/>
              </w:rPr>
              <w:t>3.缩短城乡居民差距</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2"/>
        <w:gridCol w:w="1238"/>
        <w:gridCol w:w="1955"/>
        <w:gridCol w:w="3071"/>
        <w:gridCol w:w="1490"/>
        <w:gridCol w:w="10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居民健康档案电子建档人数</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居民健康档案电子建档人数</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居民健康档案电子建档率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居民健康档案电子建档率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完成及时率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完成及时率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提高工作效率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提高工作效率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提高工作人员服务水平</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老年人健康管理达标率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老年人健康管理达标率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≥70%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明显提高</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4、2022年中央基本药物制度补助资金-村卫生室绩效目标表</w:t>
      </w:r>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4809"/>
        <w:gridCol w:w="481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2500" w:type="pct"/>
            <w:tcBorders>
              <w:bottom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1.提升村医待遇，做到老有所依</w:t>
            </w:r>
          </w:p>
          <w:p>
            <w:pPr>
              <w:pStyle w:val="9"/>
              <w:rPr>
                <w:rFonts w:hint="default" w:ascii="Times New Roman" w:hAnsi="Times New Roman" w:cs="Times New Roman"/>
                <w:highlight w:val="none"/>
              </w:rPr>
            </w:pPr>
            <w:r>
              <w:rPr>
                <w:rFonts w:hint="default" w:ascii="Times New Roman" w:hAnsi="Times New Roman" w:cs="Times New Roman"/>
                <w:highlight w:val="none"/>
              </w:rPr>
              <w:t>2.专款专用</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60"/>
        <w:gridCol w:w="1293"/>
        <w:gridCol w:w="2045"/>
        <w:gridCol w:w="3238"/>
        <w:gridCol w:w="1109"/>
        <w:gridCol w:w="10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培训基层公共服务人员数量</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培训基层公共服务人员数量</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≥20人</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资金到位率</w:t>
            </w:r>
          </w:p>
          <w:p>
            <w:pPr>
              <w:pStyle w:val="9"/>
              <w:rPr>
                <w:rFonts w:hint="default" w:ascii="Times New Roman" w:hAnsi="Times New Roman" w:cs="Times New Roman"/>
                <w:highlight w:val="none"/>
              </w:rPr>
            </w:pPr>
          </w:p>
          <w:p>
            <w:pPr>
              <w:pStyle w:val="9"/>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资金到位率</w:t>
            </w:r>
          </w:p>
          <w:p>
            <w:pPr>
              <w:pStyle w:val="9"/>
              <w:rPr>
                <w:rFonts w:hint="default" w:ascii="Times New Roman" w:hAnsi="Times New Roman" w:cs="Times New Roman"/>
                <w:highlight w:val="none"/>
              </w:rPr>
            </w:pPr>
          </w:p>
          <w:p>
            <w:pPr>
              <w:pStyle w:val="9"/>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及时性</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及时性</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保障相关业务、工作等开展情况</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有效保障</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明显提升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业务能力增强</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业务能力增强</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业务能力增强</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六、政府采购预算情况</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2023年，秦皇岛北戴河新区团林卫生院大蒲河分院安排政府采购预算20.00万元。具体内容见下表。</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8674" w:type="dxa"/>
            <w:gridSpan w:val="9"/>
            <w:tcBorders>
              <w:top w:val="single" w:color="FFFFFF" w:sz="6" w:space="0"/>
              <w:left w:val="single" w:color="FFFFFF" w:sz="6" w:space="0"/>
              <w:right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政府采购项目来源</w:t>
            </w:r>
          </w:p>
        </w:tc>
        <w:tc>
          <w:tcPr>
            <w:tcW w:w="1134"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采购物品名称</w:t>
            </w:r>
          </w:p>
        </w:tc>
        <w:tc>
          <w:tcPr>
            <w:tcW w:w="1134"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政府采购目录序号</w:t>
            </w:r>
          </w:p>
        </w:tc>
        <w:tc>
          <w:tcPr>
            <w:tcW w:w="709"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计量  单位</w:t>
            </w:r>
          </w:p>
        </w:tc>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数量</w:t>
            </w:r>
          </w:p>
        </w:tc>
        <w:tc>
          <w:tcPr>
            <w:tcW w:w="850"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单价</w:t>
            </w:r>
          </w:p>
        </w:tc>
        <w:tc>
          <w:tcPr>
            <w:tcW w:w="7710" w:type="dxa"/>
            <w:gridSpan w:val="8"/>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政府采购金额（当年部门预算安排资金）</w:t>
            </w:r>
          </w:p>
        </w:tc>
        <w:tc>
          <w:tcPr>
            <w:tcW w:w="964" w:type="dxa"/>
            <w:vMerge w:val="restart"/>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预算    资金</w:t>
            </w:r>
          </w:p>
        </w:tc>
        <w:tc>
          <w:tcPr>
            <w:tcW w:w="1134" w:type="dxa"/>
            <w:vMerge w:val="continue"/>
          </w:tcPr>
          <w:p>
            <w:pPr>
              <w:rPr>
                <w:rFonts w:hint="default" w:ascii="Times New Roman" w:hAnsi="Times New Roman" w:cs="Times New Roman"/>
                <w:highlight w:val="none"/>
              </w:rPr>
            </w:pPr>
          </w:p>
        </w:tc>
        <w:tc>
          <w:tcPr>
            <w:tcW w:w="1134" w:type="dxa"/>
            <w:vMerge w:val="continue"/>
          </w:tcPr>
          <w:p>
            <w:pPr>
              <w:rPr>
                <w:rFonts w:hint="default" w:ascii="Times New Roman" w:hAnsi="Times New Roman" w:cs="Times New Roman"/>
                <w:highlight w:val="none"/>
              </w:rPr>
            </w:pPr>
          </w:p>
        </w:tc>
        <w:tc>
          <w:tcPr>
            <w:tcW w:w="709"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合计</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一般公共预算拨款</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基金预算拨款</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国有资本经营预算拨款</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财政专户核拨</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单位    资金</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财政拨    款结转</w:t>
            </w:r>
          </w:p>
        </w:tc>
        <w:tc>
          <w:tcPr>
            <w:tcW w:w="964" w:type="dxa"/>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非财政    拨款结    转结余</w:t>
            </w:r>
          </w:p>
        </w:tc>
        <w:tc>
          <w:tcPr>
            <w:tcW w:w="964"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  计</w:t>
            </w:r>
          </w:p>
        </w:tc>
        <w:tc>
          <w:tcPr>
            <w:tcW w:w="964" w:type="dxa"/>
            <w:vAlign w:val="center"/>
          </w:tcPr>
          <w:p>
            <w:pPr>
              <w:pStyle w:val="12"/>
              <w:rPr>
                <w:rFonts w:hint="default" w:ascii="Times New Roman" w:hAnsi="Times New Roman" w:cs="Times New Roman"/>
                <w:highlight w:val="none"/>
              </w:rPr>
            </w:pPr>
          </w:p>
        </w:tc>
        <w:tc>
          <w:tcPr>
            <w:tcW w:w="1134" w:type="dxa"/>
            <w:vAlign w:val="center"/>
          </w:tcPr>
          <w:p>
            <w:pPr>
              <w:pStyle w:val="13"/>
              <w:rPr>
                <w:rFonts w:hint="default" w:ascii="Times New Roman" w:hAnsi="Times New Roman" w:cs="Times New Roman"/>
                <w:highlight w:val="none"/>
              </w:rPr>
            </w:pPr>
          </w:p>
        </w:tc>
        <w:tc>
          <w:tcPr>
            <w:tcW w:w="1134" w:type="dxa"/>
            <w:vAlign w:val="center"/>
          </w:tcPr>
          <w:p>
            <w:pPr>
              <w:pStyle w:val="13"/>
              <w:rPr>
                <w:rFonts w:hint="default" w:ascii="Times New Roman" w:hAnsi="Times New Roman" w:cs="Times New Roman"/>
                <w:highlight w:val="none"/>
              </w:rPr>
            </w:pPr>
          </w:p>
        </w:tc>
        <w:tc>
          <w:tcPr>
            <w:tcW w:w="709" w:type="dxa"/>
            <w:vAlign w:val="center"/>
          </w:tcPr>
          <w:p>
            <w:pPr>
              <w:pStyle w:val="11"/>
              <w:rPr>
                <w:rFonts w:hint="default" w:ascii="Times New Roman" w:hAnsi="Times New Roman" w:cs="Times New Roman"/>
                <w:highlight w:val="none"/>
              </w:rPr>
            </w:pPr>
          </w:p>
        </w:tc>
        <w:tc>
          <w:tcPr>
            <w:tcW w:w="850" w:type="dxa"/>
            <w:vAlign w:val="center"/>
          </w:tcPr>
          <w:p>
            <w:pPr>
              <w:pStyle w:val="12"/>
              <w:rPr>
                <w:rFonts w:hint="default" w:ascii="Times New Roman" w:hAnsi="Times New Roman" w:cs="Times New Roman"/>
                <w:highlight w:val="none"/>
              </w:rPr>
            </w:pPr>
          </w:p>
        </w:tc>
        <w:tc>
          <w:tcPr>
            <w:tcW w:w="850"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秦皇岛北戴河新区团林卫生院大蒲河分院小计</w:t>
            </w:r>
          </w:p>
        </w:tc>
        <w:tc>
          <w:tcPr>
            <w:tcW w:w="964" w:type="dxa"/>
            <w:vAlign w:val="center"/>
          </w:tcPr>
          <w:p>
            <w:pPr>
              <w:pStyle w:val="12"/>
              <w:rPr>
                <w:rFonts w:hint="default" w:ascii="Times New Roman" w:hAnsi="Times New Roman" w:cs="Times New Roman"/>
                <w:highlight w:val="none"/>
              </w:rPr>
            </w:pPr>
          </w:p>
        </w:tc>
        <w:tc>
          <w:tcPr>
            <w:tcW w:w="1134" w:type="dxa"/>
            <w:vAlign w:val="center"/>
          </w:tcPr>
          <w:p>
            <w:pPr>
              <w:pStyle w:val="13"/>
              <w:rPr>
                <w:rFonts w:hint="default" w:ascii="Times New Roman" w:hAnsi="Times New Roman" w:cs="Times New Roman"/>
                <w:highlight w:val="none"/>
              </w:rPr>
            </w:pPr>
          </w:p>
        </w:tc>
        <w:tc>
          <w:tcPr>
            <w:tcW w:w="1134" w:type="dxa"/>
            <w:vAlign w:val="center"/>
          </w:tcPr>
          <w:p>
            <w:pPr>
              <w:pStyle w:val="13"/>
              <w:rPr>
                <w:rFonts w:hint="default" w:ascii="Times New Roman" w:hAnsi="Times New Roman" w:cs="Times New Roman"/>
                <w:highlight w:val="none"/>
              </w:rPr>
            </w:pPr>
          </w:p>
        </w:tc>
        <w:tc>
          <w:tcPr>
            <w:tcW w:w="709" w:type="dxa"/>
            <w:vAlign w:val="center"/>
          </w:tcPr>
          <w:p>
            <w:pPr>
              <w:pStyle w:val="11"/>
              <w:rPr>
                <w:rFonts w:hint="default" w:ascii="Times New Roman" w:hAnsi="Times New Roman" w:cs="Times New Roman"/>
                <w:highlight w:val="none"/>
              </w:rPr>
            </w:pPr>
          </w:p>
        </w:tc>
        <w:tc>
          <w:tcPr>
            <w:tcW w:w="850" w:type="dxa"/>
            <w:vAlign w:val="center"/>
          </w:tcPr>
          <w:p>
            <w:pPr>
              <w:pStyle w:val="12"/>
              <w:rPr>
                <w:rFonts w:hint="default" w:ascii="Times New Roman" w:hAnsi="Times New Roman" w:cs="Times New Roman"/>
                <w:highlight w:val="none"/>
              </w:rPr>
            </w:pPr>
          </w:p>
        </w:tc>
        <w:tc>
          <w:tcPr>
            <w:tcW w:w="850"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p>
        </w:tc>
        <w:tc>
          <w:tcPr>
            <w:tcW w:w="96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2023年公用经费项目（三保）</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149.35</w:t>
            </w:r>
          </w:p>
        </w:tc>
        <w:tc>
          <w:tcPr>
            <w:tcW w:w="1134"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卫生院和社区医疗服务</w:t>
            </w:r>
          </w:p>
        </w:tc>
        <w:tc>
          <w:tcPr>
            <w:tcW w:w="1134" w:type="dxa"/>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C04020000</w:t>
            </w:r>
          </w:p>
        </w:tc>
        <w:tc>
          <w:tcPr>
            <w:tcW w:w="709" w:type="dxa"/>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项</w:t>
            </w:r>
          </w:p>
        </w:tc>
        <w:tc>
          <w:tcPr>
            <w:tcW w:w="850"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40</w:t>
            </w:r>
          </w:p>
        </w:tc>
        <w:tc>
          <w:tcPr>
            <w:tcW w:w="850"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0.50</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20.00</w:t>
            </w:r>
          </w:p>
        </w:tc>
      </w:tr>
    </w:tbl>
    <w:p>
      <w:pPr>
        <w:spacing w:before="0" w:after="0" w:line="500" w:lineRule="exact"/>
        <w:ind w:firstLine="420"/>
        <w:jc w:val="left"/>
        <w:outlineLvl w:val="9"/>
        <w:rPr>
          <w:rFonts w:hint="default" w:ascii="Times New Roman" w:hAnsi="Times New Roman" w:eastAsia="方正书宋_GBK" w:cs="Times New Roman"/>
          <w:color w:val="000000"/>
          <w:sz w:val="21"/>
          <w:highlight w:val="none"/>
        </w:rPr>
      </w:pPr>
      <w:r>
        <w:rPr>
          <w:rFonts w:hint="default" w:ascii="Times New Roman" w:hAnsi="Times New Roman" w:eastAsia="方正书宋_GBK" w:cs="Times New Roman"/>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ind w:firstLine="640"/>
        <w:outlineLvl w:val="5"/>
        <w:rPr>
          <w:rFonts w:cs="Times New Roman"/>
          <w:color w:val="auto"/>
          <w:highlight w:val="none"/>
        </w:rPr>
      </w:pPr>
      <w:r>
        <w:rPr>
          <w:rFonts w:eastAsia="黑体" w:cs="Times New Roman"/>
          <w:color w:val="auto"/>
          <w:sz w:val="32"/>
          <w:highlight w:val="none"/>
        </w:rPr>
        <w:t>七、国有资产信息</w:t>
      </w:r>
    </w:p>
    <w:p>
      <w:pPr>
        <w:spacing w:line="500" w:lineRule="exact"/>
        <w:ind w:firstLine="560"/>
      </w:pPr>
      <w:r>
        <w:rPr>
          <w:rFonts w:eastAsia="方正仿宋_GBK" w:cs="Times New Roman"/>
          <w:color w:val="000000"/>
          <w:sz w:val="28"/>
        </w:rPr>
        <w:t>秦皇岛北戴河新区团林卫生院大蒲河分院上年末固定资产金额为</w:t>
      </w:r>
      <w:r>
        <w:rPr>
          <w:rFonts w:hint="eastAsia" w:eastAsia="方正仿宋_GBK" w:cs="Times New Roman"/>
          <w:color w:val="000000"/>
          <w:sz w:val="28"/>
        </w:rPr>
        <w:t>401.2672</w:t>
      </w:r>
      <w:r>
        <w:rPr>
          <w:rFonts w:eastAsia="方正仿宋_GBK" w:cs="Times New Roman"/>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361006秦皇岛北戴河新区团林卫生院大蒲河分院</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jc w:val="center"/>
            </w:pPr>
            <w:r>
              <w:rPr>
                <w:rFonts w:hint="eastAsia"/>
                <w:lang w:eastAsia="zh-CN"/>
              </w:rPr>
              <w:t>资产总额</w:t>
            </w:r>
          </w:p>
        </w:tc>
        <w:tc>
          <w:tcPr>
            <w:tcW w:w="2835" w:type="dxa"/>
            <w:vAlign w:val="center"/>
          </w:tcPr>
          <w:p>
            <w:pPr>
              <w:pStyle w:val="8"/>
            </w:pPr>
            <w:r>
              <w:rPr>
                <w:rFonts w:hint="eastAsia"/>
                <w:lang w:eastAsia="zh-CN"/>
              </w:rPr>
              <w:t>——</w:t>
            </w:r>
          </w:p>
        </w:tc>
        <w:tc>
          <w:tcPr>
            <w:tcW w:w="2835" w:type="dxa"/>
            <w:vAlign w:val="center"/>
          </w:tcPr>
          <w:p>
            <w:pPr>
              <w:pStyle w:val="10"/>
              <w:jc w:val="center"/>
            </w:pPr>
            <w:r>
              <w:rPr>
                <w:rFonts w:hint="eastAsia"/>
                <w:lang w:eastAsia="zh-CN"/>
              </w:rPr>
              <w:t>401.2672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rPr>
                <w:rFonts w:hint="eastAsia"/>
                <w:lang w:eastAsia="zh-CN"/>
              </w:rPr>
              <w:t>1.房屋（平方米）</w:t>
            </w:r>
          </w:p>
        </w:tc>
        <w:tc>
          <w:tcPr>
            <w:tcW w:w="2835" w:type="dxa"/>
            <w:vAlign w:val="center"/>
          </w:tcPr>
          <w:p>
            <w:pPr>
              <w:pStyle w:val="8"/>
            </w:pPr>
            <w:r>
              <w:rPr>
                <w:rFonts w:hint="eastAsia"/>
                <w:lang w:eastAsia="zh-CN"/>
              </w:rPr>
              <w:t>——</w:t>
            </w:r>
          </w:p>
        </w:tc>
        <w:tc>
          <w:tcPr>
            <w:tcW w:w="2835" w:type="dxa"/>
            <w:vAlign w:val="center"/>
          </w:tcPr>
          <w:p>
            <w:pPr>
              <w:pStyle w:val="10"/>
              <w:jc w:val="center"/>
              <w:rPr>
                <w:rFonts w:hint="eastAsia"/>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rPr>
                <w:rFonts w:hint="eastAsia"/>
                <w:lang w:eastAsia="zh-CN"/>
              </w:rPr>
              <w:t xml:space="preserve">  其中：业务用房（平方米）</w:t>
            </w:r>
          </w:p>
        </w:tc>
        <w:tc>
          <w:tcPr>
            <w:tcW w:w="2835" w:type="dxa"/>
            <w:vAlign w:val="center"/>
          </w:tcPr>
          <w:p>
            <w:pPr>
              <w:pStyle w:val="8"/>
            </w:pPr>
            <w:r>
              <w:rPr>
                <w:rFonts w:hint="eastAsia"/>
                <w:lang w:eastAsia="zh-CN"/>
              </w:rPr>
              <w:t>——</w:t>
            </w:r>
          </w:p>
        </w:tc>
        <w:tc>
          <w:tcPr>
            <w:tcW w:w="2835" w:type="dxa"/>
            <w:vAlign w:val="center"/>
          </w:tcPr>
          <w:p>
            <w:pPr>
              <w:pStyle w:val="10"/>
              <w:jc w:val="center"/>
              <w:rPr>
                <w:rFonts w:hint="eastAsia"/>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rPr>
                <w:rFonts w:hint="eastAsia"/>
                <w:lang w:eastAsia="zh-CN"/>
              </w:rPr>
              <w:t>2.车辆（台、辆）</w:t>
            </w:r>
          </w:p>
        </w:tc>
        <w:tc>
          <w:tcPr>
            <w:tcW w:w="2835" w:type="dxa"/>
            <w:vAlign w:val="center"/>
          </w:tcPr>
          <w:p>
            <w:pPr>
              <w:pStyle w:val="8"/>
            </w:pPr>
            <w:r>
              <w:rPr>
                <w:rFonts w:hint="eastAsia"/>
                <w:lang w:eastAsia="zh-CN"/>
              </w:rPr>
              <w:t>3</w:t>
            </w:r>
          </w:p>
        </w:tc>
        <w:tc>
          <w:tcPr>
            <w:tcW w:w="2835" w:type="dxa"/>
            <w:vAlign w:val="center"/>
          </w:tcPr>
          <w:p>
            <w:pPr>
              <w:pStyle w:val="10"/>
              <w:jc w:val="center"/>
              <w:rPr>
                <w:rFonts w:hint="eastAsia"/>
                <w:lang w:eastAsia="zh-CN"/>
              </w:rPr>
            </w:pPr>
            <w:r>
              <w:rPr>
                <w:rFonts w:hint="eastAsia"/>
                <w:lang w:eastAsia="zh-CN"/>
              </w:rPr>
              <w:t>41.6968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lang w:eastAsia="zh-CN"/>
              </w:rPr>
            </w:pPr>
            <w:r>
              <w:rPr>
                <w:rFonts w:hint="eastAsia"/>
                <w:lang w:eastAsia="zh-CN"/>
              </w:rPr>
              <w:t>3.专用设备（个、台）</w:t>
            </w:r>
          </w:p>
        </w:tc>
        <w:tc>
          <w:tcPr>
            <w:tcW w:w="2835" w:type="dxa"/>
            <w:vAlign w:val="center"/>
          </w:tcPr>
          <w:p>
            <w:pPr>
              <w:pStyle w:val="8"/>
              <w:rPr>
                <w:lang w:eastAsia="zh-CN"/>
              </w:rPr>
            </w:pPr>
            <w:r>
              <w:rPr>
                <w:rFonts w:hint="eastAsia"/>
                <w:lang w:eastAsia="zh-CN"/>
              </w:rPr>
              <w:t>77</w:t>
            </w:r>
          </w:p>
        </w:tc>
        <w:tc>
          <w:tcPr>
            <w:tcW w:w="2835" w:type="dxa"/>
            <w:vAlign w:val="center"/>
          </w:tcPr>
          <w:p>
            <w:pPr>
              <w:pStyle w:val="10"/>
              <w:jc w:val="center"/>
              <w:rPr>
                <w:lang w:eastAsia="zh-CN"/>
              </w:rPr>
            </w:pPr>
            <w:r>
              <w:rPr>
                <w:rFonts w:hint="eastAsia"/>
                <w:lang w:eastAsia="zh-CN"/>
              </w:rPr>
              <w:t>250.4714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lang w:eastAsia="zh-CN"/>
              </w:rPr>
            </w:pPr>
            <w:r>
              <w:rPr>
                <w:rFonts w:hint="eastAsia"/>
                <w:lang w:eastAsia="zh-CN"/>
              </w:rPr>
              <w:t xml:space="preserve">   其中：医疗设备（个、台）</w:t>
            </w:r>
          </w:p>
        </w:tc>
        <w:tc>
          <w:tcPr>
            <w:tcW w:w="2835" w:type="dxa"/>
            <w:vAlign w:val="center"/>
          </w:tcPr>
          <w:p>
            <w:pPr>
              <w:pStyle w:val="8"/>
              <w:rPr>
                <w:lang w:eastAsia="zh-CN"/>
              </w:rPr>
            </w:pPr>
            <w:r>
              <w:rPr>
                <w:rFonts w:hint="eastAsia"/>
                <w:lang w:eastAsia="zh-CN"/>
              </w:rPr>
              <w:t>52</w:t>
            </w:r>
          </w:p>
        </w:tc>
        <w:tc>
          <w:tcPr>
            <w:tcW w:w="2835" w:type="dxa"/>
            <w:vAlign w:val="center"/>
          </w:tcPr>
          <w:p>
            <w:pPr>
              <w:pStyle w:val="10"/>
              <w:jc w:val="center"/>
              <w:rPr>
                <w:lang w:eastAsia="zh-CN"/>
              </w:rPr>
            </w:pPr>
            <w:r>
              <w:rPr>
                <w:rFonts w:hint="eastAsia"/>
                <w:lang w:eastAsia="zh-CN"/>
              </w:rPr>
              <w:t>168.83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ind w:firstLine="840" w:firstLineChars="400"/>
              <w:rPr>
                <w:lang w:eastAsia="zh-CN"/>
              </w:rPr>
            </w:pPr>
            <w:r>
              <w:rPr>
                <w:rFonts w:hint="eastAsia"/>
                <w:lang w:eastAsia="zh-CN"/>
              </w:rPr>
              <w:t>单价100万元（含）以上（个、台）</w:t>
            </w:r>
          </w:p>
        </w:tc>
        <w:tc>
          <w:tcPr>
            <w:tcW w:w="2835" w:type="dxa"/>
            <w:vAlign w:val="center"/>
          </w:tcPr>
          <w:p>
            <w:pPr>
              <w:pStyle w:val="8"/>
              <w:rPr>
                <w:lang w:eastAsia="zh-CN"/>
              </w:rPr>
            </w:pPr>
            <w:r>
              <w:rPr>
                <w:rFonts w:hint="eastAsia"/>
                <w:lang w:eastAsia="zh-CN"/>
              </w:rPr>
              <w:t>——</w:t>
            </w:r>
          </w:p>
        </w:tc>
        <w:tc>
          <w:tcPr>
            <w:tcW w:w="2835" w:type="dxa"/>
            <w:vAlign w:val="center"/>
          </w:tcPr>
          <w:p>
            <w:pPr>
              <w:pStyle w:val="10"/>
              <w:jc w:val="center"/>
              <w:rPr>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lang w:eastAsia="zh-CN"/>
              </w:rPr>
            </w:pPr>
            <w:r>
              <w:rPr>
                <w:rFonts w:hint="eastAsia"/>
                <w:lang w:eastAsia="zh-CN"/>
              </w:rPr>
              <w:t>4.其他固定资产</w:t>
            </w:r>
          </w:p>
        </w:tc>
        <w:tc>
          <w:tcPr>
            <w:tcW w:w="2835" w:type="dxa"/>
            <w:vAlign w:val="center"/>
          </w:tcPr>
          <w:p>
            <w:pPr>
              <w:pStyle w:val="8"/>
              <w:rPr>
                <w:lang w:eastAsia="zh-CN"/>
              </w:rPr>
            </w:pPr>
            <w:r>
              <w:rPr>
                <w:rFonts w:hint="eastAsia"/>
                <w:lang w:eastAsia="zh-CN"/>
              </w:rPr>
              <w:t>437</w:t>
            </w:r>
          </w:p>
        </w:tc>
        <w:tc>
          <w:tcPr>
            <w:tcW w:w="2835" w:type="dxa"/>
            <w:vAlign w:val="center"/>
          </w:tcPr>
          <w:p>
            <w:pPr>
              <w:pStyle w:val="10"/>
              <w:jc w:val="center"/>
              <w:rPr>
                <w:lang w:eastAsia="zh-CN"/>
              </w:rPr>
            </w:pPr>
            <w:r>
              <w:rPr>
                <w:rFonts w:hint="eastAsia"/>
                <w:lang w:eastAsia="zh-CN"/>
              </w:rPr>
              <w:t>109.099</w:t>
            </w:r>
          </w:p>
        </w:tc>
      </w:tr>
    </w:tbl>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八、名词解释</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w:t>
      </w:r>
      <w:r>
        <w:rPr>
          <w:rFonts w:hint="default" w:ascii="Times New Roman" w:hAnsi="Times New Roman" w:eastAsia="方正仿宋_GBK" w:cs="Times New Roman"/>
          <w:b/>
          <w:color w:val="000000"/>
          <w:sz w:val="28"/>
          <w:highlight w:val="none"/>
        </w:rPr>
        <w:t>一般公共预算拨款收入：</w:t>
      </w:r>
      <w:r>
        <w:rPr>
          <w:rFonts w:hint="default"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w:t>
      </w:r>
      <w:r>
        <w:rPr>
          <w:rFonts w:hint="default" w:ascii="Times New Roman" w:hAnsi="Times New Roman" w:eastAsia="方正仿宋_GBK" w:cs="Times New Roman"/>
          <w:b/>
          <w:color w:val="000000"/>
          <w:sz w:val="28"/>
          <w:highlight w:val="none"/>
        </w:rPr>
        <w:t>事业收入：</w:t>
      </w:r>
      <w:r>
        <w:rPr>
          <w:rFonts w:hint="default"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3、</w:t>
      </w:r>
      <w:r>
        <w:rPr>
          <w:rFonts w:hint="default" w:ascii="Times New Roman" w:hAnsi="Times New Roman" w:eastAsia="方正仿宋_GBK" w:cs="Times New Roman"/>
          <w:b/>
          <w:color w:val="000000"/>
          <w:sz w:val="28"/>
          <w:highlight w:val="none"/>
        </w:rPr>
        <w:t>其他收入：</w:t>
      </w:r>
      <w:r>
        <w:rPr>
          <w:rFonts w:hint="default"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4、</w:t>
      </w:r>
      <w:r>
        <w:rPr>
          <w:rFonts w:hint="default" w:ascii="Times New Roman" w:hAnsi="Times New Roman" w:eastAsia="方正仿宋_GBK" w:cs="Times New Roman"/>
          <w:b/>
          <w:color w:val="000000"/>
          <w:sz w:val="28"/>
          <w:highlight w:val="none"/>
        </w:rPr>
        <w:t>基本支出：</w:t>
      </w:r>
      <w:r>
        <w:rPr>
          <w:rFonts w:hint="default"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5、</w:t>
      </w:r>
      <w:r>
        <w:rPr>
          <w:rFonts w:hint="default" w:ascii="Times New Roman" w:hAnsi="Times New Roman" w:eastAsia="方正仿宋_GBK" w:cs="Times New Roman"/>
          <w:b/>
          <w:color w:val="000000"/>
          <w:sz w:val="28"/>
          <w:highlight w:val="none"/>
        </w:rPr>
        <w:t>项目支出：</w:t>
      </w:r>
      <w:r>
        <w:rPr>
          <w:rFonts w:hint="default"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6、</w:t>
      </w:r>
      <w:r>
        <w:rPr>
          <w:rFonts w:hint="default" w:ascii="Times New Roman" w:hAnsi="Times New Roman" w:eastAsia="方正仿宋_GBK" w:cs="Times New Roman"/>
          <w:b/>
          <w:color w:val="000000"/>
          <w:sz w:val="28"/>
          <w:highlight w:val="none"/>
        </w:rPr>
        <w:t>上缴上级支出：</w:t>
      </w:r>
      <w:r>
        <w:rPr>
          <w:rFonts w:hint="default"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7、</w:t>
      </w:r>
      <w:r>
        <w:rPr>
          <w:rFonts w:hint="default" w:ascii="Times New Roman" w:hAnsi="Times New Roman" w:eastAsia="方正仿宋_GBK" w:cs="Times New Roman"/>
          <w:b/>
          <w:color w:val="000000"/>
          <w:sz w:val="28"/>
          <w:highlight w:val="none"/>
        </w:rPr>
        <w:t>“三公”经费：</w:t>
      </w:r>
      <w:r>
        <w:rPr>
          <w:rFonts w:hint="default"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8、</w:t>
      </w:r>
      <w:r>
        <w:rPr>
          <w:rFonts w:hint="default" w:ascii="Times New Roman" w:hAnsi="Times New Roman" w:eastAsia="方正仿宋_GBK" w:cs="Times New Roman"/>
          <w:b/>
          <w:color w:val="000000"/>
          <w:sz w:val="28"/>
          <w:highlight w:val="none"/>
        </w:rPr>
        <w:t>机关运行费：</w:t>
      </w:r>
      <w:r>
        <w:rPr>
          <w:rFonts w:hint="default" w:ascii="Times New Roman" w:hAnsi="Times New Roman" w:eastAsia="方正仿宋_GBK" w:cs="Times New Roman"/>
          <w:b w:val="0"/>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9、</w:t>
      </w:r>
      <w:r>
        <w:rPr>
          <w:rFonts w:hint="default" w:ascii="Times New Roman" w:hAnsi="Times New Roman" w:eastAsia="方正仿宋_GBK" w:cs="Times New Roman"/>
          <w:b/>
          <w:color w:val="000000"/>
          <w:sz w:val="28"/>
          <w:highlight w:val="none"/>
        </w:rPr>
        <w:t>上年结转：</w:t>
      </w:r>
      <w:r>
        <w:rPr>
          <w:rFonts w:hint="default" w:ascii="Times New Roman" w:hAnsi="Times New Roman" w:eastAsia="方正仿宋_GBK" w:cs="Times New Roman"/>
          <w:b w:val="0"/>
          <w:color w:val="000000"/>
          <w:sz w:val="28"/>
          <w:highlight w:val="none"/>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10、</w:t>
      </w:r>
      <w:r>
        <w:rPr>
          <w:rFonts w:hint="default" w:ascii="Times New Roman" w:hAnsi="Times New Roman" w:eastAsia="方正仿宋_GBK" w:cs="Times New Roman"/>
          <w:b/>
          <w:color w:val="000000"/>
          <w:sz w:val="28"/>
          <w:highlight w:val="none"/>
        </w:rPr>
        <w:t>事业单位经营支出：</w:t>
      </w:r>
      <w:r>
        <w:rPr>
          <w:rFonts w:hint="default"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九、其他需要说明的事项</w:t>
      </w:r>
    </w:p>
    <w:p>
      <w:pPr>
        <w:spacing w:before="0" w:after="0" w:line="500" w:lineRule="exact"/>
        <w:ind w:firstLine="560"/>
        <w:jc w:val="left"/>
        <w:outlineLvl w:val="9"/>
        <w:rPr>
          <w:rFonts w:hint="default" w:ascii="Times New Roman" w:hAnsi="Times New Roman" w:cs="Times New Roman"/>
          <w:highlight w:val="none"/>
        </w:rPr>
        <w:sectPr>
          <w:pgSz w:w="16840" w:h="11900" w:orient="landscape"/>
          <w:pgMar w:top="1361" w:right="1020" w:bottom="1134" w:left="1020" w:header="720" w:footer="720" w:gutter="0"/>
          <w:cols w:space="720" w:num="1"/>
        </w:sectPr>
      </w:pPr>
      <w:r>
        <w:rPr>
          <w:rFonts w:hint="default" w:ascii="Times New Roman" w:hAnsi="Times New Roman" w:eastAsia="方正仿宋_GBK" w:cs="Times New Roman"/>
          <w:b w:val="0"/>
          <w:color w:val="000000"/>
          <w:sz w:val="28"/>
          <w:highlight w:val="none"/>
        </w:rPr>
        <w:t>我单位无其他需要说明的事项。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D7039"/>
    <w:rsid w:val="53CD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2023-03-16T06:14:00Z</dcterms:created>
  <dc:creator>XQZW</dc:creator>
  <cp:lastModifiedBy>XQZW</cp:lastModifiedBy>
  <dcterms:modified xsi:type="dcterms:W3CDTF">2023-03-16T06:14:50Z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