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hint="default" w:ascii="Times New Roman" w:hAnsi="Times New Roman" w:cs="Times New Roman"/>
          <w:highlight w:val="none"/>
        </w:rPr>
      </w:pPr>
      <w:bookmarkStart w:id="0" w:name="_Toc_4_4_0000000023"/>
      <w:r>
        <w:rPr>
          <w:rFonts w:hint="default" w:ascii="Times New Roman" w:hAnsi="Times New Roman" w:eastAsia="方正小标宋_GBK" w:cs="Times New Roman"/>
          <w:b w:val="0"/>
          <w:color w:val="000000"/>
          <w:sz w:val="44"/>
          <w:highlight w:val="none"/>
        </w:rPr>
        <w:t>五、秦皇岛北戴河新区南戴河社区卫生服务中心（秦皇岛北戴河新区南戴河医院）收支预算</w:t>
      </w:r>
      <w:bookmarkEnd w:id="0"/>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0"/>
        <w:gridCol w:w="4255"/>
        <w:gridCol w:w="1416"/>
        <w:gridCol w:w="2051"/>
        <w:gridCol w:w="8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预算数</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一、一般公共预算拨款收入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二、政府性基金预算拨款收入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三、国有资本经营预算拨款收入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四、财政专户管理资金收入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五、事业收入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六、事业单位经营收入</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七、上级补助收入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八、附属单位上缴收入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九、其他收入</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1611.97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1700.92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上年结转结余</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年终结转结余</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1700.92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1700.92</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1"/>
        <w:gridCol w:w="1450"/>
        <w:gridCol w:w="2735"/>
        <w:gridCol w:w="1016"/>
        <w:gridCol w:w="1017"/>
        <w:gridCol w:w="1298"/>
        <w:gridCol w:w="1102"/>
        <w:gridCol w:w="795"/>
        <w:gridCol w:w="947"/>
        <w:gridCol w:w="1040"/>
        <w:gridCol w:w="1286"/>
        <w:gridCol w:w="795"/>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gridSpan w:val="3"/>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5"/>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gridSpan w:val="8"/>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本年收入</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小计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财政拨款 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财政专户 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事业收入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经营收入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上级补助收入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附属单位上缴收入</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其他收入</w:t>
            </w: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1700.92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1611.97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1280.33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1191.38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939.38</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1064.35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252.00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83.30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33.30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6"/>
        <w:gridCol w:w="2096"/>
        <w:gridCol w:w="4707"/>
        <w:gridCol w:w="899"/>
        <w:gridCol w:w="1025"/>
        <w:gridCol w:w="984"/>
        <w:gridCol w:w="932"/>
        <w:gridCol w:w="1691"/>
        <w:gridCol w:w="1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gridSpan w:val="2"/>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经营支出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上解上级     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    编码</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1700.92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1611.97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1280.33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1191.38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1064.35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1058.69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83.30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83.30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33.30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33.30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0"/>
        <w:gridCol w:w="3788"/>
        <w:gridCol w:w="1518"/>
        <w:gridCol w:w="2305"/>
        <w:gridCol w:w="899"/>
        <w:gridCol w:w="1753"/>
        <w:gridCol w:w="1945"/>
        <w:gridCol w:w="1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4"/>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收入</w:t>
            </w:r>
          </w:p>
        </w:tc>
        <w:tc>
          <w:tcPr>
            <w:tcW w:w="0" w:type="auto"/>
            <w:gridSpan w:val="5"/>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金额</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一般公共预算财政拨款</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政府性基金预算财政    拨款</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一、一般公共服务支出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二、外交支出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三、国防支出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四、公共安全支出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五、教育支出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六、科学技术支出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七、文化旅游体育与传媒支出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八、社会保障和就业支出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九、社会保险基金支出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1028.33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1028.33</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十一、节能环保支出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十二、城乡社区支出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十三、农林水支出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十四、交通运输支出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十五、资源勘探工业信息等支出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十六、商业服务业等支出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十七、金融支出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十八、援助其他地区支出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十九、自然资源海洋气象等支出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二十一、粮油物资储备支出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22</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二十二、国有资本经营预算支出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23</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二十三、灾害防治及应急管理支出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24</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二十四、预备费</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二十五、其他支出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26</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二十六、转移性支出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27</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二十七、债务还本支出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28</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二十八、债务付息支出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29</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二十九、债务发行费用支出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30</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三十、抗疫特别国债安排的支出</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31</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三十一、人行科目</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本年收入合计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本年支出合计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年初财政拨款结转和结余</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年末财政拨款结转和结余</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一、一般公共预算拨款</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88.95</w:t>
            </w: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二、政府性基金预算拨款</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三、国有资本经营预算拨款</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37</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收入总计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支出总计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5"/>
              <w:rPr>
                <w:rFonts w:hint="default" w:ascii="Times New Roman" w:hAnsi="Times New Roman" w:cs="Times New Roman"/>
                <w:highlight w:val="none"/>
              </w:rPr>
            </w:pPr>
          </w:p>
        </w:tc>
        <w:tc>
          <w:tcPr>
            <w:tcW w:w="0" w:type="auto"/>
            <w:vAlign w:val="center"/>
          </w:tcPr>
          <w:p>
            <w:pPr>
              <w:pStyle w:val="15"/>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5"/>
        <w:gridCol w:w="1836"/>
        <w:gridCol w:w="6215"/>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c>
          <w:tcPr>
            <w:tcW w:w="0" w:type="auto"/>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1448.92</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社会保障和就业支出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行政事业单位养老支出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292.23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事业单位离退休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91.09</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2080506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机关事业单位职业年金缴费支出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卫生健康支出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1028.33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939.38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基层医疗卫生机构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812.35</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乡镇卫生院</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806.69</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2100399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其他基层医疗卫生机构支出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公共卫生</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83.30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基本公共卫生服务</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33.30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2100499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其他公共卫生支出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50.00</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行政事业单位医疗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2101102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事业单位医疗</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住房保障支出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住房改革支出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2210201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1"/>
        <w:gridCol w:w="1995"/>
        <w:gridCol w:w="5960"/>
        <w:gridCol w:w="1896"/>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0" w:type="auto"/>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0" w:type="auto"/>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0" w:type="auto"/>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支出部门经济分类科目</w:t>
            </w:r>
          </w:p>
        </w:tc>
        <w:tc>
          <w:tcPr>
            <w:tcW w:w="0" w:type="auto"/>
            <w:gridSpan w:val="3"/>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hint="default" w:ascii="Times New Roman" w:hAnsi="Times New Roman" w:cs="Times New Roman"/>
                <w:highlight w:val="none"/>
              </w:rPr>
            </w:pP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人员经费</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0" w:type="auto"/>
            <w:vAlign w:val="center"/>
          </w:tcPr>
          <w:p>
            <w:pPr>
              <w:pStyle w:val="16"/>
              <w:rPr>
                <w:rFonts w:hint="default" w:ascii="Times New Roman" w:hAnsi="Times New Roman" w:cs="Times New Roman"/>
                <w:highlight w:val="none"/>
              </w:rPr>
            </w:pPr>
          </w:p>
        </w:tc>
        <w:tc>
          <w:tcPr>
            <w:tcW w:w="0" w:type="auto"/>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合计</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1359.97</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1312.73</w:t>
            </w:r>
          </w:p>
        </w:tc>
        <w:tc>
          <w:tcPr>
            <w:tcW w:w="0" w:type="auto"/>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47.24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工资福利支出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1224.14</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1224.14</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基本工资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293.40</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293.40</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津贴补贴</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53.81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53.81</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奖金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184.58</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184.58</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绩效工资</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219.43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219.43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机关事业单位基本养老保险缴费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154.21</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30109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职业年金缴费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46.93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职工基本医疗保险缴费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132.69</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其他社会保障缴费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10.73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10.73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11</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30113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住房公积金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128.36</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商品和服务支出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47.24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47.24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30208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取暖费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19.52</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14</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培训费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7.25</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30228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工会经费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9.67</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9.67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16</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30229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福利费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8.04</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17</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30299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其他商品和服务支出</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2.76</w:t>
            </w:r>
          </w:p>
        </w:tc>
        <w:tc>
          <w:tcPr>
            <w:tcW w:w="0" w:type="auto"/>
            <w:vAlign w:val="center"/>
          </w:tcPr>
          <w:p>
            <w:pPr>
              <w:pStyle w:val="13"/>
              <w:rPr>
                <w:rFonts w:hint="default" w:ascii="Times New Roman" w:hAnsi="Times New Roman" w:cs="Times New Roman"/>
                <w:highlight w:val="none"/>
              </w:rPr>
            </w:pP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18</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303</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对个人和家庭的补助</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88.59</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88.59</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30302</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退休费</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88.33</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88.33</w:t>
            </w:r>
          </w:p>
        </w:tc>
        <w:tc>
          <w:tcPr>
            <w:tcW w:w="0" w:type="auto"/>
            <w:vAlign w:val="center"/>
          </w:tcPr>
          <w:p>
            <w:pPr>
              <w:pStyle w:val="13"/>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20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30309</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奖励金</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0.26</w:t>
            </w:r>
          </w:p>
        </w:tc>
        <w:tc>
          <w:tcPr>
            <w:tcW w:w="0" w:type="auto"/>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0.26</w:t>
            </w:r>
          </w:p>
        </w:tc>
        <w:tc>
          <w:tcPr>
            <w:tcW w:w="0" w:type="auto"/>
            <w:vAlign w:val="center"/>
          </w:tcPr>
          <w:p>
            <w:pPr>
              <w:pStyle w:val="13"/>
              <w:rPr>
                <w:rFonts w:hint="default" w:ascii="Times New Roman" w:hAnsi="Times New Roman" w:cs="Times New Roman"/>
                <w:highlight w:val="none"/>
              </w:rPr>
            </w:pPr>
          </w:p>
        </w:tc>
      </w:tr>
    </w:tbl>
    <w:p>
      <w:pPr>
        <w:rPr>
          <w:rFonts w:hint="default" w:ascii="Times New Roman" w:hAnsi="Times New Roman" w:cs="Times New Roman"/>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ascii="Times New Roman" w:hAnsi="Times New Roman" w:cs="Times New Roman"/>
                <w:highlight w:val="none"/>
              </w:rPr>
            </w:pPr>
          </w:p>
        </w:tc>
        <w:tc>
          <w:tcPr>
            <w:tcW w:w="1191" w:type="dxa"/>
            <w:vAlign w:val="center"/>
          </w:tcPr>
          <w:p>
            <w:pPr>
              <w:pStyle w:val="12"/>
              <w:rPr>
                <w:rFonts w:hint="default" w:ascii="Times New Roman" w:hAnsi="Times New Roman" w:cs="Times New Roman"/>
                <w:highlight w:val="none"/>
              </w:rPr>
            </w:pPr>
          </w:p>
        </w:tc>
        <w:tc>
          <w:tcPr>
            <w:tcW w:w="4535" w:type="dxa"/>
            <w:vAlign w:val="center"/>
          </w:tcPr>
          <w:p>
            <w:pPr>
              <w:pStyle w:val="12"/>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注：无政府基金预算财政拨款预算，空表列示。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2551" w:type="dxa"/>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510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5726" w:type="dxa"/>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功能分类科目</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基本支出</w:t>
            </w:r>
          </w:p>
        </w:tc>
        <w:tc>
          <w:tcPr>
            <w:tcW w:w="2551"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hint="default" w:ascii="Times New Roman" w:hAnsi="Times New Roman" w:cs="Times New Roman"/>
                <w:highlight w:val="none"/>
              </w:rPr>
            </w:pPr>
          </w:p>
        </w:tc>
        <w:tc>
          <w:tcPr>
            <w:tcW w:w="119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科目编码</w:t>
            </w:r>
          </w:p>
        </w:tc>
        <w:tc>
          <w:tcPr>
            <w:tcW w:w="4535"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科目名称</w:t>
            </w: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c>
          <w:tcPr>
            <w:tcW w:w="2551"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119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4535"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255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rPr>
                <w:rFonts w:hint="default" w:ascii="Times New Roman" w:hAnsi="Times New Roman" w:cs="Times New Roman"/>
                <w:highlight w:val="none"/>
              </w:rPr>
            </w:pPr>
          </w:p>
        </w:tc>
        <w:tc>
          <w:tcPr>
            <w:tcW w:w="1191" w:type="dxa"/>
            <w:vAlign w:val="center"/>
          </w:tcPr>
          <w:p>
            <w:pPr>
              <w:pStyle w:val="12"/>
              <w:rPr>
                <w:rFonts w:hint="default" w:ascii="Times New Roman" w:hAnsi="Times New Roman" w:cs="Times New Roman"/>
                <w:highlight w:val="none"/>
              </w:rPr>
            </w:pPr>
          </w:p>
        </w:tc>
        <w:tc>
          <w:tcPr>
            <w:tcW w:w="4535" w:type="dxa"/>
            <w:vAlign w:val="center"/>
          </w:tcPr>
          <w:p>
            <w:pPr>
              <w:pStyle w:val="12"/>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c>
          <w:tcPr>
            <w:tcW w:w="2551" w:type="dxa"/>
            <w:vAlign w:val="center"/>
          </w:tcPr>
          <w:p>
            <w:pPr>
              <w:pStyle w:val="13"/>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134" w:bottom="1020" w:left="1361" w:header="720" w:footer="720" w:gutter="0"/>
          <w:cols w:space="720" w:num="1"/>
        </w:sectPr>
      </w:pPr>
      <w:r>
        <w:rPr>
          <w:rFonts w:hint="default" w:ascii="Times New Roman" w:hAnsi="Times New Roman" w:eastAsia="方正书宋_GBK" w:cs="Times New Roman"/>
          <w:color w:val="000000"/>
          <w:sz w:val="21"/>
          <w:highlight w:val="none"/>
        </w:rPr>
        <w:t>注：无国有资本经营预算财政拨款预算，空表列示。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2381" w:type="dxa"/>
            <w:tcBorders>
              <w:top w:val="single" w:color="FFFFFF" w:sz="6" w:space="0"/>
              <w:left w:val="single" w:color="FFFFFF" w:sz="6" w:space="0"/>
              <w:right w:val="single" w:color="FFFFFF" w:sz="6" w:space="0"/>
            </w:tcBorders>
            <w:vAlign w:val="center"/>
          </w:tcPr>
          <w:p>
            <w:pPr>
              <w:pStyle w:val="8"/>
              <w:rPr>
                <w:rFonts w:hint="default" w:ascii="Times New Roman" w:hAnsi="Times New Roman" w:cs="Times New Roman"/>
                <w:highlight w:val="none"/>
              </w:rPr>
            </w:pPr>
            <w:r>
              <w:rPr>
                <w:rFonts w:hint="default" w:ascii="Times New Roman" w:hAnsi="Times New Roman" w:cs="Times New Roman"/>
                <w:highlight w:val="none"/>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9"/>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序号</w:t>
            </w:r>
          </w:p>
        </w:tc>
        <w:tc>
          <w:tcPr>
            <w:tcW w:w="3798"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  目</w:t>
            </w:r>
          </w:p>
        </w:tc>
        <w:tc>
          <w:tcPr>
            <w:tcW w:w="9524" w:type="dxa"/>
            <w:gridSpan w:val="4"/>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hint="default" w:ascii="Times New Roman" w:hAnsi="Times New Roman" w:cs="Times New Roman"/>
                <w:highlight w:val="none"/>
              </w:rPr>
            </w:pPr>
          </w:p>
        </w:tc>
        <w:tc>
          <w:tcPr>
            <w:tcW w:w="3798" w:type="dxa"/>
            <w:vMerge w:val="continue"/>
          </w:tcPr>
          <w:p>
            <w:pPr>
              <w:rPr>
                <w:rFonts w:hint="default" w:ascii="Times New Roman" w:hAnsi="Times New Roman" w:cs="Times New Roman"/>
                <w:highlight w:val="none"/>
              </w:rPr>
            </w:pP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一般公共预算              财政拨款</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政府性基金                  预算拨款</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栏次</w:t>
            </w:r>
          </w:p>
        </w:tc>
        <w:tc>
          <w:tcPr>
            <w:tcW w:w="3798"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1</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3</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4</w:t>
            </w:r>
          </w:p>
        </w:tc>
        <w:tc>
          <w:tcPr>
            <w:tcW w:w="238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default" w:ascii="Times New Roman" w:hAnsi="Times New Roman" w:cs="Times New Roman"/>
                <w:highlight w:val="none"/>
              </w:rPr>
            </w:pPr>
          </w:p>
        </w:tc>
        <w:tc>
          <w:tcPr>
            <w:tcW w:w="3798" w:type="dxa"/>
            <w:vAlign w:val="center"/>
          </w:tcPr>
          <w:p>
            <w:pPr>
              <w:pStyle w:val="12"/>
              <w:rPr>
                <w:rFonts w:hint="default" w:ascii="Times New Roman" w:hAnsi="Times New Roman" w:cs="Times New Roman"/>
                <w:highlight w:val="none"/>
              </w:rPr>
            </w:pPr>
          </w:p>
        </w:tc>
        <w:tc>
          <w:tcPr>
            <w:tcW w:w="2381" w:type="dxa"/>
            <w:vAlign w:val="center"/>
          </w:tcPr>
          <w:p>
            <w:pPr>
              <w:pStyle w:val="13"/>
              <w:rPr>
                <w:rFonts w:hint="default" w:ascii="Times New Roman" w:hAnsi="Times New Roman" w:cs="Times New Roman"/>
                <w:highlight w:val="none"/>
              </w:rPr>
            </w:pPr>
          </w:p>
        </w:tc>
        <w:tc>
          <w:tcPr>
            <w:tcW w:w="2381" w:type="dxa"/>
            <w:vAlign w:val="center"/>
          </w:tcPr>
          <w:p>
            <w:pPr>
              <w:pStyle w:val="13"/>
              <w:rPr>
                <w:rFonts w:hint="default" w:ascii="Times New Roman" w:hAnsi="Times New Roman" w:cs="Times New Roman"/>
                <w:highlight w:val="none"/>
              </w:rPr>
            </w:pPr>
          </w:p>
        </w:tc>
        <w:tc>
          <w:tcPr>
            <w:tcW w:w="2381" w:type="dxa"/>
            <w:vAlign w:val="center"/>
          </w:tcPr>
          <w:p>
            <w:pPr>
              <w:pStyle w:val="13"/>
              <w:rPr>
                <w:rFonts w:hint="default" w:ascii="Times New Roman" w:hAnsi="Times New Roman" w:cs="Times New Roman"/>
                <w:highlight w:val="none"/>
              </w:rPr>
            </w:pPr>
          </w:p>
        </w:tc>
        <w:tc>
          <w:tcPr>
            <w:tcW w:w="2381" w:type="dxa"/>
            <w:vAlign w:val="center"/>
          </w:tcPr>
          <w:p>
            <w:pPr>
              <w:pStyle w:val="13"/>
              <w:rPr>
                <w:rFonts w:hint="default" w:ascii="Times New Roman" w:hAnsi="Times New Roman" w:cs="Times New Roman"/>
                <w:highlight w:val="none"/>
              </w:rPr>
            </w:pPr>
          </w:p>
        </w:tc>
      </w:tr>
    </w:tbl>
    <w:p>
      <w:pPr>
        <w:spacing w:before="0" w:after="0" w:line="240" w:lineRule="auto"/>
        <w:ind w:firstLine="420"/>
        <w:jc w:val="left"/>
        <w:outlineLvl w:val="9"/>
        <w:rPr>
          <w:rFonts w:hint="default" w:ascii="Times New Roman" w:hAnsi="Times New Roman" w:cs="Times New Roman"/>
          <w:highlight w:val="none"/>
        </w:rPr>
        <w:sectPr>
          <w:pgSz w:w="11900" w:h="16840"/>
          <w:pgMar w:top="1020" w:right="1361" w:bottom="1020" w:left="1361" w:header="720" w:footer="720" w:gutter="0"/>
          <w:cols w:space="720" w:num="1"/>
        </w:sectPr>
      </w:pPr>
      <w:r>
        <w:rPr>
          <w:rFonts w:hint="default" w:ascii="Times New Roman" w:hAnsi="Times New Roman" w:eastAsia="方正书宋_GBK" w:cs="Times New Roman"/>
          <w:color w:val="000000"/>
          <w:sz w:val="21"/>
          <w:highlight w:val="none"/>
        </w:rPr>
        <w:t>注：无财政拨款“三公”经费支出表预算，空表列示。</w:t>
      </w:r>
    </w:p>
    <w:p>
      <w:pPr>
        <w:spacing w:before="0" w:after="0" w:line="240" w:lineRule="auto"/>
        <w:ind w:firstLine="0"/>
        <w:jc w:val="center"/>
        <w:outlineLvl w:val="4"/>
        <w:rPr>
          <w:rFonts w:hint="default" w:ascii="Times New Roman" w:hAnsi="Times New Roman" w:cs="Times New Roman"/>
          <w:highlight w:val="none"/>
        </w:rPr>
      </w:pPr>
      <w:r>
        <w:rPr>
          <w:rFonts w:hint="default" w:ascii="Times New Roman" w:hAnsi="Times New Roman" w:eastAsia="方正小标宋_GBK" w:cs="Times New Roman"/>
          <w:b w:val="0"/>
          <w:color w:val="000000"/>
          <w:sz w:val="44"/>
          <w:highlight w:val="none"/>
        </w:rPr>
        <w:t>秦皇岛北戴河新区南戴河社区卫生服务中心（秦皇岛北戴河新区南戴河医院）2023年单位预算信息公开情况说明</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val="0"/>
          <w:color w:val="000000"/>
          <w:sz w:val="32"/>
          <w:szCs w:val="32"/>
          <w:highlight w:val="none"/>
        </w:rPr>
        <w:t>按照《预算法》、《地方预决算公开操作规程》和《关于进一步推进预算公开工作的实施意见》规定，现将秦皇岛北戴河新区南戴河社区卫生服务中心（秦皇岛北戴河新区南戴河医院）202</w:t>
      </w:r>
      <w:r>
        <w:rPr>
          <w:rFonts w:hint="eastAsia" w:eastAsia="方正仿宋简体" w:cs="Times New Roman"/>
          <w:b w:val="0"/>
          <w:color w:val="000000"/>
          <w:sz w:val="32"/>
          <w:szCs w:val="32"/>
          <w:highlight w:val="none"/>
          <w:lang w:val="en-US" w:eastAsia="zh-CN"/>
        </w:rPr>
        <w:t>3</w:t>
      </w:r>
      <w:r>
        <w:rPr>
          <w:rFonts w:hint="default" w:ascii="Times New Roman" w:hAnsi="Times New Roman" w:eastAsia="方正仿宋简体" w:cs="Times New Roman"/>
          <w:b w:val="0"/>
          <w:color w:val="000000"/>
          <w:sz w:val="32"/>
          <w:szCs w:val="32"/>
          <w:highlight w:val="none"/>
        </w:rPr>
        <w:t>年单位预算公开如下：</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5"/>
        <w:rPr>
          <w:highlight w:val="none"/>
        </w:rPr>
      </w:pPr>
      <w:r>
        <w:rPr>
          <w:rFonts w:ascii="黑体" w:hAnsi="黑体" w:eastAsia="黑体" w:cs="黑体"/>
          <w:color w:val="000000"/>
          <w:sz w:val="32"/>
          <w:highlight w:val="none"/>
        </w:rPr>
        <w:t>一、单位职责及机构设置情况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jc w:val="left"/>
        <w:textAlignment w:val="auto"/>
        <w:outlineLvl w:val="9"/>
        <w:rPr>
          <w:highlight w:val="none"/>
        </w:rPr>
      </w:pPr>
      <w:r>
        <w:rPr>
          <w:rFonts w:ascii="方正楷体_GBK" w:hAnsi="方正楷体_GBK" w:eastAsia="方正楷体_GBK" w:cs="方正楷体_GBK"/>
          <w:b/>
          <w:color w:val="000000"/>
          <w:sz w:val="32"/>
          <w:highlight w:val="none"/>
        </w:rPr>
        <w:t>单位职责：</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1</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负责本</w:t>
      </w:r>
      <w:r>
        <w:rPr>
          <w:rFonts w:hint="eastAsia" w:ascii="Times New Roman" w:hAnsi="Times New Roman" w:eastAsia="方正仿宋简体" w:cs="Times New Roman"/>
          <w:sz w:val="32"/>
          <w:szCs w:val="32"/>
          <w:highlight w:val="none"/>
          <w:lang w:val="en-US" w:eastAsia="zh-CN"/>
        </w:rPr>
        <w:t>辖区</w:t>
      </w:r>
      <w:r>
        <w:rPr>
          <w:rFonts w:hint="default" w:ascii="Times New Roman" w:hAnsi="Times New Roman" w:eastAsia="方正仿宋简体" w:cs="Times New Roman"/>
          <w:sz w:val="32"/>
          <w:szCs w:val="32"/>
          <w:highlight w:val="none"/>
        </w:rPr>
        <w:t>的卫生工作法律、法规、政策的贯彻，卫生事业发展规划和工作计划的制订，社会公共卫生工作的组织和实施；</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负责本</w:t>
      </w:r>
      <w:r>
        <w:rPr>
          <w:rFonts w:hint="eastAsia" w:ascii="Times New Roman" w:hAnsi="Times New Roman" w:eastAsia="方正仿宋简体" w:cs="Times New Roman"/>
          <w:sz w:val="32"/>
          <w:szCs w:val="32"/>
          <w:highlight w:val="none"/>
          <w:lang w:val="en-US" w:eastAsia="zh-CN"/>
        </w:rPr>
        <w:t>辖区</w:t>
      </w:r>
      <w:r>
        <w:rPr>
          <w:rFonts w:hint="default" w:ascii="Times New Roman" w:hAnsi="Times New Roman" w:eastAsia="方正仿宋简体" w:cs="Times New Roman"/>
          <w:sz w:val="32"/>
          <w:szCs w:val="32"/>
          <w:highlight w:val="none"/>
        </w:rPr>
        <w:t>的基本医疗服务；</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负责本</w:t>
      </w:r>
      <w:r>
        <w:rPr>
          <w:rFonts w:hint="eastAsia" w:ascii="Times New Roman" w:hAnsi="Times New Roman" w:eastAsia="方正仿宋简体" w:cs="Times New Roman"/>
          <w:sz w:val="32"/>
          <w:szCs w:val="32"/>
          <w:highlight w:val="none"/>
          <w:lang w:val="en-US" w:eastAsia="zh-CN"/>
        </w:rPr>
        <w:t>辖区</w:t>
      </w:r>
      <w:r>
        <w:rPr>
          <w:rFonts w:hint="default" w:ascii="Times New Roman" w:hAnsi="Times New Roman" w:eastAsia="方正仿宋简体" w:cs="Times New Roman"/>
          <w:sz w:val="32"/>
          <w:szCs w:val="32"/>
          <w:highlight w:val="none"/>
        </w:rPr>
        <w:t>突发公共卫生事件的报告，并依据上级部门要求组织实施处置；</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4</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负责本辖区内的卫生信息统计、分析、上报；</w:t>
      </w:r>
    </w:p>
    <w:p>
      <w:pPr>
        <w:pStyle w:val="17"/>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5</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负责对本辖区内村级卫生组织和乡村医生的业务指导和培训。</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ascii="方正小标宋_GBK" w:hAnsi="方正小标宋_GBK" w:eastAsia="方正小标宋_GBK" w:cs="方正小标宋_GBK"/>
          <w:color w:val="000000"/>
          <w:sz w:val="32"/>
          <w:highlight w:val="none"/>
        </w:rPr>
      </w:pPr>
      <w:r>
        <w:rPr>
          <w:rFonts w:ascii="方正楷体_GBK" w:hAnsi="方正楷体_GBK" w:eastAsia="方正楷体_GBK" w:cs="方正楷体_GBK"/>
          <w:b/>
          <w:color w:val="000000"/>
          <w:sz w:val="32"/>
          <w:highlight w:val="none"/>
        </w:rPr>
        <w:t>机构设置：</w:t>
      </w:r>
    </w:p>
    <w:p>
      <w:pPr>
        <w:spacing w:before="0" w:after="0" w:line="240" w:lineRule="auto"/>
        <w:ind w:firstLine="0"/>
        <w:jc w:val="center"/>
        <w:outlineLvl w:val="9"/>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rPr>
        <w:t>单位机构设置情况</w:t>
      </w:r>
    </w:p>
    <w:p>
      <w:pPr>
        <w:pStyle w:val="2"/>
        <w:rPr>
          <w:rFonts w:hint="eastAsia"/>
          <w:highlight w:val="none"/>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69"/>
        <w:gridCol w:w="898"/>
        <w:gridCol w:w="898"/>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0"/>
              <w:rPr>
                <w:highlight w:val="none"/>
              </w:rPr>
            </w:pPr>
            <w:r>
              <w:rPr>
                <w:highlight w:val="none"/>
              </w:rPr>
              <w:t>单位名称</w:t>
            </w:r>
          </w:p>
        </w:tc>
        <w:tc>
          <w:tcPr>
            <w:tcW w:w="0" w:type="auto"/>
            <w:vAlign w:val="center"/>
          </w:tcPr>
          <w:p>
            <w:pPr>
              <w:pStyle w:val="10"/>
              <w:rPr>
                <w:highlight w:val="none"/>
              </w:rPr>
            </w:pPr>
            <w:r>
              <w:rPr>
                <w:highlight w:val="none"/>
              </w:rPr>
              <w:t>单位性质</w:t>
            </w:r>
          </w:p>
        </w:tc>
        <w:tc>
          <w:tcPr>
            <w:tcW w:w="0" w:type="auto"/>
            <w:vAlign w:val="center"/>
          </w:tcPr>
          <w:p>
            <w:pPr>
              <w:pStyle w:val="10"/>
              <w:rPr>
                <w:highlight w:val="none"/>
              </w:rPr>
            </w:pPr>
            <w:r>
              <w:rPr>
                <w:highlight w:val="none"/>
              </w:rPr>
              <w:t>单位规格</w:t>
            </w:r>
          </w:p>
        </w:tc>
        <w:tc>
          <w:tcPr>
            <w:tcW w:w="0" w:type="auto"/>
            <w:vAlign w:val="center"/>
          </w:tcPr>
          <w:p>
            <w:pPr>
              <w:pStyle w:val="10"/>
              <w:rPr>
                <w:highlight w:val="none"/>
              </w:rPr>
            </w:pPr>
            <w:r>
              <w:rPr>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2"/>
              <w:rPr>
                <w:highlight w:val="none"/>
              </w:rPr>
            </w:pPr>
            <w:r>
              <w:rPr>
                <w:highlight w:val="none"/>
              </w:rPr>
              <w:t>秦皇岛北戴河新区南戴河社区卫生服务中心（秦皇岛北戴河新区南戴河医院）</w:t>
            </w:r>
          </w:p>
        </w:tc>
        <w:tc>
          <w:tcPr>
            <w:tcW w:w="0" w:type="auto"/>
            <w:vAlign w:val="center"/>
          </w:tcPr>
          <w:p>
            <w:pPr>
              <w:pStyle w:val="11"/>
              <w:rPr>
                <w:highlight w:val="none"/>
              </w:rPr>
            </w:pPr>
            <w:r>
              <w:rPr>
                <w:highlight w:val="none"/>
              </w:rPr>
              <w:t>事业</w:t>
            </w:r>
          </w:p>
        </w:tc>
        <w:tc>
          <w:tcPr>
            <w:tcW w:w="0" w:type="auto"/>
            <w:vAlign w:val="center"/>
          </w:tcPr>
          <w:p>
            <w:pPr>
              <w:pStyle w:val="11"/>
              <w:rPr>
                <w:highlight w:val="none"/>
              </w:rPr>
            </w:pPr>
            <w:r>
              <w:rPr>
                <w:highlight w:val="none"/>
              </w:rPr>
              <w:t>股级</w:t>
            </w:r>
          </w:p>
        </w:tc>
        <w:tc>
          <w:tcPr>
            <w:tcW w:w="0" w:type="auto"/>
            <w:vAlign w:val="center"/>
          </w:tcPr>
          <w:p>
            <w:pPr>
              <w:pStyle w:val="11"/>
              <w:rPr>
                <w:highlight w:val="none"/>
              </w:rPr>
            </w:pPr>
            <w:r>
              <w:rPr>
                <w:highlight w:val="none"/>
              </w:rPr>
              <w:t>财政性资金定额或定项补助</w:t>
            </w:r>
          </w:p>
        </w:tc>
      </w:tr>
    </w:tbl>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ascii="黑体" w:hAnsi="黑体" w:eastAsia="黑体" w:cs="黑体"/>
          <w:color w:val="000000"/>
          <w:sz w:val="32"/>
          <w:highlight w:val="none"/>
        </w:rPr>
      </w:pP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highlight w:val="none"/>
        </w:rPr>
      </w:pPr>
      <w:r>
        <w:rPr>
          <w:rFonts w:ascii="黑体" w:hAnsi="黑体" w:eastAsia="黑体" w:cs="黑体"/>
          <w:color w:val="000000"/>
          <w:sz w:val="32"/>
          <w:highlight w:val="none"/>
        </w:rPr>
        <w:t>二、单位预算安排的总体情况</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val="0"/>
          <w:color w:val="000000"/>
          <w:sz w:val="32"/>
          <w:szCs w:val="32"/>
          <w:highlight w:val="none"/>
        </w:rPr>
        <w:t>按照预算管理有关规定，目前我单位预算的编制实行综合预算管理，即全部收入和支出都反映在预算中。秦皇岛北戴河新区南戴河社区卫生服务中心（秦皇岛北戴河新区南戴河医院）的收支包含在部门预算中。</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28"/>
          <w:highlight w:val="none"/>
        </w:rPr>
      </w:pPr>
      <w:r>
        <w:rPr>
          <w:rFonts w:hint="eastAsia" w:ascii="方正楷体简体" w:hAnsi="方正楷体简体" w:eastAsia="方正楷体简体" w:cs="方正楷体简体"/>
          <w:sz w:val="32"/>
          <w:szCs w:val="28"/>
          <w:highlight w:val="none"/>
        </w:rPr>
        <w:t>（一）收入说明</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202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t>年预算收入</w:t>
      </w:r>
      <w:r>
        <w:rPr>
          <w:rFonts w:hint="eastAsia" w:eastAsia="方正仿宋简体" w:cs="Times New Roman"/>
          <w:color w:val="auto"/>
          <w:sz w:val="32"/>
          <w:szCs w:val="32"/>
          <w:highlight w:val="none"/>
          <w:lang w:val="en-US" w:eastAsia="zh-CN"/>
        </w:rPr>
        <w:t>1700.92</w:t>
      </w:r>
      <w:r>
        <w:rPr>
          <w:rFonts w:hint="default" w:ascii="Times New Roman" w:hAnsi="Times New Roman" w:eastAsia="方正仿宋简体" w:cs="Times New Roman"/>
          <w:color w:val="auto"/>
          <w:sz w:val="32"/>
          <w:szCs w:val="32"/>
          <w:highlight w:val="none"/>
        </w:rPr>
        <w:t>万元</w:t>
      </w:r>
      <w:r>
        <w:rPr>
          <w:rFonts w:hint="eastAsia" w:eastAsia="方正仿宋简体" w:cs="Times New Roman"/>
          <w:color w:val="auto"/>
          <w:sz w:val="32"/>
          <w:szCs w:val="32"/>
          <w:highlight w:val="none"/>
          <w:lang w:eastAsia="zh-CN"/>
        </w:rPr>
        <w:t>（</w:t>
      </w:r>
      <w:r>
        <w:rPr>
          <w:rFonts w:hint="eastAsia" w:eastAsia="方正仿宋简体" w:cs="Times New Roman"/>
          <w:color w:val="auto"/>
          <w:sz w:val="32"/>
          <w:szCs w:val="32"/>
          <w:highlight w:val="none"/>
          <w:lang w:val="en-US" w:eastAsia="zh-CN"/>
        </w:rPr>
        <w:t>含上年结转金额88.95万元</w:t>
      </w:r>
      <w:r>
        <w:rPr>
          <w:rFonts w:hint="eastAsia"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w:t>
      </w:r>
      <w:r>
        <w:rPr>
          <w:rFonts w:hint="eastAsia" w:ascii="Times New Roman" w:hAnsi="Times New Roman" w:eastAsia="方正仿宋简体" w:cs="Times New Roman"/>
          <w:color w:val="auto"/>
          <w:sz w:val="32"/>
          <w:szCs w:val="32"/>
          <w:highlight w:val="none"/>
          <w:lang w:eastAsia="zh-CN"/>
        </w:rPr>
        <w:t>其中：</w:t>
      </w:r>
      <w:r>
        <w:rPr>
          <w:rFonts w:hint="default" w:ascii="Times New Roman" w:hAnsi="Times New Roman" w:eastAsia="方正仿宋简体" w:cs="Times New Roman"/>
          <w:color w:val="auto"/>
          <w:sz w:val="32"/>
          <w:szCs w:val="32"/>
          <w:highlight w:val="none"/>
        </w:rPr>
        <w:t>一般公共预算拨款</w:t>
      </w:r>
      <w:r>
        <w:rPr>
          <w:rFonts w:hint="eastAsia" w:ascii="Times New Roman" w:hAnsi="Times New Roman" w:eastAsia="方正仿宋简体" w:cs="Times New Roman"/>
          <w:color w:val="auto"/>
          <w:sz w:val="32"/>
          <w:szCs w:val="32"/>
          <w:highlight w:val="none"/>
          <w:lang w:val="en-US" w:eastAsia="zh-CN"/>
        </w:rPr>
        <w:t>1359.97</w:t>
      </w:r>
      <w:r>
        <w:rPr>
          <w:rFonts w:hint="default" w:ascii="Times New Roman" w:hAnsi="Times New Roman" w:eastAsia="方正仿宋简体" w:cs="Times New Roman"/>
          <w:color w:val="auto"/>
          <w:sz w:val="32"/>
          <w:szCs w:val="32"/>
          <w:highlight w:val="none"/>
        </w:rPr>
        <w:t>万元</w:t>
      </w:r>
      <w:r>
        <w:rPr>
          <w:rFonts w:hint="eastAsia" w:ascii="Times New Roman" w:hAnsi="Times New Roman" w:eastAsia="方正仿宋简体" w:cs="Times New Roman"/>
          <w:color w:val="auto"/>
          <w:sz w:val="32"/>
          <w:szCs w:val="32"/>
          <w:highlight w:val="none"/>
          <w:lang w:eastAsia="zh-CN"/>
        </w:rPr>
        <w:t>，经营收入</w:t>
      </w:r>
      <w:r>
        <w:rPr>
          <w:rFonts w:hint="eastAsia" w:ascii="Times New Roman" w:hAnsi="Times New Roman" w:eastAsia="方正仿宋简体" w:cs="Times New Roman"/>
          <w:color w:val="auto"/>
          <w:sz w:val="32"/>
          <w:szCs w:val="32"/>
          <w:highlight w:val="none"/>
          <w:lang w:val="en-US" w:eastAsia="zh-CN"/>
        </w:rPr>
        <w:t>252</w:t>
      </w:r>
      <w:r>
        <w:rPr>
          <w:rFonts w:hint="eastAsia" w:eastAsia="方正仿宋简体" w:cs="Times New Roman"/>
          <w:color w:val="auto"/>
          <w:sz w:val="32"/>
          <w:szCs w:val="32"/>
          <w:highlight w:val="none"/>
          <w:lang w:val="en-US" w:eastAsia="zh-CN"/>
        </w:rPr>
        <w:t>.00</w:t>
      </w:r>
      <w:r>
        <w:rPr>
          <w:rFonts w:hint="eastAsia" w:ascii="Times New Roman" w:hAnsi="Times New Roman" w:eastAsia="方正仿宋简体" w:cs="Times New Roman"/>
          <w:color w:val="auto"/>
          <w:sz w:val="32"/>
          <w:szCs w:val="32"/>
          <w:highlight w:val="none"/>
          <w:lang w:val="en-US" w:eastAsia="zh-CN"/>
        </w:rPr>
        <w:t>万元。</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（二）收支说明</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年部门支出预算</w:t>
      </w:r>
      <w:r>
        <w:rPr>
          <w:rFonts w:hint="eastAsia" w:ascii="Times New Roman" w:hAnsi="Times New Roman" w:eastAsia="方正仿宋简体" w:cs="Times New Roman"/>
          <w:sz w:val="32"/>
          <w:szCs w:val="32"/>
          <w:highlight w:val="none"/>
          <w:lang w:val="en-US" w:eastAsia="zh-CN"/>
        </w:rPr>
        <w:t>1700.92</w:t>
      </w:r>
      <w:r>
        <w:rPr>
          <w:rFonts w:hint="default" w:ascii="Times New Roman" w:hAnsi="Times New Roman" w:eastAsia="方正仿宋简体" w:cs="Times New Roman"/>
          <w:sz w:val="32"/>
          <w:szCs w:val="32"/>
          <w:highlight w:val="none"/>
        </w:rPr>
        <w:t>万元，其中</w:t>
      </w:r>
      <w:r>
        <w:rPr>
          <w:rFonts w:hint="eastAsia" w:ascii="Times New Roman" w:hAnsi="Times New Roman" w:eastAsia="方正仿宋简体" w:cs="Times New Roman"/>
          <w:sz w:val="32"/>
          <w:szCs w:val="32"/>
          <w:highlight w:val="none"/>
          <w:lang w:val="en-US" w:eastAsia="zh-CN"/>
        </w:rPr>
        <w:t>包括年初结转项目支出88.95万元，基本支出1611.97万元，其中</w:t>
      </w:r>
      <w:r>
        <w:rPr>
          <w:rFonts w:hint="default" w:ascii="Times New Roman" w:hAnsi="Times New Roman" w:eastAsia="方正仿宋简体" w:cs="Times New Roman"/>
          <w:sz w:val="32"/>
          <w:szCs w:val="32"/>
          <w:highlight w:val="none"/>
        </w:rPr>
        <w:t>财政预算基本支出</w:t>
      </w:r>
      <w:r>
        <w:rPr>
          <w:rFonts w:hint="eastAsia" w:ascii="Times New Roman" w:hAnsi="Times New Roman" w:eastAsia="方正仿宋简体" w:cs="Times New Roman"/>
          <w:sz w:val="32"/>
          <w:szCs w:val="32"/>
          <w:highlight w:val="none"/>
          <w:lang w:val="en-US" w:eastAsia="zh-CN"/>
        </w:rPr>
        <w:t>1359.97</w:t>
      </w:r>
      <w:r>
        <w:rPr>
          <w:rFonts w:hint="default" w:ascii="Times New Roman" w:hAnsi="Times New Roman" w:eastAsia="方正仿宋简体" w:cs="Times New Roman"/>
          <w:sz w:val="32"/>
          <w:szCs w:val="32"/>
          <w:highlight w:val="none"/>
        </w:rPr>
        <w:t>万元，包括人员经费</w:t>
      </w:r>
      <w:r>
        <w:rPr>
          <w:rFonts w:hint="eastAsia" w:ascii="Times New Roman" w:hAnsi="Times New Roman" w:eastAsia="方正仿宋简体" w:cs="Times New Roman"/>
          <w:sz w:val="32"/>
          <w:szCs w:val="32"/>
          <w:highlight w:val="none"/>
          <w:lang w:val="en-US" w:eastAsia="zh-CN"/>
        </w:rPr>
        <w:t>1312.73</w:t>
      </w:r>
      <w:r>
        <w:rPr>
          <w:rFonts w:hint="default" w:ascii="Times New Roman" w:hAnsi="Times New Roman" w:eastAsia="方正仿宋简体" w:cs="Times New Roman"/>
          <w:sz w:val="32"/>
          <w:szCs w:val="32"/>
          <w:highlight w:val="none"/>
        </w:rPr>
        <w:t>万元，日常公用经费</w:t>
      </w:r>
      <w:r>
        <w:rPr>
          <w:rFonts w:hint="eastAsia" w:ascii="Times New Roman" w:hAnsi="Times New Roman" w:eastAsia="方正仿宋简体" w:cs="Times New Roman"/>
          <w:sz w:val="32"/>
          <w:szCs w:val="32"/>
          <w:highlight w:val="none"/>
          <w:lang w:val="en-US" w:eastAsia="zh-CN"/>
        </w:rPr>
        <w:t>47.24</w:t>
      </w:r>
      <w:r>
        <w:rPr>
          <w:rFonts w:hint="default" w:ascii="Times New Roman" w:hAnsi="Times New Roman" w:eastAsia="方正仿宋简体" w:cs="Times New Roman"/>
          <w:sz w:val="32"/>
          <w:szCs w:val="32"/>
          <w:highlight w:val="none"/>
        </w:rPr>
        <w:t xml:space="preserve">万元； </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（三）比上年增减情况</w:t>
      </w:r>
    </w:p>
    <w:p>
      <w:pPr>
        <w:pStyle w:val="1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年单位预算较202</w:t>
      </w:r>
      <w:r>
        <w:rPr>
          <w:rFonts w:hint="eastAsia"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年增加</w:t>
      </w:r>
      <w:r>
        <w:rPr>
          <w:rFonts w:hint="eastAsia" w:ascii="Times New Roman" w:hAnsi="Times New Roman" w:eastAsia="方正仿宋简体" w:cs="Times New Roman"/>
          <w:sz w:val="32"/>
          <w:szCs w:val="32"/>
          <w:highlight w:val="none"/>
          <w:lang w:val="en-US" w:eastAsia="zh-CN"/>
        </w:rPr>
        <w:t>234.23</w:t>
      </w:r>
      <w:r>
        <w:rPr>
          <w:rFonts w:hint="default" w:ascii="Times New Roman" w:hAnsi="Times New Roman" w:eastAsia="方正仿宋简体" w:cs="Times New Roman"/>
          <w:sz w:val="32"/>
          <w:szCs w:val="32"/>
          <w:highlight w:val="none"/>
        </w:rPr>
        <w:t>万元，其中</w:t>
      </w:r>
      <w:r>
        <w:rPr>
          <w:rFonts w:hint="eastAsia" w:ascii="Times New Roman" w:hAnsi="Times New Roman" w:eastAsia="方正仿宋简体" w:cs="Times New Roman"/>
          <w:sz w:val="32"/>
          <w:szCs w:val="32"/>
          <w:highlight w:val="none"/>
          <w:lang w:val="en-US" w:eastAsia="zh-CN"/>
        </w:rPr>
        <w:t>财政预算</w:t>
      </w:r>
      <w:r>
        <w:rPr>
          <w:rFonts w:hint="default" w:ascii="Times New Roman" w:hAnsi="Times New Roman" w:eastAsia="方正仿宋简体" w:cs="Times New Roman"/>
          <w:sz w:val="32"/>
          <w:szCs w:val="32"/>
          <w:highlight w:val="none"/>
        </w:rPr>
        <w:t>基本支出增加</w:t>
      </w:r>
      <w:r>
        <w:rPr>
          <w:rFonts w:hint="eastAsia" w:ascii="Times New Roman" w:hAnsi="Times New Roman" w:eastAsia="方正仿宋简体" w:cs="Times New Roman"/>
          <w:sz w:val="32"/>
          <w:szCs w:val="32"/>
          <w:highlight w:val="none"/>
          <w:lang w:val="en-US" w:eastAsia="zh-CN"/>
        </w:rPr>
        <w:t>263.13</w:t>
      </w:r>
      <w:r>
        <w:rPr>
          <w:rFonts w:hint="default" w:ascii="Times New Roman" w:hAnsi="Times New Roman" w:eastAsia="方正仿宋简体" w:cs="Times New Roman"/>
          <w:sz w:val="32"/>
          <w:szCs w:val="32"/>
          <w:highlight w:val="none"/>
        </w:rPr>
        <w:t>万元，主要是在编在职人员经费增加。</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ascii="黑体" w:hAnsi="黑体" w:eastAsia="黑体" w:cs="黑体"/>
          <w:color w:val="000000"/>
          <w:sz w:val="32"/>
          <w:highlight w:val="none"/>
        </w:rPr>
      </w:pPr>
      <w:r>
        <w:rPr>
          <w:rFonts w:ascii="黑体" w:hAnsi="黑体" w:eastAsia="黑体" w:cs="黑体"/>
          <w:color w:val="000000"/>
          <w:sz w:val="32"/>
          <w:highlight w:val="none"/>
        </w:rPr>
        <w:t>机关运行经费安排情况</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jc w:val="left"/>
        <w:textAlignment w:val="auto"/>
        <w:outlineLvl w:val="5"/>
        <w:rPr>
          <w:rFonts w:hint="default" w:ascii="黑体" w:hAnsi="黑体" w:eastAsia="黑体" w:cs="黑体"/>
          <w:color w:val="000000"/>
          <w:sz w:val="32"/>
          <w:highlight w:val="none"/>
          <w:lang w:val="en-US" w:eastAsia="zh-CN"/>
        </w:rPr>
      </w:pPr>
      <w:r>
        <w:rPr>
          <w:rFonts w:hint="eastAsia" w:ascii="黑体" w:hAnsi="黑体" w:eastAsia="黑体" w:cs="黑体"/>
          <w:color w:val="000000"/>
          <w:sz w:val="32"/>
          <w:highlight w:val="none"/>
          <w:lang w:val="en-US" w:eastAsia="zh-CN"/>
        </w:rPr>
        <w:t xml:space="preserve">   </w:t>
      </w:r>
      <w:r>
        <w:rPr>
          <w:rFonts w:eastAsia="方正仿宋简体" w:cs="Times New Roman"/>
          <w:sz w:val="32"/>
          <w:szCs w:val="32"/>
          <w:highlight w:val="none"/>
        </w:rPr>
        <w:t>本年度年初预算安排日常公用经费</w:t>
      </w:r>
      <w:r>
        <w:rPr>
          <w:rFonts w:hint="eastAsia" w:eastAsia="方正仿宋简体" w:cs="Times New Roman"/>
          <w:sz w:val="32"/>
          <w:szCs w:val="32"/>
          <w:highlight w:val="none"/>
          <w:lang w:val="en-US" w:eastAsia="zh-CN"/>
        </w:rPr>
        <w:t>47.27</w:t>
      </w:r>
      <w:r>
        <w:rPr>
          <w:rFonts w:eastAsia="方正仿宋简体" w:cs="Times New Roman"/>
          <w:sz w:val="32"/>
          <w:szCs w:val="32"/>
          <w:highlight w:val="none"/>
        </w:rPr>
        <w:t>万元，主要用于单位正常运转的办公取暖费、培训费、工会经费、福利费等支出</w:t>
      </w:r>
      <w:r>
        <w:rPr>
          <w:rFonts w:eastAsia="方正仿宋简体"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5"/>
        <w:rPr>
          <w:highlight w:val="none"/>
        </w:rPr>
      </w:pPr>
      <w:r>
        <w:rPr>
          <w:rFonts w:ascii="黑体" w:hAnsi="黑体" w:eastAsia="黑体" w:cs="黑体"/>
          <w:color w:val="000000"/>
          <w:sz w:val="32"/>
          <w:highlight w:val="none"/>
        </w:rPr>
        <w:t>四、财政拨款“三公”经费预算情况及增减变化原因</w:t>
      </w:r>
    </w:p>
    <w:p>
      <w:pPr>
        <w:pStyle w:val="19"/>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highlight w:val="none"/>
        </w:rPr>
      </w:pPr>
      <w:r>
        <w:rPr>
          <w:rFonts w:hint="default" w:ascii="Times New Roman" w:hAnsi="Times New Roman" w:eastAsia="方正仿宋简体" w:cs="Times New Roman"/>
          <w:sz w:val="32"/>
          <w:szCs w:val="32"/>
          <w:highlight w:val="none"/>
        </w:rPr>
        <w:t>本单位</w:t>
      </w:r>
      <w:r>
        <w:rPr>
          <w:rFonts w:hint="eastAsia" w:ascii="Times New Roman" w:hAnsi="Times New Roman" w:eastAsia="方正仿宋简体" w:cs="Times New Roman"/>
          <w:sz w:val="32"/>
          <w:szCs w:val="32"/>
          <w:highlight w:val="none"/>
          <w:lang w:val="en-US" w:eastAsia="zh-CN"/>
        </w:rPr>
        <w:t>无</w:t>
      </w:r>
      <w:r>
        <w:rPr>
          <w:rFonts w:hint="default" w:ascii="Times New Roman" w:hAnsi="Times New Roman" w:eastAsia="方正仿宋简体" w:cs="Times New Roman"/>
          <w:sz w:val="32"/>
          <w:szCs w:val="32"/>
          <w:highlight w:val="none"/>
        </w:rPr>
        <w:t>财政拨款“三公”经费年初预算</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与上年对比无变化</w:t>
      </w:r>
      <w:r>
        <w:rPr>
          <w:rFonts w:hint="default" w:ascii="Times New Roman" w:hAnsi="Times New Roman" w:eastAsia="方正仿宋简体" w:cs="Times New Roman"/>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left"/>
        <w:textAlignment w:val="auto"/>
        <w:outlineLvl w:val="5"/>
        <w:rPr>
          <w:rFonts w:hint="eastAsia" w:ascii="方正仿宋简体" w:hAnsi="方正仿宋简体" w:eastAsia="方正仿宋简体" w:cs="方正仿宋简体"/>
          <w:sz w:val="32"/>
          <w:szCs w:val="32"/>
          <w:highlight w:val="none"/>
          <w:lang w:val="en-US" w:eastAsia="zh-CN"/>
        </w:rPr>
      </w:pPr>
      <w:r>
        <w:rPr>
          <w:rFonts w:hint="eastAsia" w:ascii="黑体" w:hAnsi="黑体" w:eastAsia="黑体" w:cs="黑体"/>
          <w:color w:val="000000"/>
          <w:sz w:val="32"/>
          <w:highlight w:val="none"/>
          <w:lang w:eastAsia="zh-CN"/>
        </w:rPr>
        <w:t>五、</w:t>
      </w:r>
      <w:r>
        <w:rPr>
          <w:rFonts w:hint="eastAsia" w:ascii="黑体" w:hAnsi="黑体" w:eastAsia="黑体" w:cs="黑体"/>
          <w:color w:val="000000"/>
          <w:sz w:val="32"/>
          <w:highlight w:val="none"/>
        </w:rPr>
        <w:t>预算绩效信息</w:t>
      </w:r>
      <w:r>
        <w:rPr>
          <w:rFonts w:hint="eastAsia" w:ascii="黑体" w:hAnsi="黑体" w:eastAsia="黑体" w:cs="黑体"/>
          <w:color w:val="000000"/>
          <w:sz w:val="32"/>
          <w:highlight w:val="none"/>
          <w:lang w:val="en-US" w:eastAsia="zh-CN"/>
        </w:rPr>
        <w:t xml:space="preserve">  </w:t>
      </w:r>
    </w:p>
    <w:p>
      <w:pPr>
        <w:spacing w:before="0" w:after="0"/>
        <w:ind w:firstLine="560"/>
        <w:jc w:val="left"/>
        <w:outlineLvl w:val="9"/>
        <w:rPr>
          <w:rFonts w:hint="default" w:ascii="Times New Roman" w:hAnsi="Times New Roman" w:eastAsia="方正仿宋_GBK" w:cs="Times New Roman"/>
          <w:b/>
          <w:color w:val="000000"/>
          <w:sz w:val="28"/>
          <w:highlight w:val="none"/>
        </w:rPr>
      </w:pPr>
    </w:p>
    <w:p>
      <w:pPr>
        <w:spacing w:before="0" w:after="0"/>
        <w:ind w:firstLine="560"/>
        <w:jc w:val="left"/>
        <w:outlineLvl w:val="9"/>
        <w:rPr>
          <w:rFonts w:hint="default" w:ascii="Times New Roman" w:hAnsi="Times New Roman" w:eastAsia="方正仿宋_GBK" w:cs="Times New Roman"/>
          <w:b/>
          <w:color w:val="000000"/>
          <w:sz w:val="28"/>
          <w:highlight w:val="none"/>
        </w:rPr>
      </w:pPr>
    </w:p>
    <w:p>
      <w:pPr>
        <w:spacing w:before="0" w:after="0"/>
        <w:ind w:firstLine="560"/>
        <w:jc w:val="left"/>
        <w:outlineLvl w:val="9"/>
        <w:rPr>
          <w:rFonts w:hint="default" w:ascii="Times New Roman" w:hAnsi="Times New Roman" w:eastAsia="方正仿宋_GBK" w:cs="Times New Roman"/>
          <w:b/>
          <w:color w:val="000000"/>
          <w:sz w:val="28"/>
          <w:highlight w:val="none"/>
        </w:rPr>
      </w:pPr>
    </w:p>
    <w:p>
      <w:pPr>
        <w:spacing w:before="0" w:after="0"/>
        <w:ind w:firstLine="560"/>
        <w:jc w:val="left"/>
        <w:outlineLvl w:val="9"/>
        <w:rPr>
          <w:rFonts w:hint="default" w:ascii="Times New Roman" w:hAnsi="Times New Roman" w:eastAsia="方正仿宋_GBK" w:cs="Times New Roman"/>
          <w:b/>
          <w:color w:val="000000"/>
          <w:sz w:val="28"/>
          <w:highlight w:val="none"/>
        </w:rPr>
      </w:pPr>
    </w:p>
    <w:p>
      <w:pPr>
        <w:spacing w:before="0" w:after="0"/>
        <w:ind w:firstLine="560"/>
        <w:jc w:val="left"/>
        <w:outlineLvl w:val="9"/>
        <w:rPr>
          <w:rFonts w:hint="default" w:ascii="Times New Roman" w:hAnsi="Times New Roman" w:eastAsia="方正仿宋_GBK" w:cs="Times New Roman"/>
          <w:b/>
          <w:color w:val="000000"/>
          <w:sz w:val="28"/>
          <w:highlight w:val="none"/>
        </w:rPr>
      </w:pPr>
    </w:p>
    <w:p>
      <w:pPr>
        <w:spacing w:before="0" w:after="0"/>
        <w:ind w:firstLine="560"/>
        <w:jc w:val="left"/>
        <w:outlineLvl w:val="9"/>
        <w:rPr>
          <w:rFonts w:hint="default" w:ascii="Times New Roman" w:hAnsi="Times New Roman" w:eastAsia="方正仿宋_GBK" w:cs="Times New Roman"/>
          <w:b/>
          <w:color w:val="000000"/>
          <w:sz w:val="28"/>
          <w:highlight w:val="none"/>
        </w:rPr>
      </w:pPr>
    </w:p>
    <w:p>
      <w:pPr>
        <w:spacing w:before="0" w:after="0"/>
        <w:ind w:firstLine="560"/>
        <w:jc w:val="left"/>
        <w:outlineLvl w:val="9"/>
        <w:rPr>
          <w:rFonts w:hint="default" w:ascii="Times New Roman" w:hAnsi="Times New Roman" w:eastAsia="方正仿宋_GBK" w:cs="Times New Roman"/>
          <w:b/>
          <w:color w:val="000000"/>
          <w:sz w:val="28"/>
          <w:highlight w:val="none"/>
        </w:r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1、2022年村卫生室中央基本药物制度补助资金绩效目标表</w:t>
      </w:r>
    </w:p>
    <w:tbl>
      <w:tblPr>
        <w:tblStyle w:val="5"/>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139"/>
        <w:gridCol w:w="8478"/>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92" w:type="pct"/>
            <w:tcBorders>
              <w:bottom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07" w:type="pct"/>
            <w:tcBorders>
              <w:bottom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1.发展基本药物制度，提高村卫生室运行能力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866"/>
        <w:gridCol w:w="1686"/>
        <w:gridCol w:w="1686"/>
        <w:gridCol w:w="1146"/>
        <w:gridCol w:w="2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及时高效</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不断发展</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2、2022年基本公共卫生服务补助区级资金绩效目标表</w:t>
      </w:r>
    </w:p>
    <w:tbl>
      <w:tblPr>
        <w:tblStyle w:val="5"/>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018"/>
        <w:gridCol w:w="85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29" w:type="pct"/>
            <w:tcBorders>
              <w:bottom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绩效</w:t>
            </w:r>
          </w:p>
          <w:p>
            <w:pPr>
              <w:pStyle w:val="10"/>
              <w:rPr>
                <w:rFonts w:hint="default" w:ascii="Times New Roman" w:hAnsi="Times New Roman" w:cs="Times New Roman"/>
                <w:highlight w:val="none"/>
              </w:rPr>
            </w:pPr>
            <w:r>
              <w:rPr>
                <w:rFonts w:hint="default" w:ascii="Times New Roman" w:hAnsi="Times New Roman" w:cs="Times New Roman"/>
                <w:highlight w:val="none"/>
              </w:rPr>
              <w:t>目标</w:t>
            </w:r>
          </w:p>
        </w:tc>
        <w:tc>
          <w:tcPr>
            <w:tcW w:w="4470" w:type="pct"/>
            <w:tcBorders>
              <w:bottom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1.提高基本公共卫生服务水平，缩短城乡居民差距</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3"/>
        <w:gridCol w:w="1641"/>
        <w:gridCol w:w="2058"/>
        <w:gridCol w:w="2438"/>
        <w:gridCol w:w="1114"/>
        <w:gridCol w:w="13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居民电子健康档案建档率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公共卫生服务补助绩效目标表</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高血压患者规范管理率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高血压患者规范管理率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2型糖尿病患者规范管理率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各项目按时完成情况</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建档人数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各项目按时完成情况</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12类基本公共卫生服务项目成本</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≤75%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城乡居民公共卫生差距</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越来越小</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高血压患者血压控制率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高血压患者血压控制率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基本公共卫生服务水平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人民健康水平不断提升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人民健康水平不断提升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工作计划</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3、2022年省级公共卫生服务体系建设补助资金绩效目标表</w:t>
      </w:r>
    </w:p>
    <w:tbl>
      <w:tblPr>
        <w:tblStyle w:val="5"/>
        <w:tblW w:w="4997"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773"/>
        <w:gridCol w:w="8842"/>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402" w:type="pct"/>
            <w:tcBorders>
              <w:bottom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597" w:type="pct"/>
            <w:tcBorders>
              <w:bottom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1.提高基层医疗机构公共卫生服务能力</w:t>
            </w:r>
          </w:p>
          <w:p>
            <w:pPr>
              <w:pStyle w:val="12"/>
              <w:rPr>
                <w:rFonts w:hint="default" w:ascii="Times New Roman" w:hAnsi="Times New Roman" w:cs="Times New Roman"/>
                <w:highlight w:val="none"/>
              </w:rPr>
            </w:pPr>
            <w:r>
              <w:rPr>
                <w:rFonts w:hint="default" w:ascii="Times New Roman" w:hAnsi="Times New Roman" w:cs="Times New Roman"/>
                <w:highlight w:val="none"/>
              </w:rPr>
              <w:t>2.改善基层医疗机构医疗服务环境和水平</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9"/>
        <w:gridCol w:w="1093"/>
        <w:gridCol w:w="2409"/>
        <w:gridCol w:w="2409"/>
        <w:gridCol w:w="1415"/>
        <w:gridCol w:w="1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资金支出数量</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资金支出数量</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50万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资金到位率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资金支出率（%）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资金支出率（%）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项目资金支付率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项目资金支付率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≤100%</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提高基层医疗机构服务收入</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提高基层医疗机构服务收入</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提高基层医疗机构公共卫生及医疗服务水平和环境</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提高基层医疗机构公共卫生及医疗服务水平和环境</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改善群众就医环境</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改善群众就医环境</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不断改善</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为人民群众提供更好的就医环境和服务水平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为人民群众提供更好的就医环境和服务水平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更好的为广大群众服务</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≤95%</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秦财社（2022）599号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0" w:after="0"/>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color w:val="000000"/>
          <w:sz w:val="28"/>
          <w:highlight w:val="none"/>
        </w:rPr>
        <w:t>4、2022年中央基本药物制度补助资金-村卫生室绩效目标表</w:t>
      </w:r>
    </w:p>
    <w:tbl>
      <w:tblPr>
        <w:tblStyle w:val="5"/>
        <w:tblW w:w="4998" w:type="pct"/>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autofit"/>
        <w:tblCellMar>
          <w:top w:w="0" w:type="dxa"/>
          <w:left w:w="108" w:type="dxa"/>
          <w:bottom w:w="0" w:type="dxa"/>
          <w:right w:w="108" w:type="dxa"/>
        </w:tblCellMar>
      </w:tblPr>
      <w:tblGrid>
        <w:gridCol w:w="1118"/>
        <w:gridCol w:w="84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581" w:type="pct"/>
            <w:tcBorders>
              <w:bottom w:val="single" w:color="FFFFFF" w:sz="6" w:space="0"/>
            </w:tcBorders>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绩效目标</w:t>
            </w:r>
          </w:p>
        </w:tc>
        <w:tc>
          <w:tcPr>
            <w:tcW w:w="4418" w:type="pct"/>
            <w:tcBorders>
              <w:bottom w:val="single" w:color="FFFFFF" w:sz="6" w:space="0"/>
            </w:tcBorders>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1.发展基本药物制度，提高村卫生室运行能力</w:t>
            </w:r>
          </w:p>
        </w:tc>
      </w:tr>
    </w:tbl>
    <w:p>
      <w:pPr>
        <w:spacing w:before="0" w:after="0" w:line="2" w:lineRule="exact"/>
        <w:ind w:firstLine="0"/>
        <w:jc w:val="center"/>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18"/>
          <w:highlight w:val="none"/>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6"/>
        <w:gridCol w:w="1866"/>
        <w:gridCol w:w="1686"/>
        <w:gridCol w:w="1686"/>
        <w:gridCol w:w="1146"/>
        <w:gridCol w:w="2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二级指标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三级指标</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绩效指标描述</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指标值</w:t>
            </w:r>
          </w:p>
        </w:tc>
        <w:tc>
          <w:tcPr>
            <w:tcW w:w="0" w:type="auto"/>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产出指标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数量指标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基本药物采购率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质量指标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资金使用率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时效指标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资金使用效率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及时高效</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成本指标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基本药物成本价</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restart"/>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经济效益指标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村卫生室收入水平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不断提高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社会效益指标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村民治疗疾病成本</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越来越低</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生态效益指标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群众健康水平</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越来越高</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Merge w:val="continue"/>
            <w:vAlign w:val="center"/>
          </w:tcPr>
          <w:p>
            <w:pPr>
              <w:rPr>
                <w:rFonts w:hint="default" w:ascii="Times New Roman" w:hAnsi="Times New Roman" w:cs="Times New Roman"/>
                <w:highlight w:val="none"/>
              </w:rPr>
            </w:pP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可持续影响指标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基本药物制度发展</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不断发展</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0" w:type="auto"/>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满意度指标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服务对象满意度指标</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服务对象满意度</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越来越满意</w:t>
            </w:r>
          </w:p>
        </w:tc>
        <w:tc>
          <w:tcPr>
            <w:tcW w:w="0" w:type="auto"/>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秦财社（2021）659号</w:t>
            </w:r>
          </w:p>
        </w:tc>
      </w:tr>
    </w:tbl>
    <w:p>
      <w:pPr>
        <w:rPr>
          <w:rFonts w:hint="default" w:ascii="Times New Roman" w:hAnsi="Times New Roman" w:cs="Times New Roman"/>
          <w:highlight w:val="none"/>
        </w:rPr>
        <w:sectPr>
          <w:pgSz w:w="11900" w:h="16840"/>
          <w:pgMar w:top="1020" w:right="1134" w:bottom="1020" w:left="1361" w:header="720" w:footer="720" w:gutter="0"/>
          <w:cols w:space="720" w:num="1"/>
        </w:sectPr>
      </w:pP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六、政府采购预算情况</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2023年，秦皇岛北戴河新区南戴河社区卫生服务中心（秦皇岛北戴河新区南戴河医院）安排政府采购预算19.52万元。具体内容见下表。</w:t>
      </w:r>
    </w:p>
    <w:p>
      <w:pPr>
        <w:spacing w:before="0" w:after="0" w:line="240" w:lineRule="auto"/>
        <w:ind w:firstLine="0"/>
        <w:jc w:val="center"/>
        <w:outlineLvl w:val="9"/>
        <w:rPr>
          <w:rFonts w:hint="default" w:ascii="Times New Roman" w:hAnsi="Times New Roman" w:cs="Times New Roman"/>
          <w:highlight w:val="none"/>
        </w:rPr>
      </w:pPr>
      <w:r>
        <w:rPr>
          <w:rFonts w:hint="default" w:ascii="Times New Roman" w:hAnsi="Times New Roman" w:eastAsia="方正小标宋_GBK" w:cs="Times New Roman"/>
          <w:color w:val="000000"/>
          <w:sz w:val="36"/>
          <w:highlight w:val="none"/>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rPr>
                <w:rFonts w:hint="default" w:ascii="Times New Roman" w:hAnsi="Times New Roman" w:cs="Times New Roman"/>
                <w:highlight w:val="none"/>
              </w:rPr>
            </w:pPr>
            <w:r>
              <w:rPr>
                <w:rFonts w:hint="default" w:ascii="Times New Roman" w:hAnsi="Times New Roman" w:cs="Times New Roman"/>
                <w:highlight w:val="none"/>
              </w:rPr>
              <w:t>361008秦皇岛北戴河新区南戴河社区卫生服务中心（秦皇岛北戴河新区南戴河医院）</w:t>
            </w:r>
          </w:p>
        </w:tc>
        <w:tc>
          <w:tcPr>
            <w:tcW w:w="8674" w:type="dxa"/>
            <w:gridSpan w:val="9"/>
            <w:tcBorders>
              <w:top w:val="single" w:color="FFFFFF" w:sz="6" w:space="0"/>
              <w:left w:val="single" w:color="FFFFFF" w:sz="6" w:space="0"/>
              <w:right w:val="single" w:color="FFFFFF" w:sz="6" w:space="0"/>
            </w:tcBorders>
            <w:vAlign w:val="center"/>
          </w:tcPr>
          <w:p>
            <w:pPr>
              <w:pStyle w:val="20"/>
              <w:rPr>
                <w:rFonts w:hint="default" w:ascii="Times New Roman" w:hAnsi="Times New Roman" w:cs="Times New Roman"/>
                <w:highlight w:val="none"/>
              </w:rPr>
            </w:pPr>
            <w:r>
              <w:rPr>
                <w:rFonts w:hint="default" w:ascii="Times New Roman" w:hAnsi="Times New Roman" w:cs="Times New Roman"/>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政府采购项目来源</w:t>
            </w:r>
          </w:p>
        </w:tc>
        <w:tc>
          <w:tcPr>
            <w:tcW w:w="1134"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采购物品名称</w:t>
            </w:r>
          </w:p>
        </w:tc>
        <w:tc>
          <w:tcPr>
            <w:tcW w:w="1134"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政府采购目录序号</w:t>
            </w:r>
          </w:p>
        </w:tc>
        <w:tc>
          <w:tcPr>
            <w:tcW w:w="709"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计量  单位</w:t>
            </w:r>
          </w:p>
        </w:tc>
        <w:tc>
          <w:tcPr>
            <w:tcW w:w="850"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数量</w:t>
            </w:r>
          </w:p>
        </w:tc>
        <w:tc>
          <w:tcPr>
            <w:tcW w:w="850"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单价</w:t>
            </w:r>
          </w:p>
        </w:tc>
        <w:tc>
          <w:tcPr>
            <w:tcW w:w="7710" w:type="dxa"/>
            <w:gridSpan w:val="8"/>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政府采购金额（当年部门预算安排资金）</w:t>
            </w:r>
          </w:p>
        </w:tc>
        <w:tc>
          <w:tcPr>
            <w:tcW w:w="964" w:type="dxa"/>
            <w:vMerge w:val="restart"/>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预算    资金</w:t>
            </w:r>
          </w:p>
        </w:tc>
        <w:tc>
          <w:tcPr>
            <w:tcW w:w="1134" w:type="dxa"/>
            <w:vMerge w:val="continue"/>
          </w:tcPr>
          <w:p>
            <w:pPr>
              <w:rPr>
                <w:rFonts w:hint="default" w:ascii="Times New Roman" w:hAnsi="Times New Roman" w:cs="Times New Roman"/>
                <w:highlight w:val="none"/>
              </w:rPr>
            </w:pPr>
          </w:p>
        </w:tc>
        <w:tc>
          <w:tcPr>
            <w:tcW w:w="1134" w:type="dxa"/>
            <w:vMerge w:val="continue"/>
          </w:tcPr>
          <w:p>
            <w:pPr>
              <w:rPr>
                <w:rFonts w:hint="default" w:ascii="Times New Roman" w:hAnsi="Times New Roman" w:cs="Times New Roman"/>
                <w:highlight w:val="none"/>
              </w:rPr>
            </w:pPr>
          </w:p>
        </w:tc>
        <w:tc>
          <w:tcPr>
            <w:tcW w:w="709"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850" w:type="dxa"/>
            <w:vMerge w:val="continue"/>
          </w:tcPr>
          <w:p>
            <w:pPr>
              <w:rPr>
                <w:rFonts w:hint="default" w:ascii="Times New Roman" w:hAnsi="Times New Roman" w:cs="Times New Roman"/>
                <w:highlight w:val="none"/>
              </w:rPr>
            </w:pP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合计</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一般公共预算拨款</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基金预算拨款</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国有资本经营预算拨款</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财政专户核拨</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单位    资金</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财政拨    款结转</w:t>
            </w:r>
          </w:p>
        </w:tc>
        <w:tc>
          <w:tcPr>
            <w:tcW w:w="964" w:type="dxa"/>
            <w:vAlign w:val="center"/>
          </w:tcPr>
          <w:p>
            <w:pPr>
              <w:pStyle w:val="10"/>
              <w:rPr>
                <w:rFonts w:hint="default" w:ascii="Times New Roman" w:hAnsi="Times New Roman" w:cs="Times New Roman"/>
                <w:highlight w:val="none"/>
              </w:rPr>
            </w:pPr>
            <w:r>
              <w:rPr>
                <w:rFonts w:hint="default" w:ascii="Times New Roman" w:hAnsi="Times New Roman" w:cs="Times New Roman"/>
                <w:highlight w:val="none"/>
              </w:rPr>
              <w:t>非财政    拨款结    转结余</w:t>
            </w:r>
          </w:p>
        </w:tc>
        <w:tc>
          <w:tcPr>
            <w:tcW w:w="964" w:type="dxa"/>
            <w:vMerge w:val="continue"/>
          </w:tcPr>
          <w:p>
            <w:pPr>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合  计</w:t>
            </w:r>
          </w:p>
        </w:tc>
        <w:tc>
          <w:tcPr>
            <w:tcW w:w="964" w:type="dxa"/>
            <w:vAlign w:val="center"/>
          </w:tcPr>
          <w:p>
            <w:pPr>
              <w:pStyle w:val="15"/>
              <w:rPr>
                <w:rFonts w:hint="default" w:ascii="Times New Roman" w:hAnsi="Times New Roman" w:cs="Times New Roman"/>
                <w:highlight w:val="none"/>
              </w:rPr>
            </w:pPr>
          </w:p>
        </w:tc>
        <w:tc>
          <w:tcPr>
            <w:tcW w:w="1134" w:type="dxa"/>
            <w:vAlign w:val="center"/>
          </w:tcPr>
          <w:p>
            <w:pPr>
              <w:pStyle w:val="16"/>
              <w:rPr>
                <w:rFonts w:hint="default" w:ascii="Times New Roman" w:hAnsi="Times New Roman" w:cs="Times New Roman"/>
                <w:highlight w:val="none"/>
              </w:rPr>
            </w:pPr>
          </w:p>
        </w:tc>
        <w:tc>
          <w:tcPr>
            <w:tcW w:w="1134" w:type="dxa"/>
            <w:vAlign w:val="center"/>
          </w:tcPr>
          <w:p>
            <w:pPr>
              <w:pStyle w:val="16"/>
              <w:rPr>
                <w:rFonts w:hint="default" w:ascii="Times New Roman" w:hAnsi="Times New Roman" w:cs="Times New Roman"/>
                <w:highlight w:val="none"/>
              </w:rPr>
            </w:pPr>
          </w:p>
        </w:tc>
        <w:tc>
          <w:tcPr>
            <w:tcW w:w="709" w:type="dxa"/>
            <w:vAlign w:val="center"/>
          </w:tcPr>
          <w:p>
            <w:pPr>
              <w:pStyle w:val="14"/>
              <w:rPr>
                <w:rFonts w:hint="default" w:ascii="Times New Roman" w:hAnsi="Times New Roman" w:cs="Times New Roman"/>
                <w:highlight w:val="none"/>
              </w:rPr>
            </w:pPr>
          </w:p>
        </w:tc>
        <w:tc>
          <w:tcPr>
            <w:tcW w:w="850" w:type="dxa"/>
            <w:vAlign w:val="center"/>
          </w:tcPr>
          <w:p>
            <w:pPr>
              <w:pStyle w:val="15"/>
              <w:rPr>
                <w:rFonts w:hint="default" w:ascii="Times New Roman" w:hAnsi="Times New Roman" w:cs="Times New Roman"/>
                <w:highlight w:val="none"/>
              </w:rPr>
            </w:pPr>
          </w:p>
        </w:tc>
        <w:tc>
          <w:tcPr>
            <w:tcW w:w="850"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hint="default" w:ascii="Times New Roman" w:hAnsi="Times New Roman" w:cs="Times New Roman"/>
                <w:highlight w:val="none"/>
              </w:rPr>
            </w:pPr>
            <w:r>
              <w:rPr>
                <w:rFonts w:hint="default" w:ascii="Times New Roman" w:hAnsi="Times New Roman" w:cs="Times New Roman"/>
                <w:highlight w:val="none"/>
              </w:rPr>
              <w:t>秦皇岛北戴河新区南戴河社区卫生服务中心（秦皇岛北戴河新区南戴河医院）小计</w:t>
            </w:r>
          </w:p>
        </w:tc>
        <w:tc>
          <w:tcPr>
            <w:tcW w:w="964" w:type="dxa"/>
            <w:vAlign w:val="center"/>
          </w:tcPr>
          <w:p>
            <w:pPr>
              <w:pStyle w:val="15"/>
              <w:rPr>
                <w:rFonts w:hint="default" w:ascii="Times New Roman" w:hAnsi="Times New Roman" w:cs="Times New Roman"/>
                <w:highlight w:val="none"/>
              </w:rPr>
            </w:pPr>
          </w:p>
        </w:tc>
        <w:tc>
          <w:tcPr>
            <w:tcW w:w="1134" w:type="dxa"/>
            <w:vAlign w:val="center"/>
          </w:tcPr>
          <w:p>
            <w:pPr>
              <w:pStyle w:val="16"/>
              <w:rPr>
                <w:rFonts w:hint="default" w:ascii="Times New Roman" w:hAnsi="Times New Roman" w:cs="Times New Roman"/>
                <w:highlight w:val="none"/>
              </w:rPr>
            </w:pPr>
          </w:p>
        </w:tc>
        <w:tc>
          <w:tcPr>
            <w:tcW w:w="1134" w:type="dxa"/>
            <w:vAlign w:val="center"/>
          </w:tcPr>
          <w:p>
            <w:pPr>
              <w:pStyle w:val="16"/>
              <w:rPr>
                <w:rFonts w:hint="default" w:ascii="Times New Roman" w:hAnsi="Times New Roman" w:cs="Times New Roman"/>
                <w:highlight w:val="none"/>
              </w:rPr>
            </w:pPr>
          </w:p>
        </w:tc>
        <w:tc>
          <w:tcPr>
            <w:tcW w:w="709" w:type="dxa"/>
            <w:vAlign w:val="center"/>
          </w:tcPr>
          <w:p>
            <w:pPr>
              <w:pStyle w:val="14"/>
              <w:rPr>
                <w:rFonts w:hint="default" w:ascii="Times New Roman" w:hAnsi="Times New Roman" w:cs="Times New Roman"/>
                <w:highlight w:val="none"/>
              </w:rPr>
            </w:pPr>
          </w:p>
        </w:tc>
        <w:tc>
          <w:tcPr>
            <w:tcW w:w="850" w:type="dxa"/>
            <w:vAlign w:val="center"/>
          </w:tcPr>
          <w:p>
            <w:pPr>
              <w:pStyle w:val="15"/>
              <w:rPr>
                <w:rFonts w:hint="default" w:ascii="Times New Roman" w:hAnsi="Times New Roman" w:cs="Times New Roman"/>
                <w:highlight w:val="none"/>
              </w:rPr>
            </w:pPr>
          </w:p>
        </w:tc>
        <w:tc>
          <w:tcPr>
            <w:tcW w:w="850"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p>
        </w:tc>
        <w:tc>
          <w:tcPr>
            <w:tcW w:w="964" w:type="dxa"/>
            <w:vAlign w:val="center"/>
          </w:tcPr>
          <w:p>
            <w:pPr>
              <w:pStyle w:val="15"/>
              <w:rPr>
                <w:rFonts w:hint="default" w:ascii="Times New Roman" w:hAnsi="Times New Roman" w:cs="Times New Roman"/>
                <w:highlight w:val="none"/>
              </w:rPr>
            </w:pPr>
            <w:r>
              <w:rPr>
                <w:rFonts w:hint="default" w:ascii="Times New Roman" w:hAnsi="Times New Roman" w:cs="Times New Roman"/>
                <w:highlight w:val="none"/>
              </w:rPr>
              <w:t>19.52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2023年公用经费项目（三保）</w:t>
            </w:r>
          </w:p>
        </w:tc>
        <w:tc>
          <w:tcPr>
            <w:tcW w:w="96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299.24</w:t>
            </w:r>
          </w:p>
        </w:tc>
        <w:tc>
          <w:tcPr>
            <w:tcW w:w="113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暖气生产和分配服务</w:t>
            </w:r>
          </w:p>
        </w:tc>
        <w:tc>
          <w:tcPr>
            <w:tcW w:w="1134" w:type="dxa"/>
            <w:vAlign w:val="center"/>
          </w:tcPr>
          <w:p>
            <w:pPr>
              <w:pStyle w:val="12"/>
              <w:rPr>
                <w:rFonts w:hint="default" w:ascii="Times New Roman" w:hAnsi="Times New Roman" w:cs="Times New Roman"/>
                <w:highlight w:val="none"/>
              </w:rPr>
            </w:pPr>
            <w:r>
              <w:rPr>
                <w:rFonts w:hint="default" w:ascii="Times New Roman" w:hAnsi="Times New Roman" w:cs="Times New Roman"/>
                <w:highlight w:val="none"/>
              </w:rPr>
              <w:t>C08020100</w:t>
            </w:r>
          </w:p>
        </w:tc>
        <w:tc>
          <w:tcPr>
            <w:tcW w:w="709" w:type="dxa"/>
            <w:vAlign w:val="center"/>
          </w:tcPr>
          <w:p>
            <w:pPr>
              <w:pStyle w:val="11"/>
              <w:rPr>
                <w:rFonts w:hint="default" w:ascii="Times New Roman" w:hAnsi="Times New Roman" w:cs="Times New Roman"/>
                <w:highlight w:val="none"/>
              </w:rPr>
            </w:pPr>
            <w:r>
              <w:rPr>
                <w:rFonts w:hint="default" w:ascii="Times New Roman" w:hAnsi="Times New Roman" w:cs="Times New Roman"/>
                <w:highlight w:val="none"/>
              </w:rPr>
              <w:t>1</w:t>
            </w:r>
          </w:p>
        </w:tc>
        <w:tc>
          <w:tcPr>
            <w:tcW w:w="850"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w:t>
            </w:r>
          </w:p>
        </w:tc>
        <w:tc>
          <w:tcPr>
            <w:tcW w:w="850"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19.52</w:t>
            </w:r>
          </w:p>
        </w:tc>
        <w:tc>
          <w:tcPr>
            <w:tcW w:w="964" w:type="dxa"/>
            <w:vAlign w:val="center"/>
          </w:tcPr>
          <w:p>
            <w:pPr>
              <w:pStyle w:val="13"/>
              <w:rPr>
                <w:rFonts w:hint="default" w:ascii="Times New Roman" w:hAnsi="Times New Roman" w:cs="Times New Roman"/>
                <w:highlight w:val="none"/>
              </w:rPr>
            </w:pPr>
          </w:p>
        </w:tc>
        <w:tc>
          <w:tcPr>
            <w:tcW w:w="964" w:type="dxa"/>
            <w:vAlign w:val="center"/>
          </w:tcPr>
          <w:p>
            <w:pPr>
              <w:pStyle w:val="13"/>
              <w:rPr>
                <w:rFonts w:hint="default" w:ascii="Times New Roman" w:hAnsi="Times New Roman" w:cs="Times New Roman"/>
                <w:highlight w:val="none"/>
              </w:rPr>
            </w:pPr>
          </w:p>
        </w:tc>
        <w:tc>
          <w:tcPr>
            <w:tcW w:w="964" w:type="dxa"/>
            <w:vAlign w:val="center"/>
          </w:tcPr>
          <w:p>
            <w:pPr>
              <w:pStyle w:val="13"/>
              <w:rPr>
                <w:rFonts w:hint="default" w:ascii="Times New Roman" w:hAnsi="Times New Roman" w:cs="Times New Roman"/>
                <w:highlight w:val="none"/>
              </w:rPr>
            </w:pPr>
          </w:p>
        </w:tc>
        <w:tc>
          <w:tcPr>
            <w:tcW w:w="964" w:type="dxa"/>
            <w:vAlign w:val="center"/>
          </w:tcPr>
          <w:p>
            <w:pPr>
              <w:pStyle w:val="13"/>
              <w:rPr>
                <w:rFonts w:hint="default" w:ascii="Times New Roman" w:hAnsi="Times New Roman" w:cs="Times New Roman"/>
                <w:highlight w:val="none"/>
              </w:rPr>
            </w:pPr>
          </w:p>
        </w:tc>
        <w:tc>
          <w:tcPr>
            <w:tcW w:w="964" w:type="dxa"/>
            <w:vAlign w:val="center"/>
          </w:tcPr>
          <w:p>
            <w:pPr>
              <w:pStyle w:val="13"/>
              <w:rPr>
                <w:rFonts w:hint="default" w:ascii="Times New Roman" w:hAnsi="Times New Roman" w:cs="Times New Roman"/>
                <w:highlight w:val="none"/>
              </w:rPr>
            </w:pPr>
          </w:p>
        </w:tc>
        <w:tc>
          <w:tcPr>
            <w:tcW w:w="964" w:type="dxa"/>
            <w:vAlign w:val="center"/>
          </w:tcPr>
          <w:p>
            <w:pPr>
              <w:pStyle w:val="13"/>
              <w:rPr>
                <w:rFonts w:hint="default" w:ascii="Times New Roman" w:hAnsi="Times New Roman" w:cs="Times New Roman"/>
                <w:highlight w:val="none"/>
              </w:rPr>
            </w:pPr>
          </w:p>
        </w:tc>
        <w:tc>
          <w:tcPr>
            <w:tcW w:w="964" w:type="dxa"/>
            <w:vAlign w:val="center"/>
          </w:tcPr>
          <w:p>
            <w:pPr>
              <w:pStyle w:val="13"/>
              <w:rPr>
                <w:rFonts w:hint="default" w:ascii="Times New Roman" w:hAnsi="Times New Roman" w:cs="Times New Roman"/>
                <w:highlight w:val="none"/>
              </w:rPr>
            </w:pPr>
            <w:r>
              <w:rPr>
                <w:rFonts w:hint="default" w:ascii="Times New Roman" w:hAnsi="Times New Roman" w:cs="Times New Roman"/>
                <w:highlight w:val="none"/>
              </w:rPr>
              <w:t>19.52</w:t>
            </w:r>
          </w:p>
        </w:tc>
      </w:tr>
    </w:tbl>
    <w:p>
      <w:pPr>
        <w:spacing w:before="0" w:after="0" w:line="500" w:lineRule="exact"/>
        <w:ind w:firstLine="420"/>
        <w:jc w:val="left"/>
        <w:outlineLvl w:val="9"/>
        <w:rPr>
          <w:rFonts w:hint="default" w:ascii="Times New Roman" w:hAnsi="Times New Roman" w:cs="Times New Roman"/>
          <w:highlight w:val="none"/>
        </w:rPr>
      </w:pPr>
      <w:r>
        <w:rPr>
          <w:rFonts w:hint="default" w:ascii="Times New Roman" w:hAnsi="Times New Roman" w:eastAsia="方正书宋_GBK" w:cs="Times New Roman"/>
          <w:color w:val="000000"/>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七、国有资产信息</w:t>
      </w:r>
    </w:p>
    <w:p>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秦皇岛北戴河新区南戴河社区卫生服务中心（秦皇岛北戴河新区南戴河医院）上年末固定资产金额为</w:t>
      </w:r>
      <w:r>
        <w:rPr>
          <w:rFonts w:hint="eastAsia" w:eastAsia="方正仿宋_GBK" w:cs="Times New Roman"/>
          <w:b w:val="0"/>
          <w:color w:val="000000"/>
          <w:sz w:val="28"/>
          <w:highlight w:val="none"/>
          <w:lang w:val="en-US" w:eastAsia="zh-CN"/>
        </w:rPr>
        <w:t>1910.10</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rPr>
                <w:highlight w:val="none"/>
              </w:rPr>
            </w:pPr>
            <w:r>
              <w:rPr>
                <w:highlight w:val="none"/>
              </w:rPr>
              <w:t>361008秦皇岛北戴河新区南戴河社区卫生服务中心（秦皇岛北戴河新区南戴河医院）</w:t>
            </w:r>
          </w:p>
        </w:tc>
        <w:tc>
          <w:tcPr>
            <w:tcW w:w="9866" w:type="dxa"/>
            <w:gridSpan w:val="2"/>
            <w:tcBorders>
              <w:top w:val="single" w:color="FFFFFF" w:sz="6" w:space="0"/>
              <w:left w:val="single" w:color="FFFFFF" w:sz="6" w:space="0"/>
              <w:right w:val="single" w:color="FFFFFF" w:sz="6" w:space="0"/>
            </w:tcBorders>
            <w:vAlign w:val="center"/>
          </w:tcPr>
          <w:p>
            <w:pPr>
              <w:pStyle w:val="9"/>
              <w:rPr>
                <w:highlight w:val="none"/>
              </w:rPr>
            </w:pPr>
            <w:r>
              <w:rPr>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rPr>
                <w:highlight w:val="none"/>
              </w:rPr>
            </w:pPr>
            <w:r>
              <w:rPr>
                <w:highlight w:val="none"/>
              </w:rPr>
              <w:t>项   目</w:t>
            </w:r>
          </w:p>
        </w:tc>
        <w:tc>
          <w:tcPr>
            <w:tcW w:w="4933" w:type="dxa"/>
            <w:vAlign w:val="center"/>
          </w:tcPr>
          <w:p>
            <w:pPr>
              <w:pStyle w:val="10"/>
              <w:rPr>
                <w:highlight w:val="none"/>
              </w:rPr>
            </w:pPr>
            <w:r>
              <w:rPr>
                <w:highlight w:val="none"/>
              </w:rPr>
              <w:t>数量</w:t>
            </w:r>
          </w:p>
        </w:tc>
        <w:tc>
          <w:tcPr>
            <w:tcW w:w="4933"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center"/>
              <w:rPr>
                <w:rFonts w:hint="eastAsia" w:eastAsia="方正书宋_GBK"/>
                <w:highlight w:val="none"/>
                <w:lang w:eastAsia="zh-CN"/>
              </w:rPr>
            </w:pPr>
            <w:r>
              <w:rPr>
                <w:rFonts w:hint="eastAsia"/>
                <w:highlight w:val="none"/>
                <w:lang w:eastAsia="zh-CN"/>
              </w:rPr>
              <w:t>资产总额</w:t>
            </w:r>
          </w:p>
        </w:tc>
        <w:tc>
          <w:tcPr>
            <w:tcW w:w="4933" w:type="dxa"/>
            <w:vAlign w:val="center"/>
          </w:tcPr>
          <w:p>
            <w:pPr>
              <w:pStyle w:val="11"/>
              <w:rPr>
                <w:rFonts w:hint="eastAsia" w:eastAsia="方正书宋_GBK"/>
                <w:highlight w:val="none"/>
                <w:lang w:val="en-US" w:eastAsia="zh-CN"/>
              </w:rPr>
            </w:pPr>
            <w:r>
              <w:rPr>
                <w:rFonts w:hint="eastAsia"/>
                <w:highlight w:val="none"/>
                <w:lang w:val="en-US" w:eastAsia="zh-CN"/>
              </w:rPr>
              <w:t>——</w:t>
            </w:r>
          </w:p>
        </w:tc>
        <w:tc>
          <w:tcPr>
            <w:tcW w:w="4933" w:type="dxa"/>
            <w:vAlign w:val="center"/>
          </w:tcPr>
          <w:p>
            <w:pPr>
              <w:pStyle w:val="13"/>
              <w:jc w:val="center"/>
              <w:rPr>
                <w:rFonts w:hint="default" w:eastAsia="方正书宋_GBK"/>
                <w:highlight w:val="none"/>
                <w:lang w:val="en-US" w:eastAsia="zh-CN"/>
              </w:rPr>
            </w:pPr>
            <w:r>
              <w:rPr>
                <w:rFonts w:hint="eastAsia"/>
                <w:highlight w:val="none"/>
                <w:lang w:val="en-US" w:eastAsia="zh-CN"/>
              </w:rPr>
              <w:t>1910.10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highlight w:val="none"/>
                <w:lang w:val="en-US" w:eastAsia="zh-CN"/>
              </w:rPr>
            </w:pPr>
            <w:r>
              <w:rPr>
                <w:rFonts w:hint="eastAsia"/>
                <w:highlight w:val="none"/>
                <w:lang w:val="en-US" w:eastAsia="zh-CN"/>
              </w:rPr>
              <w:t>1.房屋（平方米）</w:t>
            </w:r>
          </w:p>
        </w:tc>
        <w:tc>
          <w:tcPr>
            <w:tcW w:w="4933" w:type="dxa"/>
            <w:vAlign w:val="center"/>
          </w:tcPr>
          <w:p>
            <w:pPr>
              <w:pStyle w:val="11"/>
              <w:rPr>
                <w:rFonts w:hint="default"/>
                <w:highlight w:val="none"/>
                <w:lang w:val="en-US" w:eastAsia="zh-CN"/>
              </w:rPr>
            </w:pPr>
            <w:r>
              <w:rPr>
                <w:rFonts w:hint="eastAsia"/>
                <w:highlight w:val="none"/>
                <w:lang w:val="en-US" w:eastAsia="zh-CN"/>
              </w:rPr>
              <w:t>6318</w:t>
            </w:r>
          </w:p>
        </w:tc>
        <w:tc>
          <w:tcPr>
            <w:tcW w:w="4933" w:type="dxa"/>
            <w:vAlign w:val="center"/>
          </w:tcPr>
          <w:p>
            <w:pPr>
              <w:pStyle w:val="13"/>
              <w:jc w:val="center"/>
              <w:rPr>
                <w:rFonts w:hint="default" w:eastAsia="方正书宋_GBK"/>
                <w:highlight w:val="none"/>
                <w:lang w:val="en-US" w:eastAsia="zh-CN"/>
              </w:rPr>
            </w:pPr>
            <w:r>
              <w:rPr>
                <w:rFonts w:hint="eastAsia"/>
                <w:highlight w:val="none"/>
                <w:lang w:val="en-US" w:eastAsia="zh-CN"/>
              </w:rPr>
              <w:t>715.01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highlight w:val="none"/>
                <w:lang w:val="en-US" w:eastAsia="zh-CN"/>
              </w:rPr>
            </w:pPr>
            <w:r>
              <w:rPr>
                <w:rFonts w:hint="eastAsia"/>
                <w:highlight w:val="none"/>
                <w:lang w:val="en-US" w:eastAsia="zh-CN"/>
              </w:rPr>
              <w:t xml:space="preserve">  其中：业务用房（平方米）</w:t>
            </w:r>
          </w:p>
        </w:tc>
        <w:tc>
          <w:tcPr>
            <w:tcW w:w="4933" w:type="dxa"/>
            <w:vAlign w:val="center"/>
          </w:tcPr>
          <w:p>
            <w:pPr>
              <w:pStyle w:val="11"/>
              <w:rPr>
                <w:rFonts w:hint="default"/>
                <w:highlight w:val="none"/>
                <w:lang w:val="en-US" w:eastAsia="zh-CN"/>
              </w:rPr>
            </w:pPr>
            <w:r>
              <w:rPr>
                <w:rFonts w:hint="eastAsia"/>
                <w:highlight w:val="none"/>
                <w:lang w:val="en-US" w:eastAsia="zh-CN"/>
              </w:rPr>
              <w:t>5900</w:t>
            </w:r>
          </w:p>
        </w:tc>
        <w:tc>
          <w:tcPr>
            <w:tcW w:w="4933" w:type="dxa"/>
            <w:vAlign w:val="center"/>
          </w:tcPr>
          <w:p>
            <w:pPr>
              <w:pStyle w:val="13"/>
              <w:jc w:val="center"/>
              <w:rPr>
                <w:rFonts w:hint="default" w:eastAsia="方正书宋_GBK"/>
                <w:highlight w:val="none"/>
                <w:lang w:val="en-US" w:eastAsia="zh-CN"/>
              </w:rPr>
            </w:pPr>
            <w:r>
              <w:rPr>
                <w:rFonts w:hint="eastAsia"/>
                <w:highlight w:val="none"/>
                <w:lang w:val="en-US" w:eastAsia="zh-CN"/>
              </w:rPr>
              <w:t>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highlight w:val="none"/>
                <w:lang w:val="en-US" w:eastAsia="zh-CN"/>
              </w:rPr>
            </w:pPr>
            <w:r>
              <w:rPr>
                <w:rFonts w:hint="eastAsia"/>
                <w:highlight w:val="none"/>
                <w:lang w:val="en-US" w:eastAsia="zh-CN"/>
              </w:rPr>
              <w:t>2.车辆（台、辆）</w:t>
            </w:r>
          </w:p>
        </w:tc>
        <w:tc>
          <w:tcPr>
            <w:tcW w:w="4933" w:type="dxa"/>
            <w:vAlign w:val="center"/>
          </w:tcPr>
          <w:p>
            <w:pPr>
              <w:pStyle w:val="11"/>
              <w:rPr>
                <w:rFonts w:hint="default"/>
                <w:highlight w:val="none"/>
                <w:lang w:val="en-US" w:eastAsia="zh-CN"/>
              </w:rPr>
            </w:pPr>
            <w:r>
              <w:rPr>
                <w:rFonts w:hint="eastAsia"/>
                <w:highlight w:val="none"/>
                <w:lang w:val="en-US" w:eastAsia="zh-CN"/>
              </w:rPr>
              <w:t>5</w:t>
            </w:r>
          </w:p>
        </w:tc>
        <w:tc>
          <w:tcPr>
            <w:tcW w:w="4933" w:type="dxa"/>
            <w:vAlign w:val="center"/>
          </w:tcPr>
          <w:p>
            <w:pPr>
              <w:pStyle w:val="13"/>
              <w:jc w:val="center"/>
              <w:rPr>
                <w:rFonts w:hint="default" w:eastAsia="方正书宋_GBK"/>
                <w:highlight w:val="none"/>
                <w:lang w:val="en-US" w:eastAsia="zh-CN"/>
              </w:rPr>
            </w:pPr>
            <w:r>
              <w:rPr>
                <w:rFonts w:hint="eastAsia"/>
                <w:highlight w:val="none"/>
                <w:lang w:val="en-US" w:eastAsia="zh-CN"/>
              </w:rPr>
              <w:t>82.92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highlight w:val="none"/>
                <w:lang w:val="en-US" w:eastAsia="zh-CN"/>
              </w:rPr>
            </w:pPr>
            <w:r>
              <w:rPr>
                <w:rFonts w:hint="eastAsia"/>
                <w:highlight w:val="none"/>
                <w:lang w:val="en-US" w:eastAsia="zh-CN"/>
              </w:rPr>
              <w:t>3.专用设备（个、台）</w:t>
            </w:r>
          </w:p>
        </w:tc>
        <w:tc>
          <w:tcPr>
            <w:tcW w:w="4933" w:type="dxa"/>
            <w:vAlign w:val="center"/>
          </w:tcPr>
          <w:p>
            <w:pPr>
              <w:pStyle w:val="11"/>
              <w:rPr>
                <w:rFonts w:hint="default"/>
                <w:highlight w:val="none"/>
                <w:lang w:val="en-US" w:eastAsia="zh-CN"/>
              </w:rPr>
            </w:pPr>
            <w:r>
              <w:rPr>
                <w:rFonts w:hint="eastAsia"/>
                <w:highlight w:val="none"/>
                <w:lang w:val="en-US" w:eastAsia="zh-CN"/>
              </w:rPr>
              <w:t>115</w:t>
            </w:r>
          </w:p>
        </w:tc>
        <w:tc>
          <w:tcPr>
            <w:tcW w:w="4933" w:type="dxa"/>
            <w:vAlign w:val="center"/>
          </w:tcPr>
          <w:p>
            <w:pPr>
              <w:pStyle w:val="13"/>
              <w:jc w:val="center"/>
              <w:rPr>
                <w:rFonts w:hint="default" w:eastAsia="方正书宋_GBK"/>
                <w:highlight w:val="none"/>
                <w:lang w:val="en-US" w:eastAsia="zh-CN"/>
              </w:rPr>
            </w:pPr>
            <w:r>
              <w:rPr>
                <w:rFonts w:hint="eastAsia"/>
                <w:highlight w:val="none"/>
                <w:lang w:val="en-US" w:eastAsia="zh-CN"/>
              </w:rPr>
              <w:t>757.33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highlight w:val="none"/>
                <w:lang w:val="en-US" w:eastAsia="zh-CN"/>
              </w:rPr>
            </w:pPr>
            <w:r>
              <w:rPr>
                <w:rFonts w:hint="eastAsia"/>
                <w:highlight w:val="none"/>
                <w:lang w:val="en-US" w:eastAsia="zh-CN"/>
              </w:rPr>
              <w:t xml:space="preserve">   其中：医疗设备（个、台）</w:t>
            </w:r>
          </w:p>
        </w:tc>
        <w:tc>
          <w:tcPr>
            <w:tcW w:w="4933" w:type="dxa"/>
            <w:vAlign w:val="center"/>
          </w:tcPr>
          <w:p>
            <w:pPr>
              <w:pStyle w:val="11"/>
              <w:rPr>
                <w:rFonts w:hint="default"/>
                <w:highlight w:val="none"/>
                <w:lang w:val="en-US" w:eastAsia="zh-CN"/>
              </w:rPr>
            </w:pPr>
            <w:r>
              <w:rPr>
                <w:rFonts w:hint="eastAsia"/>
                <w:highlight w:val="none"/>
                <w:lang w:val="en-US" w:eastAsia="zh-CN"/>
              </w:rPr>
              <w:t>25</w:t>
            </w:r>
          </w:p>
        </w:tc>
        <w:tc>
          <w:tcPr>
            <w:tcW w:w="4933" w:type="dxa"/>
            <w:vAlign w:val="center"/>
          </w:tcPr>
          <w:p>
            <w:pPr>
              <w:pStyle w:val="13"/>
              <w:jc w:val="center"/>
              <w:rPr>
                <w:rFonts w:hint="default" w:eastAsia="方正书宋_GBK"/>
                <w:highlight w:val="none"/>
                <w:lang w:val="en-US" w:eastAsia="zh-CN"/>
              </w:rPr>
            </w:pPr>
            <w:r>
              <w:rPr>
                <w:rFonts w:hint="eastAsia"/>
                <w:highlight w:val="none"/>
                <w:lang w:val="en-US" w:eastAsia="zh-CN"/>
              </w:rPr>
              <w:t>485.74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ind w:firstLine="840" w:firstLineChars="400"/>
              <w:jc w:val="left"/>
              <w:rPr>
                <w:rFonts w:hint="eastAsia"/>
                <w:highlight w:val="none"/>
                <w:lang w:val="en-US" w:eastAsia="zh-CN"/>
              </w:rPr>
            </w:pPr>
            <w:r>
              <w:rPr>
                <w:rFonts w:hint="eastAsia"/>
                <w:highlight w:val="none"/>
                <w:lang w:val="en-US" w:eastAsia="zh-CN"/>
              </w:rPr>
              <w:t>单价100万元（含）以上（个、台）</w:t>
            </w:r>
          </w:p>
        </w:tc>
        <w:tc>
          <w:tcPr>
            <w:tcW w:w="4933" w:type="dxa"/>
            <w:vAlign w:val="center"/>
          </w:tcPr>
          <w:p>
            <w:pPr>
              <w:pStyle w:val="11"/>
              <w:rPr>
                <w:rFonts w:hint="default"/>
                <w:highlight w:val="none"/>
                <w:lang w:val="en-US" w:eastAsia="zh-CN"/>
              </w:rPr>
            </w:pPr>
            <w:r>
              <w:rPr>
                <w:rFonts w:hint="eastAsia"/>
                <w:highlight w:val="none"/>
                <w:lang w:val="en-US" w:eastAsia="zh-CN"/>
              </w:rPr>
              <w:t>1</w:t>
            </w:r>
          </w:p>
        </w:tc>
        <w:tc>
          <w:tcPr>
            <w:tcW w:w="4933" w:type="dxa"/>
            <w:vAlign w:val="center"/>
          </w:tcPr>
          <w:p>
            <w:pPr>
              <w:pStyle w:val="13"/>
              <w:jc w:val="center"/>
              <w:rPr>
                <w:rFonts w:hint="default" w:eastAsia="方正书宋_GBK"/>
                <w:highlight w:val="none"/>
                <w:lang w:val="en-US" w:eastAsia="zh-CN"/>
              </w:rPr>
            </w:pPr>
            <w:r>
              <w:rPr>
                <w:rFonts w:hint="eastAsia"/>
                <w:highlight w:val="none"/>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jc w:val="left"/>
              <w:rPr>
                <w:rFonts w:hint="default"/>
                <w:highlight w:val="none"/>
                <w:lang w:val="en-US" w:eastAsia="zh-CN"/>
              </w:rPr>
            </w:pPr>
            <w:r>
              <w:rPr>
                <w:rFonts w:hint="eastAsia"/>
                <w:highlight w:val="none"/>
                <w:lang w:val="en-US" w:eastAsia="zh-CN"/>
              </w:rPr>
              <w:t>4.其他固定资产</w:t>
            </w:r>
          </w:p>
        </w:tc>
        <w:tc>
          <w:tcPr>
            <w:tcW w:w="4933" w:type="dxa"/>
            <w:vAlign w:val="center"/>
          </w:tcPr>
          <w:p>
            <w:pPr>
              <w:pStyle w:val="11"/>
              <w:rPr>
                <w:rFonts w:hint="eastAsia"/>
                <w:highlight w:val="none"/>
                <w:lang w:val="en-US" w:eastAsia="zh-CN"/>
              </w:rPr>
            </w:pPr>
            <w:r>
              <w:rPr>
                <w:rFonts w:hint="eastAsia"/>
                <w:highlight w:val="none"/>
                <w:lang w:val="en-US" w:eastAsia="zh-CN"/>
              </w:rPr>
              <w:t>——</w:t>
            </w:r>
          </w:p>
        </w:tc>
        <w:tc>
          <w:tcPr>
            <w:tcW w:w="4933" w:type="dxa"/>
            <w:vAlign w:val="center"/>
          </w:tcPr>
          <w:p>
            <w:pPr>
              <w:pStyle w:val="13"/>
              <w:jc w:val="center"/>
              <w:rPr>
                <w:rFonts w:hint="default" w:eastAsia="方正书宋_GBK"/>
                <w:highlight w:val="none"/>
                <w:lang w:val="en-US" w:eastAsia="zh-CN"/>
              </w:rPr>
            </w:pPr>
            <w:r>
              <w:rPr>
                <w:rFonts w:hint="eastAsia"/>
                <w:highlight w:val="none"/>
                <w:lang w:val="en-US" w:eastAsia="zh-CN"/>
              </w:rPr>
              <w:t>180.76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rPr>
                <w:highlight w:val="none"/>
              </w:rPr>
            </w:pPr>
            <w:r>
              <w:rPr>
                <w:highlight w:val="none"/>
              </w:rPr>
              <w:t>项   目</w:t>
            </w:r>
          </w:p>
        </w:tc>
        <w:tc>
          <w:tcPr>
            <w:tcW w:w="4933" w:type="dxa"/>
            <w:vAlign w:val="center"/>
          </w:tcPr>
          <w:p>
            <w:pPr>
              <w:pStyle w:val="10"/>
              <w:rPr>
                <w:highlight w:val="none"/>
              </w:rPr>
            </w:pPr>
            <w:r>
              <w:rPr>
                <w:highlight w:val="none"/>
              </w:rPr>
              <w:t>数量</w:t>
            </w:r>
          </w:p>
        </w:tc>
        <w:tc>
          <w:tcPr>
            <w:tcW w:w="4933" w:type="dxa"/>
            <w:vAlign w:val="center"/>
          </w:tcPr>
          <w:p>
            <w:pPr>
              <w:pStyle w:val="10"/>
              <w:rPr>
                <w:highlight w:val="none"/>
              </w:rPr>
            </w:pPr>
            <w:r>
              <w:rPr>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rPr>
                <w:highlight w:val="none"/>
              </w:rPr>
            </w:pPr>
          </w:p>
        </w:tc>
        <w:tc>
          <w:tcPr>
            <w:tcW w:w="4933" w:type="dxa"/>
            <w:vAlign w:val="center"/>
          </w:tcPr>
          <w:p>
            <w:pPr>
              <w:pStyle w:val="11"/>
              <w:rPr>
                <w:highlight w:val="none"/>
              </w:rPr>
            </w:pPr>
          </w:p>
        </w:tc>
        <w:tc>
          <w:tcPr>
            <w:tcW w:w="4933" w:type="dxa"/>
            <w:vAlign w:val="center"/>
          </w:tcPr>
          <w:p>
            <w:pPr>
              <w:pStyle w:val="13"/>
              <w:rPr>
                <w:highlight w:val="none"/>
              </w:rPr>
            </w:pPr>
          </w:p>
        </w:tc>
      </w:tr>
    </w:tbl>
    <w:p>
      <w:pPr>
        <w:spacing w:before="0" w:after="0"/>
        <w:ind w:firstLine="640"/>
        <w:jc w:val="left"/>
        <w:outlineLvl w:val="9"/>
        <w:rPr>
          <w:rFonts w:hint="default" w:ascii="Times New Roman" w:hAnsi="Times New Roman" w:cs="Times New Roman"/>
          <w:highlight w:val="none"/>
        </w:rPr>
      </w:pPr>
      <w:r>
        <w:rPr>
          <w:rFonts w:hint="default" w:ascii="Times New Roman" w:hAnsi="Times New Roman" w:eastAsia="方正仿宋_GBK" w:cs="Times New Roman"/>
          <w:color w:val="000000"/>
          <w:sz w:val="32"/>
          <w:highlight w:val="none"/>
        </w:rPr>
        <w:t xml:space="preserve"> </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八、名词解释</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w:t>
      </w:r>
      <w:r>
        <w:rPr>
          <w:rFonts w:hint="default" w:ascii="Times New Roman" w:hAnsi="Times New Roman" w:eastAsia="方正仿宋_GBK" w:cs="Times New Roman"/>
          <w:b/>
          <w:color w:val="000000"/>
          <w:sz w:val="28"/>
          <w:highlight w:val="none"/>
        </w:rPr>
        <w:t>一般公共预算拨款收入：</w:t>
      </w:r>
      <w:r>
        <w:rPr>
          <w:rFonts w:hint="default" w:ascii="Times New Roman" w:hAnsi="Times New Roman" w:eastAsia="方正仿宋_GBK" w:cs="Times New Roman"/>
          <w:b w:val="0"/>
          <w:color w:val="000000"/>
          <w:sz w:val="28"/>
          <w:highlight w:val="none"/>
        </w:rPr>
        <w:t>指</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级财政当年拨付的资金。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2、</w:t>
      </w:r>
      <w:r>
        <w:rPr>
          <w:rFonts w:hint="default" w:ascii="Times New Roman" w:hAnsi="Times New Roman" w:eastAsia="方正仿宋_GBK" w:cs="Times New Roman"/>
          <w:b/>
          <w:color w:val="000000"/>
          <w:sz w:val="28"/>
          <w:highlight w:val="none"/>
        </w:rPr>
        <w:t>事业收入：</w:t>
      </w:r>
      <w:r>
        <w:rPr>
          <w:rFonts w:hint="default" w:ascii="Times New Roman" w:hAnsi="Times New Roman" w:eastAsia="方正仿宋_GBK" w:cs="Times New Roman"/>
          <w:b w:val="0"/>
          <w:color w:val="000000"/>
          <w:sz w:val="28"/>
          <w:highlight w:val="none"/>
        </w:rPr>
        <w:t>指事业单位开展专业业务活动及辅助活动所取得的收入。</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3、</w:t>
      </w:r>
      <w:r>
        <w:rPr>
          <w:rFonts w:hint="default" w:ascii="Times New Roman" w:hAnsi="Times New Roman" w:eastAsia="方正仿宋_GBK" w:cs="Times New Roman"/>
          <w:b/>
          <w:color w:val="000000"/>
          <w:sz w:val="28"/>
          <w:highlight w:val="none"/>
        </w:rPr>
        <w:t>其他收入：</w:t>
      </w:r>
      <w:r>
        <w:rPr>
          <w:rFonts w:hint="default" w:ascii="Times New Roman" w:hAnsi="Times New Roman" w:eastAsia="方正仿宋_GBK" w:cs="Times New Roman"/>
          <w:b w:val="0"/>
          <w:color w:val="000000"/>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4、</w:t>
      </w:r>
      <w:r>
        <w:rPr>
          <w:rFonts w:hint="default" w:ascii="Times New Roman" w:hAnsi="Times New Roman" w:eastAsia="方正仿宋_GBK" w:cs="Times New Roman"/>
          <w:b/>
          <w:color w:val="000000"/>
          <w:sz w:val="28"/>
          <w:highlight w:val="none"/>
        </w:rPr>
        <w:t>基本支出：</w:t>
      </w:r>
      <w:r>
        <w:rPr>
          <w:rFonts w:hint="default" w:ascii="Times New Roman" w:hAnsi="Times New Roman" w:eastAsia="方正仿宋_GBK" w:cs="Times New Roman"/>
          <w:b w:val="0"/>
          <w:color w:val="000000"/>
          <w:sz w:val="28"/>
          <w:highlight w:val="none"/>
        </w:rPr>
        <w:t>指为保障机构正常运转、完成日常工作任务而发生的人员支出和公用支出。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5、</w:t>
      </w:r>
      <w:r>
        <w:rPr>
          <w:rFonts w:hint="default" w:ascii="Times New Roman" w:hAnsi="Times New Roman" w:eastAsia="方正仿宋_GBK" w:cs="Times New Roman"/>
          <w:b/>
          <w:color w:val="000000"/>
          <w:sz w:val="28"/>
          <w:highlight w:val="none"/>
        </w:rPr>
        <w:t>项目支出：</w:t>
      </w:r>
      <w:r>
        <w:rPr>
          <w:rFonts w:hint="default" w:ascii="Times New Roman" w:hAnsi="Times New Roman" w:eastAsia="方正仿宋_GBK" w:cs="Times New Roman"/>
          <w:b w:val="0"/>
          <w:color w:val="000000"/>
          <w:sz w:val="28"/>
          <w:highlight w:val="none"/>
        </w:rPr>
        <w:t>指在基本支出之外为完成特定行政任务和事业发展目标所发生的支出。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6、</w:t>
      </w:r>
      <w:r>
        <w:rPr>
          <w:rFonts w:hint="default" w:ascii="Times New Roman" w:hAnsi="Times New Roman" w:eastAsia="方正仿宋_GBK" w:cs="Times New Roman"/>
          <w:b/>
          <w:color w:val="000000"/>
          <w:sz w:val="28"/>
          <w:highlight w:val="none"/>
        </w:rPr>
        <w:t>上缴上级支出：</w:t>
      </w:r>
      <w:r>
        <w:rPr>
          <w:rFonts w:hint="default" w:ascii="Times New Roman" w:hAnsi="Times New Roman" w:eastAsia="方正仿宋_GBK" w:cs="Times New Roman"/>
          <w:b w:val="0"/>
          <w:color w:val="000000"/>
          <w:sz w:val="28"/>
          <w:highlight w:val="none"/>
        </w:rPr>
        <w:t>指下级单位上缴上级的支出。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7、</w:t>
      </w:r>
      <w:r>
        <w:rPr>
          <w:rFonts w:hint="default" w:ascii="Times New Roman" w:hAnsi="Times New Roman" w:eastAsia="方正仿宋_GBK" w:cs="Times New Roman"/>
          <w:b/>
          <w:color w:val="000000"/>
          <w:sz w:val="28"/>
          <w:highlight w:val="none"/>
        </w:rPr>
        <w:t>“三公”经费：</w:t>
      </w:r>
      <w:r>
        <w:rPr>
          <w:rFonts w:hint="default" w:ascii="Times New Roman" w:hAnsi="Times New Roman" w:eastAsia="方正仿宋_GBK" w:cs="Times New Roman"/>
          <w:b w:val="0"/>
          <w:color w:val="000000"/>
          <w:sz w:val="28"/>
          <w:highlight w:val="none"/>
        </w:rPr>
        <w:t>纳入</w:t>
      </w:r>
      <w:r>
        <w:rPr>
          <w:rFonts w:hint="eastAsia" w:eastAsia="方正仿宋_GBK" w:cs="Times New Roman"/>
          <w:b w:val="0"/>
          <w:color w:val="000000"/>
          <w:sz w:val="28"/>
          <w:highlight w:val="none"/>
          <w:lang w:val="en-US" w:eastAsia="zh-CN"/>
        </w:rPr>
        <w:t>区</w:t>
      </w:r>
      <w:r>
        <w:rPr>
          <w:rFonts w:hint="default" w:ascii="Times New Roman" w:hAnsi="Times New Roman" w:eastAsia="方正仿宋_GBK" w:cs="Times New Roman"/>
          <w:b w:val="0"/>
          <w:color w:val="000000"/>
          <w:sz w:val="28"/>
          <w:highlight w:val="none"/>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8、</w:t>
      </w:r>
      <w:r>
        <w:rPr>
          <w:rFonts w:hint="default" w:ascii="Times New Roman" w:hAnsi="Times New Roman" w:eastAsia="方正仿宋_GBK" w:cs="Times New Roman"/>
          <w:b/>
          <w:color w:val="000000"/>
          <w:sz w:val="28"/>
          <w:highlight w:val="none"/>
        </w:rPr>
        <w:t>机关运行费：</w:t>
      </w:r>
      <w:r>
        <w:rPr>
          <w:rFonts w:hint="default" w:ascii="Times New Roman" w:hAnsi="Times New Roman" w:eastAsia="方正仿宋_GBK" w:cs="Times New Roman"/>
          <w:b w:val="0"/>
          <w:color w:val="000000"/>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9、</w:t>
      </w:r>
      <w:r>
        <w:rPr>
          <w:rFonts w:hint="default" w:ascii="Times New Roman" w:hAnsi="Times New Roman" w:eastAsia="方正仿宋_GBK" w:cs="Times New Roman"/>
          <w:b/>
          <w:color w:val="000000"/>
          <w:sz w:val="28"/>
          <w:highlight w:val="none"/>
        </w:rPr>
        <w:t>上年结转：</w:t>
      </w:r>
      <w:r>
        <w:rPr>
          <w:rFonts w:hint="default" w:ascii="Times New Roman" w:hAnsi="Times New Roman" w:eastAsia="方正仿宋_GBK" w:cs="Times New Roman"/>
          <w:b w:val="0"/>
          <w:color w:val="000000"/>
          <w:sz w:val="28"/>
          <w:highlight w:val="none"/>
        </w:rPr>
        <w:t>指以前年度尚未完成、结转到本年仍按原规定用途继续使用的资金。</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10、</w:t>
      </w:r>
      <w:r>
        <w:rPr>
          <w:rFonts w:hint="default" w:ascii="Times New Roman" w:hAnsi="Times New Roman" w:eastAsia="方正仿宋_GBK" w:cs="Times New Roman"/>
          <w:b/>
          <w:color w:val="000000"/>
          <w:sz w:val="28"/>
          <w:highlight w:val="none"/>
        </w:rPr>
        <w:t>事业单位经营支出：</w:t>
      </w:r>
      <w:r>
        <w:rPr>
          <w:rFonts w:hint="default" w:ascii="Times New Roman" w:hAnsi="Times New Roman" w:eastAsia="方正仿宋_GBK" w:cs="Times New Roman"/>
          <w:b w:val="0"/>
          <w:color w:val="000000"/>
          <w:sz w:val="28"/>
          <w:highlight w:val="none"/>
        </w:rPr>
        <w:t>指事业单位在专业业务活动及其辅助活动之外开展非独立核算经营活动发生的支出。</w:t>
      </w:r>
    </w:p>
    <w:p>
      <w:pPr>
        <w:spacing w:before="10" w:after="10" w:line="240" w:lineRule="auto"/>
        <w:ind w:firstLine="640"/>
        <w:jc w:val="left"/>
        <w:outlineLvl w:val="5"/>
        <w:rPr>
          <w:rFonts w:hint="default" w:ascii="Times New Roman" w:hAnsi="Times New Roman" w:cs="Times New Roman"/>
          <w:highlight w:val="none"/>
        </w:rPr>
      </w:pPr>
      <w:r>
        <w:rPr>
          <w:rFonts w:hint="default" w:ascii="Times New Roman" w:hAnsi="Times New Roman" w:eastAsia="黑体" w:cs="Times New Roman"/>
          <w:color w:val="000000"/>
          <w:sz w:val="32"/>
          <w:highlight w:val="none"/>
        </w:rPr>
        <w:t>九、其他需要说明的事项</w:t>
      </w:r>
    </w:p>
    <w:p>
      <w:pPr>
        <w:spacing w:before="0" w:after="0" w:line="500" w:lineRule="exact"/>
        <w:ind w:firstLine="560"/>
        <w:jc w:val="left"/>
        <w:outlineLvl w:val="9"/>
        <w:rPr>
          <w:rFonts w:hint="default" w:ascii="Times New Roman" w:hAnsi="Times New Roman" w:cs="Times New Roman"/>
          <w:highlight w:val="none"/>
        </w:rPr>
      </w:pPr>
      <w:r>
        <w:rPr>
          <w:rFonts w:hint="default" w:ascii="Times New Roman" w:hAnsi="Times New Roman" w:eastAsia="方正仿宋_GBK" w:cs="Times New Roman"/>
          <w:b w:val="0"/>
          <w:color w:val="000000"/>
          <w:sz w:val="28"/>
          <w:highlight w:val="none"/>
        </w:rPr>
        <w:t>我单位无其他需要说明的事项。</w:t>
      </w:r>
    </w:p>
    <w:p>
      <w:bookmarkStart w:id="1" w:name="_GoBack"/>
      <w:bookmarkEnd w:id="1"/>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D6F1"/>
    <w:multiLevelType w:val="singleLevel"/>
    <w:tmpl w:val="0CEBD6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37575"/>
    <w:rsid w:val="2EA3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spacing w:line="300" w:lineRule="auto"/>
      <w:ind w:firstLine="420" w:firstLineChars="200"/>
    </w:pPr>
  </w:style>
  <w:style w:type="paragraph" w:styleId="3">
    <w:name w:val="Body Text"/>
    <w:basedOn w:val="1"/>
    <w:next w:val="4"/>
    <w:qFormat/>
    <w:uiPriority w:val="0"/>
    <w:pPr>
      <w:spacing w:line="420" w:lineRule="exact"/>
    </w:pPr>
    <w:rPr>
      <w:sz w:val="24"/>
      <w:szCs w:val="20"/>
    </w:rPr>
  </w:style>
  <w:style w:type="paragraph" w:styleId="4">
    <w:name w:val="toc 2"/>
    <w:basedOn w:val="1"/>
    <w:next w:val="1"/>
    <w:qFormat/>
    <w:uiPriority w:val="0"/>
    <w:pPr>
      <w:ind w:left="240"/>
    </w:p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2023-03-16T06:10:00Z</dcterms:created>
  <dc:creator>XQZW</dc:creator>
  <cp:lastModifiedBy>XQZW</cp:lastModifiedBy>
  <dcterms:modified xsi:type="dcterms:W3CDTF">2023-03-16T06:11:40Z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