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default" w:ascii="Times New Roman" w:hAnsi="Times New Roman" w:cs="Times New Roman"/>
          <w:highlight w:val="none"/>
        </w:rPr>
      </w:pPr>
      <w:bookmarkStart w:id="0" w:name="_Toc_4_4_0000000020"/>
      <w:r>
        <w:rPr>
          <w:rFonts w:hint="default" w:ascii="Times New Roman" w:hAnsi="Times New Roman" w:eastAsia="方正小标宋_GBK" w:cs="Times New Roman"/>
          <w:b w:val="0"/>
          <w:color w:val="000000"/>
          <w:sz w:val="44"/>
          <w:highlight w:val="none"/>
        </w:rPr>
        <w:t>二、秦皇岛北戴河新区西河南医院收支预算</w:t>
      </w:r>
      <w:bookmarkEnd w:id="0"/>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7"/>
        <w:gridCol w:w="3184"/>
        <w:gridCol w:w="1800"/>
        <w:gridCol w:w="3129"/>
        <w:gridCol w:w="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716.27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779.74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35.46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815.20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815.20</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4"/>
        <w:gridCol w:w="1321"/>
        <w:gridCol w:w="2647"/>
        <w:gridCol w:w="794"/>
        <w:gridCol w:w="794"/>
        <w:gridCol w:w="1349"/>
        <w:gridCol w:w="1240"/>
        <w:gridCol w:w="870"/>
        <w:gridCol w:w="979"/>
        <w:gridCol w:w="1166"/>
        <w:gridCol w:w="1463"/>
        <w:gridCol w:w="870"/>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815.20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779.74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716.27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680.81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477.31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499.39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288.43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288.43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814"/>
        <w:gridCol w:w="1082"/>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815.20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642.80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172.40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716.27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543.87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172.40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499.39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354.99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144.40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354.99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136.94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94"/>
        <w:gridCol w:w="794"/>
        <w:gridCol w:w="3058"/>
        <w:gridCol w:w="794"/>
        <w:gridCol w:w="2140"/>
        <w:gridCol w:w="265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512.77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512.77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35.46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35.46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57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439.30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512.77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340.37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295.89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151.49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288.43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151.49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0" w:type="auto"/>
            <w:gridSpan w:val="3"/>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439.30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423.89</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383.76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383.76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51.36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51.36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9.02</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奖金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30.71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30.71</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40.49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40.49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25.85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25.85</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164.96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164.96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取暖费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培训费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30228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1.70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30229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福利费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40.13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40.13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退休费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36.44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36.44</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30309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奖励金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0.03</w:t>
            </w: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ascii="Times New Roman" w:hAnsi="Times New Roman" w:cs="Times New Roman"/>
                <w:highlight w:val="none"/>
              </w:rPr>
            </w:pPr>
          </w:p>
        </w:tc>
        <w:tc>
          <w:tcPr>
            <w:tcW w:w="1191" w:type="dxa"/>
            <w:vAlign w:val="center"/>
          </w:tcPr>
          <w:p>
            <w:pPr>
              <w:pStyle w:val="12"/>
              <w:rPr>
                <w:rFonts w:hint="default" w:ascii="Times New Roman" w:hAnsi="Times New Roman" w:cs="Times New Roman"/>
                <w:highlight w:val="none"/>
              </w:rPr>
            </w:pPr>
          </w:p>
        </w:tc>
        <w:tc>
          <w:tcPr>
            <w:tcW w:w="4535" w:type="dxa"/>
            <w:vAlign w:val="center"/>
          </w:tcPr>
          <w:p>
            <w:pPr>
              <w:pStyle w:val="12"/>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ascii="Times New Roman" w:hAnsi="Times New Roman" w:cs="Times New Roman"/>
                <w:highlight w:val="none"/>
              </w:rPr>
            </w:pPr>
          </w:p>
        </w:tc>
        <w:tc>
          <w:tcPr>
            <w:tcW w:w="1191" w:type="dxa"/>
            <w:vAlign w:val="center"/>
          </w:tcPr>
          <w:p>
            <w:pPr>
              <w:pStyle w:val="12"/>
              <w:rPr>
                <w:rFonts w:hint="default" w:ascii="Times New Roman" w:hAnsi="Times New Roman" w:cs="Times New Roman"/>
                <w:highlight w:val="none"/>
              </w:rPr>
            </w:pPr>
          </w:p>
        </w:tc>
        <w:tc>
          <w:tcPr>
            <w:tcW w:w="4535" w:type="dxa"/>
            <w:vAlign w:val="center"/>
          </w:tcPr>
          <w:p>
            <w:pPr>
              <w:pStyle w:val="12"/>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2381"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ascii="Times New Roman" w:hAnsi="Times New Roman" w:cs="Times New Roman"/>
                <w:highlight w:val="none"/>
              </w:rPr>
            </w:pPr>
          </w:p>
        </w:tc>
        <w:tc>
          <w:tcPr>
            <w:tcW w:w="3798" w:type="dxa"/>
            <w:vAlign w:val="center"/>
          </w:tcPr>
          <w:p>
            <w:pPr>
              <w:pStyle w:val="12"/>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jc w:val="center"/>
        <w:outlineLvl w:val="4"/>
        <w:rPr>
          <w:highlight w:val="none"/>
        </w:rPr>
      </w:pPr>
      <w:r>
        <w:rPr>
          <w:rFonts w:ascii="方正小标宋_GBK" w:hAnsi="方正小标宋_GBK" w:eastAsia="方正小标宋_GBK" w:cs="方正小标宋_GBK"/>
          <w:color w:val="000000"/>
          <w:sz w:val="44"/>
          <w:highlight w:val="none"/>
        </w:rPr>
        <w:t>秦皇岛北戴河新区西河南医院2023年单位预算信息公开情况说明</w:t>
      </w:r>
    </w:p>
    <w:p>
      <w:pPr>
        <w:spacing w:line="500" w:lineRule="exact"/>
        <w:ind w:firstLine="560"/>
        <w:rPr>
          <w:highlight w:val="none"/>
        </w:rPr>
      </w:pPr>
      <w:r>
        <w:rPr>
          <w:rFonts w:eastAsia="方正仿宋_GBK" w:cs="Times New Roman"/>
          <w:color w:val="000000"/>
          <w:sz w:val="28"/>
          <w:highlight w:val="none"/>
        </w:rPr>
        <w:t>按照《预算法》、《地方预决算公开操作规程》和《关于进一步推进预算公开工作的实施意见》规定，现将秦皇岛北戴河新区西河南医院2023年单位预算公开如下：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pStyle w:val="17"/>
        <w:rPr>
          <w:color w:val="000000"/>
          <w:highlight w:val="none"/>
        </w:rPr>
      </w:pPr>
      <w:r>
        <w:rPr>
          <w:rFonts w:ascii="方正楷体_GBK" w:hAnsi="方正楷体_GBK" w:eastAsia="方正楷体_GBK" w:cs="方正楷体_GBK"/>
          <w:b/>
          <w:color w:val="000000"/>
          <w:sz w:val="32"/>
          <w:highlight w:val="none"/>
        </w:rPr>
        <w:t>单位职责：</w:t>
      </w:r>
      <w:r>
        <w:rPr>
          <w:color w:val="000000"/>
          <w:highlight w:val="none"/>
        </w:rPr>
        <w:t>1</w:t>
      </w:r>
      <w:r>
        <w:rPr>
          <w:color w:val="000000"/>
          <w:highlight w:val="none"/>
          <w:lang w:eastAsia="zh-CN"/>
        </w:rPr>
        <w:t>.</w:t>
      </w:r>
      <w:r>
        <w:rPr>
          <w:color w:val="000000"/>
          <w:highlight w:val="none"/>
        </w:rPr>
        <w:t>负责本乡镇的卫生工作法律、法规、政策的贯彻，卫生事业发展规划和工作计划的制订，社会公共卫生工作的组织和实施；</w:t>
      </w:r>
    </w:p>
    <w:p>
      <w:pPr>
        <w:pStyle w:val="17"/>
        <w:rPr>
          <w:color w:val="000000"/>
          <w:highlight w:val="none"/>
        </w:rPr>
      </w:pPr>
      <w:r>
        <w:rPr>
          <w:color w:val="000000"/>
          <w:highlight w:val="none"/>
        </w:rPr>
        <w:t>2</w:t>
      </w:r>
      <w:r>
        <w:rPr>
          <w:color w:val="000000"/>
          <w:highlight w:val="none"/>
          <w:lang w:eastAsia="zh-CN"/>
        </w:rPr>
        <w:t>.</w:t>
      </w:r>
      <w:r>
        <w:rPr>
          <w:color w:val="000000"/>
          <w:highlight w:val="none"/>
        </w:rPr>
        <w:t>负责本乡镇的基本医疗服务；</w:t>
      </w:r>
    </w:p>
    <w:p>
      <w:pPr>
        <w:pStyle w:val="17"/>
        <w:rPr>
          <w:color w:val="000000"/>
          <w:highlight w:val="none"/>
        </w:rPr>
      </w:pPr>
      <w:r>
        <w:rPr>
          <w:color w:val="000000"/>
          <w:highlight w:val="none"/>
        </w:rPr>
        <w:t>3</w:t>
      </w:r>
      <w:r>
        <w:rPr>
          <w:color w:val="000000"/>
          <w:highlight w:val="none"/>
          <w:lang w:eastAsia="zh-CN"/>
        </w:rPr>
        <w:t>.</w:t>
      </w:r>
      <w:r>
        <w:rPr>
          <w:color w:val="000000"/>
          <w:highlight w:val="none"/>
        </w:rPr>
        <w:t>负责本乡镇突发公共卫生事件的报告，并依据上级部门要求组织实施处置；</w:t>
      </w:r>
    </w:p>
    <w:p>
      <w:pPr>
        <w:pStyle w:val="17"/>
        <w:rPr>
          <w:color w:val="000000"/>
          <w:highlight w:val="none"/>
        </w:rPr>
      </w:pPr>
      <w:r>
        <w:rPr>
          <w:color w:val="000000"/>
          <w:highlight w:val="none"/>
        </w:rPr>
        <w:t>4</w:t>
      </w:r>
      <w:r>
        <w:rPr>
          <w:color w:val="000000"/>
          <w:highlight w:val="none"/>
          <w:lang w:eastAsia="zh-CN"/>
        </w:rPr>
        <w:t>.</w:t>
      </w:r>
      <w:r>
        <w:rPr>
          <w:color w:val="000000"/>
          <w:highlight w:val="none"/>
        </w:rPr>
        <w:t>负责本乡镇辖区内的卫生信息统计、分析、上报；</w:t>
      </w:r>
    </w:p>
    <w:p>
      <w:pPr>
        <w:pStyle w:val="17"/>
        <w:rPr>
          <w:color w:val="000000"/>
          <w:highlight w:val="none"/>
        </w:rPr>
      </w:pPr>
      <w:r>
        <w:rPr>
          <w:color w:val="000000"/>
          <w:highlight w:val="none"/>
        </w:rPr>
        <w:t>5</w:t>
      </w:r>
      <w:r>
        <w:rPr>
          <w:color w:val="000000"/>
          <w:highlight w:val="none"/>
          <w:lang w:eastAsia="zh-CN"/>
        </w:rPr>
        <w:t>.</w:t>
      </w:r>
      <w:r>
        <w:rPr>
          <w:color w:val="000000"/>
          <w:highlight w:val="none"/>
        </w:rPr>
        <w:t>负责对本乡镇辖区内村级卫生组织和乡村医生的业务指导和培训。</w:t>
      </w:r>
    </w:p>
    <w:p>
      <w:pPr>
        <w:pStyle w:val="17"/>
        <w:rPr>
          <w:highlight w:val="none"/>
        </w:rPr>
      </w:pP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46"/>
        <w:gridCol w:w="1056"/>
        <w:gridCol w:w="105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0"/>
              <w:rPr>
                <w:highlight w:val="none"/>
              </w:rPr>
            </w:pPr>
            <w:r>
              <w:rPr>
                <w:highlight w:val="none"/>
              </w:rPr>
              <w:t>单位名称</w:t>
            </w:r>
          </w:p>
        </w:tc>
        <w:tc>
          <w:tcPr>
            <w:tcW w:w="0" w:type="auto"/>
            <w:vAlign w:val="center"/>
          </w:tcPr>
          <w:p>
            <w:pPr>
              <w:pStyle w:val="10"/>
              <w:rPr>
                <w:highlight w:val="none"/>
              </w:rPr>
            </w:pPr>
            <w:r>
              <w:rPr>
                <w:highlight w:val="none"/>
              </w:rPr>
              <w:t>单位性质</w:t>
            </w:r>
          </w:p>
        </w:tc>
        <w:tc>
          <w:tcPr>
            <w:tcW w:w="0" w:type="auto"/>
            <w:vAlign w:val="center"/>
          </w:tcPr>
          <w:p>
            <w:pPr>
              <w:pStyle w:val="10"/>
              <w:rPr>
                <w:highlight w:val="none"/>
              </w:rPr>
            </w:pPr>
            <w:r>
              <w:rPr>
                <w:highlight w:val="none"/>
              </w:rPr>
              <w:t>单位规格</w:t>
            </w:r>
          </w:p>
        </w:tc>
        <w:tc>
          <w:tcPr>
            <w:tcW w:w="0" w:type="auto"/>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highlight w:val="none"/>
              </w:rPr>
            </w:pPr>
            <w:r>
              <w:rPr>
                <w:highlight w:val="none"/>
              </w:rPr>
              <w:t>秦皇岛北戴河新区西河南医院</w:t>
            </w:r>
          </w:p>
        </w:tc>
        <w:tc>
          <w:tcPr>
            <w:tcW w:w="0" w:type="auto"/>
            <w:vAlign w:val="center"/>
          </w:tcPr>
          <w:p>
            <w:pPr>
              <w:pStyle w:val="11"/>
              <w:rPr>
                <w:highlight w:val="none"/>
              </w:rPr>
            </w:pPr>
            <w:r>
              <w:rPr>
                <w:highlight w:val="none"/>
              </w:rPr>
              <w:t>事业</w:t>
            </w:r>
          </w:p>
        </w:tc>
        <w:tc>
          <w:tcPr>
            <w:tcW w:w="0" w:type="auto"/>
            <w:vAlign w:val="center"/>
          </w:tcPr>
          <w:p>
            <w:pPr>
              <w:pStyle w:val="11"/>
              <w:rPr>
                <w:highlight w:val="none"/>
              </w:rPr>
            </w:pPr>
            <w:r>
              <w:rPr>
                <w:highlight w:val="none"/>
              </w:rPr>
              <w:t>股级</w:t>
            </w:r>
          </w:p>
        </w:tc>
        <w:tc>
          <w:tcPr>
            <w:tcW w:w="0" w:type="auto"/>
            <w:vAlign w:val="center"/>
          </w:tcPr>
          <w:p>
            <w:pPr>
              <w:pStyle w:val="11"/>
              <w:rPr>
                <w:highlight w:val="none"/>
              </w:rPr>
            </w:pPr>
            <w:r>
              <w:rPr>
                <w:highlight w:val="none"/>
              </w:rPr>
              <w:t>财政性资金定额或定项补助</w:t>
            </w:r>
          </w:p>
        </w:tc>
      </w:tr>
    </w:tbl>
    <w:p>
      <w:pPr>
        <w:spacing w:before="10" w:after="10"/>
        <w:ind w:firstLine="640"/>
        <w:outlineLvl w:val="5"/>
        <w:rPr>
          <w:highlight w:val="none"/>
        </w:rPr>
      </w:pPr>
      <w:r>
        <w:rPr>
          <w:rFonts w:ascii="黑体" w:hAnsi="黑体" w:eastAsia="黑体" w:cs="黑体"/>
          <w:color w:val="000000"/>
          <w:sz w:val="32"/>
          <w:highlight w:val="none"/>
        </w:rPr>
        <w:t>二、单位预算安排的总体情况</w:t>
      </w:r>
    </w:p>
    <w:p>
      <w:pPr>
        <w:pStyle w:val="18"/>
        <w:spacing w:line="560" w:lineRule="exact"/>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（一）收入说明</w:t>
      </w:r>
    </w:p>
    <w:p>
      <w:pPr>
        <w:pStyle w:val="18"/>
        <w:spacing w:line="560" w:lineRule="exact"/>
        <w:rPr>
          <w:rFonts w:eastAsia="方正仿宋简体"/>
          <w:sz w:val="32"/>
          <w:szCs w:val="32"/>
          <w:highlight w:val="none"/>
          <w:lang w:eastAsia="zh-CN"/>
        </w:rPr>
      </w:pPr>
      <w:r>
        <w:rPr>
          <w:rFonts w:eastAsia="方正仿宋简体"/>
          <w:sz w:val="32"/>
          <w:szCs w:val="32"/>
          <w:highlight w:val="none"/>
        </w:rPr>
        <w:t>202</w:t>
      </w:r>
      <w:r>
        <w:rPr>
          <w:rFonts w:hint="eastAsia" w:eastAsia="方正仿宋简体"/>
          <w:sz w:val="32"/>
          <w:szCs w:val="32"/>
          <w:highlight w:val="none"/>
          <w:lang w:eastAsia="zh-CN"/>
        </w:rPr>
        <w:t>3</w:t>
      </w:r>
      <w:r>
        <w:rPr>
          <w:rFonts w:eastAsia="方正仿宋简体"/>
          <w:sz w:val="32"/>
          <w:szCs w:val="32"/>
          <w:highlight w:val="none"/>
        </w:rPr>
        <w:t>年预算收入</w:t>
      </w:r>
      <w:r>
        <w:rPr>
          <w:rFonts w:hint="eastAsia" w:eastAsia="方正仿宋简体"/>
          <w:sz w:val="32"/>
          <w:szCs w:val="32"/>
          <w:highlight w:val="none"/>
          <w:lang w:eastAsia="zh-CN"/>
        </w:rPr>
        <w:t>815.2</w:t>
      </w:r>
      <w:r>
        <w:rPr>
          <w:rFonts w:eastAsia="方正仿宋简体"/>
          <w:sz w:val="32"/>
          <w:szCs w:val="32"/>
          <w:highlight w:val="none"/>
        </w:rPr>
        <w:t>万元，</w:t>
      </w:r>
      <w:r>
        <w:rPr>
          <w:rFonts w:hint="eastAsia" w:eastAsia="方正仿宋简体"/>
          <w:sz w:val="32"/>
          <w:szCs w:val="32"/>
          <w:highlight w:val="none"/>
          <w:lang w:eastAsia="zh-CN"/>
        </w:rPr>
        <w:t>其中</w:t>
      </w:r>
      <w:r>
        <w:rPr>
          <w:rFonts w:eastAsia="方正仿宋简体"/>
          <w:sz w:val="32"/>
          <w:szCs w:val="32"/>
          <w:highlight w:val="none"/>
        </w:rPr>
        <w:t>一般公共预算拨款</w:t>
      </w:r>
      <w:r>
        <w:rPr>
          <w:rFonts w:hint="eastAsia" w:eastAsia="方正仿宋简体"/>
          <w:sz w:val="32"/>
          <w:szCs w:val="32"/>
          <w:highlight w:val="none"/>
          <w:lang w:eastAsia="zh-CN"/>
        </w:rPr>
        <w:t>576.24</w:t>
      </w:r>
      <w:r>
        <w:rPr>
          <w:rFonts w:eastAsia="方正仿宋简体"/>
          <w:sz w:val="32"/>
          <w:szCs w:val="32"/>
          <w:highlight w:val="none"/>
        </w:rPr>
        <w:t>万元</w:t>
      </w:r>
      <w:r>
        <w:rPr>
          <w:rFonts w:hint="eastAsia" w:eastAsia="方正仿宋简体"/>
          <w:sz w:val="32"/>
          <w:szCs w:val="32"/>
          <w:highlight w:val="none"/>
          <w:lang w:eastAsia="zh-CN"/>
        </w:rPr>
        <w:t>。经营收入203.5万元。上年结转35.46万元。</w:t>
      </w:r>
    </w:p>
    <w:p>
      <w:pPr>
        <w:pStyle w:val="18"/>
        <w:spacing w:line="560" w:lineRule="exact"/>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（二）收支说明</w:t>
      </w:r>
    </w:p>
    <w:p>
      <w:pPr>
        <w:pStyle w:val="18"/>
        <w:spacing w:line="560" w:lineRule="exact"/>
        <w:rPr>
          <w:rFonts w:eastAsia="方正仿宋简体"/>
          <w:sz w:val="32"/>
          <w:szCs w:val="32"/>
          <w:highlight w:val="none"/>
        </w:rPr>
      </w:pPr>
      <w:r>
        <w:rPr>
          <w:rFonts w:eastAsia="方正仿宋简体"/>
          <w:sz w:val="32"/>
          <w:szCs w:val="32"/>
          <w:highlight w:val="none"/>
        </w:rPr>
        <w:t>202</w:t>
      </w:r>
      <w:r>
        <w:rPr>
          <w:rFonts w:hint="eastAsia" w:eastAsia="方正仿宋简体"/>
          <w:sz w:val="32"/>
          <w:szCs w:val="32"/>
          <w:highlight w:val="none"/>
          <w:lang w:eastAsia="zh-CN"/>
        </w:rPr>
        <w:t>3</w:t>
      </w:r>
      <w:r>
        <w:rPr>
          <w:rFonts w:eastAsia="方正仿宋简体"/>
          <w:sz w:val="32"/>
          <w:szCs w:val="32"/>
          <w:highlight w:val="none"/>
        </w:rPr>
        <w:t>年部门支出预算</w:t>
      </w:r>
      <w:r>
        <w:rPr>
          <w:rFonts w:hint="eastAsia" w:eastAsia="方正仿宋简体"/>
          <w:sz w:val="32"/>
          <w:szCs w:val="32"/>
          <w:highlight w:val="none"/>
          <w:lang w:eastAsia="zh-CN"/>
        </w:rPr>
        <w:t>815.20</w:t>
      </w:r>
      <w:r>
        <w:rPr>
          <w:rFonts w:eastAsia="方正仿宋简体"/>
          <w:sz w:val="32"/>
          <w:szCs w:val="32"/>
          <w:highlight w:val="none"/>
        </w:rPr>
        <w:t>万元，其中</w:t>
      </w:r>
      <w:r>
        <w:rPr>
          <w:rFonts w:hint="eastAsia" w:eastAsia="方正仿宋简体"/>
          <w:sz w:val="32"/>
          <w:szCs w:val="32"/>
          <w:highlight w:val="none"/>
          <w:lang w:eastAsia="zh-CN"/>
        </w:rPr>
        <w:t>财政拨款</w:t>
      </w:r>
      <w:r>
        <w:rPr>
          <w:rFonts w:eastAsia="方正仿宋简体"/>
          <w:sz w:val="32"/>
          <w:szCs w:val="32"/>
          <w:highlight w:val="none"/>
        </w:rPr>
        <w:t>支出</w:t>
      </w:r>
      <w:r>
        <w:rPr>
          <w:rFonts w:hint="eastAsia" w:eastAsia="方正仿宋简体"/>
          <w:sz w:val="32"/>
          <w:szCs w:val="32"/>
          <w:highlight w:val="none"/>
          <w:lang w:eastAsia="zh-CN"/>
        </w:rPr>
        <w:t>611.7</w:t>
      </w:r>
      <w:r>
        <w:rPr>
          <w:rFonts w:eastAsia="方正仿宋简体"/>
          <w:sz w:val="32"/>
          <w:szCs w:val="32"/>
          <w:highlight w:val="none"/>
        </w:rPr>
        <w:t>万元，包括人员经费</w:t>
      </w:r>
      <w:r>
        <w:rPr>
          <w:rFonts w:hint="eastAsia" w:eastAsia="方正仿宋简体"/>
          <w:sz w:val="32"/>
          <w:szCs w:val="32"/>
          <w:highlight w:val="none"/>
          <w:lang w:eastAsia="zh-CN"/>
        </w:rPr>
        <w:t>423.89</w:t>
      </w:r>
      <w:r>
        <w:rPr>
          <w:rFonts w:eastAsia="方正仿宋简体"/>
          <w:sz w:val="32"/>
          <w:szCs w:val="32"/>
          <w:highlight w:val="none"/>
        </w:rPr>
        <w:t>万元，日常公用经费</w:t>
      </w:r>
      <w:r>
        <w:rPr>
          <w:rFonts w:hint="eastAsia" w:eastAsia="方正仿宋简体"/>
          <w:sz w:val="32"/>
          <w:szCs w:val="32"/>
          <w:highlight w:val="none"/>
          <w:lang w:eastAsia="zh-CN"/>
        </w:rPr>
        <w:t>15.41</w:t>
      </w:r>
      <w:r>
        <w:rPr>
          <w:rFonts w:eastAsia="方正仿宋简体"/>
          <w:sz w:val="32"/>
          <w:szCs w:val="32"/>
          <w:highlight w:val="none"/>
        </w:rPr>
        <w:t>万元；</w:t>
      </w:r>
      <w:r>
        <w:rPr>
          <w:rFonts w:hint="eastAsia" w:eastAsia="方正仿宋简体"/>
          <w:sz w:val="32"/>
          <w:szCs w:val="32"/>
          <w:highlight w:val="none"/>
          <w:lang w:eastAsia="zh-CN"/>
        </w:rPr>
        <w:t>经营</w:t>
      </w:r>
      <w:r>
        <w:rPr>
          <w:rFonts w:eastAsia="方正仿宋简体"/>
          <w:sz w:val="32"/>
          <w:szCs w:val="32"/>
          <w:highlight w:val="none"/>
        </w:rPr>
        <w:t>支出</w:t>
      </w:r>
      <w:r>
        <w:rPr>
          <w:rFonts w:hint="eastAsia" w:eastAsia="方正仿宋简体"/>
          <w:sz w:val="32"/>
          <w:szCs w:val="32"/>
          <w:highlight w:val="none"/>
          <w:lang w:eastAsia="zh-CN"/>
        </w:rPr>
        <w:t>203.5</w:t>
      </w:r>
      <w:r>
        <w:rPr>
          <w:rFonts w:eastAsia="方正仿宋简体"/>
          <w:sz w:val="32"/>
          <w:szCs w:val="32"/>
          <w:highlight w:val="none"/>
        </w:rPr>
        <w:t>万元，主要用于单位日常运转公用经费，全部为本级支出。</w:t>
      </w:r>
    </w:p>
    <w:p>
      <w:pPr>
        <w:pStyle w:val="18"/>
        <w:spacing w:line="560" w:lineRule="exact"/>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（三）比上年增减情况</w:t>
      </w:r>
    </w:p>
    <w:p>
      <w:pPr>
        <w:pStyle w:val="18"/>
        <w:spacing w:line="560" w:lineRule="exact"/>
        <w:rPr>
          <w:rFonts w:ascii="方正仿宋简体" w:hAnsi="方正仿宋简体" w:eastAsia="方正仿宋简体" w:cs="方正仿宋简体"/>
          <w:color w:val="000000"/>
          <w:sz w:val="32"/>
          <w:szCs w:val="32"/>
          <w:highlight w:val="none"/>
        </w:rPr>
      </w:pPr>
      <w:r>
        <w:rPr>
          <w:rFonts w:eastAsia="方正仿宋简体"/>
          <w:sz w:val="32"/>
          <w:szCs w:val="32"/>
          <w:highlight w:val="none"/>
        </w:rPr>
        <w:t>202</w:t>
      </w:r>
      <w:r>
        <w:rPr>
          <w:rFonts w:hint="eastAsia" w:eastAsia="方正仿宋简体"/>
          <w:sz w:val="32"/>
          <w:szCs w:val="32"/>
          <w:highlight w:val="none"/>
          <w:lang w:eastAsia="zh-CN"/>
        </w:rPr>
        <w:t>3</w:t>
      </w:r>
      <w:r>
        <w:rPr>
          <w:rFonts w:eastAsia="方正仿宋简体"/>
          <w:sz w:val="32"/>
          <w:szCs w:val="32"/>
          <w:highlight w:val="none"/>
        </w:rPr>
        <w:t>年单位预算较202</w:t>
      </w:r>
      <w:r>
        <w:rPr>
          <w:rFonts w:hint="eastAsia" w:eastAsia="方正仿宋简体"/>
          <w:sz w:val="32"/>
          <w:szCs w:val="32"/>
          <w:highlight w:val="none"/>
          <w:lang w:eastAsia="zh-CN"/>
        </w:rPr>
        <w:t>2</w:t>
      </w:r>
      <w:r>
        <w:rPr>
          <w:rFonts w:eastAsia="方正仿宋简体"/>
          <w:sz w:val="32"/>
          <w:szCs w:val="32"/>
          <w:highlight w:val="none"/>
        </w:rPr>
        <w:t>年增加</w:t>
      </w:r>
      <w:r>
        <w:rPr>
          <w:rFonts w:hint="eastAsia" w:eastAsia="方正仿宋简体"/>
          <w:sz w:val="32"/>
          <w:szCs w:val="32"/>
          <w:highlight w:val="none"/>
          <w:lang w:eastAsia="zh-CN"/>
        </w:rPr>
        <w:t>178.42</w:t>
      </w:r>
      <w:r>
        <w:rPr>
          <w:rFonts w:eastAsia="方正仿宋简体"/>
          <w:sz w:val="32"/>
          <w:szCs w:val="32"/>
          <w:highlight w:val="none"/>
        </w:rPr>
        <w:t>万元，其中基本支出增加</w:t>
      </w:r>
      <w:r>
        <w:rPr>
          <w:rFonts w:hint="eastAsia" w:eastAsia="方正仿宋简体"/>
          <w:sz w:val="32"/>
          <w:szCs w:val="32"/>
          <w:highlight w:val="none"/>
          <w:lang w:eastAsia="zh-CN"/>
        </w:rPr>
        <w:t>167.9</w:t>
      </w:r>
      <w:r>
        <w:rPr>
          <w:rFonts w:eastAsia="方正仿宋简体"/>
          <w:sz w:val="32"/>
          <w:szCs w:val="32"/>
          <w:highlight w:val="none"/>
        </w:rPr>
        <w:t>万元，主要是在编在职人员及人事代理人员经费增加，本年度药品购置经费加入了年初预算。</w:t>
      </w:r>
    </w:p>
    <w:p>
      <w:pPr>
        <w:pStyle w:val="19"/>
        <w:rPr>
          <w:highlight w:val="none"/>
        </w:rPr>
      </w:pPr>
    </w:p>
    <w:p>
      <w:pPr>
        <w:numPr>
          <w:ilvl w:val="0"/>
          <w:numId w:val="1"/>
        </w:numPr>
        <w:spacing w:before="10" w:after="10"/>
        <w:ind w:firstLine="640"/>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pStyle w:val="2"/>
        <w:spacing w:line="560" w:lineRule="exact"/>
        <w:ind w:firstLine="640"/>
        <w:rPr>
          <w:rFonts w:eastAsia="宋体"/>
          <w:highlight w:val="none"/>
          <w:lang w:eastAsia="zh-CN"/>
        </w:rPr>
      </w:pPr>
      <w:r>
        <w:rPr>
          <w:rFonts w:eastAsia="方正仿宋简体" w:cs="Times New Roman"/>
          <w:sz w:val="32"/>
          <w:szCs w:val="32"/>
          <w:highlight w:val="none"/>
        </w:rPr>
        <w:t>本年度年初预算安排日常公用经费</w:t>
      </w:r>
      <w:r>
        <w:rPr>
          <w:rFonts w:hint="eastAsia" w:eastAsia="方正仿宋简体" w:cs="Times New Roman"/>
          <w:sz w:val="32"/>
          <w:szCs w:val="32"/>
          <w:highlight w:val="none"/>
          <w:lang w:eastAsia="zh-CN"/>
        </w:rPr>
        <w:t>15.41</w:t>
      </w:r>
      <w:r>
        <w:rPr>
          <w:rFonts w:eastAsia="方正仿宋简体" w:cs="Times New Roman"/>
          <w:sz w:val="32"/>
          <w:szCs w:val="32"/>
          <w:highlight w:val="none"/>
        </w:rPr>
        <w:t>万元，主要用于单位正常运转的办公取暖费、培训费、工会经费、福利费等支出</w:t>
      </w:r>
      <w:r>
        <w:rPr>
          <w:rFonts w:eastAsia="方正仿宋简体" w:cs="Times New Roman"/>
          <w:sz w:val="32"/>
          <w:szCs w:val="32"/>
          <w:highlight w:val="none"/>
          <w:lang w:eastAsia="zh-CN"/>
        </w:rPr>
        <w:t>。</w:t>
      </w:r>
    </w:p>
    <w:p>
      <w:pPr>
        <w:spacing w:before="10" w:after="10"/>
        <w:outlineLvl w:val="5"/>
        <w:rPr>
          <w:highlight w:val="none"/>
        </w:rPr>
      </w:pPr>
      <w:r>
        <w:rPr>
          <w:rFonts w:ascii="黑体" w:hAnsi="黑体" w:eastAsia="黑体" w:cs="黑体"/>
          <w:color w:val="000000"/>
          <w:sz w:val="32"/>
          <w:highlight w:val="none"/>
        </w:rPr>
        <w:t>四、财政拨款“三公”经费预算情况及增减变化原因</w:t>
      </w:r>
    </w:p>
    <w:p>
      <w:pPr>
        <w:pStyle w:val="20"/>
        <w:spacing w:line="560" w:lineRule="exact"/>
        <w:rPr>
          <w:rFonts w:eastAsia="方正仿宋简体"/>
          <w:sz w:val="32"/>
          <w:szCs w:val="32"/>
          <w:highlight w:val="none"/>
        </w:rPr>
      </w:pPr>
      <w:r>
        <w:rPr>
          <w:rFonts w:eastAsia="方正仿宋简体"/>
          <w:sz w:val="32"/>
          <w:szCs w:val="32"/>
          <w:highlight w:val="none"/>
        </w:rPr>
        <w:t>本单位年初预算安排“三公”经费共计安排</w:t>
      </w:r>
      <w:r>
        <w:rPr>
          <w:rFonts w:hint="eastAsia" w:eastAsia="方正仿宋简体"/>
          <w:sz w:val="32"/>
          <w:szCs w:val="32"/>
          <w:highlight w:val="none"/>
          <w:lang w:val="en-US" w:eastAsia="zh-CN"/>
        </w:rPr>
        <w:t>0.00</w:t>
      </w:r>
      <w:r>
        <w:rPr>
          <w:rFonts w:eastAsia="方正仿宋简体"/>
          <w:sz w:val="32"/>
          <w:szCs w:val="32"/>
          <w:highlight w:val="none"/>
        </w:rPr>
        <w:t>万元</w:t>
      </w:r>
      <w:r>
        <w:rPr>
          <w:rFonts w:hint="eastAsia" w:eastAsia="方正仿宋简体"/>
          <w:sz w:val="32"/>
          <w:szCs w:val="32"/>
          <w:highlight w:val="none"/>
          <w:lang w:eastAsia="zh-CN"/>
        </w:rPr>
        <w:t>，</w:t>
      </w:r>
      <w:r>
        <w:rPr>
          <w:rFonts w:eastAsia="方正仿宋简体"/>
          <w:sz w:val="32"/>
          <w:szCs w:val="32"/>
          <w:highlight w:val="none"/>
        </w:rPr>
        <w:t>较202</w:t>
      </w:r>
      <w:r>
        <w:rPr>
          <w:rFonts w:hint="eastAsia" w:eastAsia="方正仿宋简体"/>
          <w:sz w:val="32"/>
          <w:szCs w:val="32"/>
          <w:highlight w:val="none"/>
          <w:lang w:eastAsia="zh-CN"/>
        </w:rPr>
        <w:t>2</w:t>
      </w:r>
      <w:r>
        <w:rPr>
          <w:rFonts w:eastAsia="方正仿宋简体"/>
          <w:sz w:val="32"/>
          <w:szCs w:val="32"/>
          <w:highlight w:val="none"/>
        </w:rPr>
        <w:t>年</w:t>
      </w:r>
      <w:r>
        <w:rPr>
          <w:rFonts w:hint="eastAsia" w:eastAsia="方正仿宋简体"/>
          <w:sz w:val="32"/>
          <w:szCs w:val="32"/>
          <w:highlight w:val="none"/>
          <w:lang w:val="en-US" w:eastAsia="zh-CN"/>
        </w:rPr>
        <w:t>持平</w:t>
      </w:r>
      <w:r>
        <w:rPr>
          <w:rFonts w:eastAsia="方正仿宋简体"/>
          <w:sz w:val="32"/>
          <w:szCs w:val="32"/>
          <w:highlight w:val="none"/>
        </w:rPr>
        <w:t>。</w:t>
      </w:r>
    </w:p>
    <w:p>
      <w:pPr>
        <w:spacing w:before="10" w:after="10"/>
        <w:outlineLvl w:val="5"/>
        <w:rPr>
          <w:rFonts w:ascii="方正仿宋_GBK" w:hAnsi="方正仿宋_GBK" w:eastAsia="方正仿宋_GBK" w:cs="方正仿宋_GBK"/>
          <w:b/>
          <w:color w:val="000000"/>
          <w:sz w:val="28"/>
          <w:highlight w:val="none"/>
        </w:rPr>
      </w:pPr>
      <w:r>
        <w:rPr>
          <w:rFonts w:hint="eastAsia" w:ascii="黑体" w:hAnsi="黑体" w:eastAsia="黑体" w:cs="黑体"/>
          <w:color w:val="000000"/>
          <w:sz w:val="32"/>
          <w:highlight w:val="none"/>
          <w:lang w:eastAsia="zh-CN"/>
        </w:rPr>
        <w:t xml:space="preserve">五、 </w:t>
      </w:r>
      <w:r>
        <w:rPr>
          <w:rFonts w:ascii="黑体" w:hAnsi="黑体" w:eastAsia="黑体" w:cs="黑体"/>
          <w:color w:val="000000"/>
          <w:sz w:val="32"/>
          <w:highlight w:val="none"/>
        </w:rPr>
        <w:t>预算绩效信息</w:t>
      </w:r>
    </w:p>
    <w:p>
      <w:pPr>
        <w:rPr>
          <w:highlight w:val="none"/>
        </w:rPr>
      </w:pPr>
      <w:r>
        <w:rPr>
          <w:rFonts w:ascii="方正仿宋_GBK" w:hAnsi="方正仿宋_GBK" w:eastAsia="方正仿宋_GBK" w:cs="方正仿宋_GBK"/>
          <w:b/>
          <w:color w:val="000000"/>
          <w:sz w:val="28"/>
          <w:highlight w:val="none"/>
        </w:rPr>
        <w:t>1、人事代理人员经费绩效目标表</w:t>
      </w:r>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96"/>
        <w:gridCol w:w="86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18" w:type="pct"/>
            <w:tcBorders>
              <w:bottom w:val="single" w:color="FFFFFF" w:sz="6" w:space="0"/>
            </w:tcBorders>
            <w:vAlign w:val="center"/>
          </w:tcPr>
          <w:p>
            <w:pPr>
              <w:pStyle w:val="10"/>
              <w:rPr>
                <w:highlight w:val="none"/>
              </w:rPr>
            </w:pPr>
            <w:r>
              <w:rPr>
                <w:highlight w:val="none"/>
              </w:rPr>
              <w:t>绩效目标</w:t>
            </w:r>
          </w:p>
        </w:tc>
        <w:tc>
          <w:tcPr>
            <w:tcW w:w="4481" w:type="pct"/>
            <w:tcBorders>
              <w:bottom w:val="single" w:color="FFFFFF" w:sz="6" w:space="0"/>
            </w:tcBorders>
            <w:vAlign w:val="center"/>
          </w:tcPr>
          <w:p>
            <w:pPr>
              <w:pStyle w:val="12"/>
              <w:rPr>
                <w:highlight w:val="none"/>
              </w:rPr>
            </w:pPr>
            <w:r>
              <w:rPr>
                <w:highlight w:val="none"/>
              </w:rPr>
              <w:t>6.发放人员工资</w:t>
            </w:r>
          </w:p>
          <w:p>
            <w:pPr>
              <w:pStyle w:val="12"/>
              <w:rPr>
                <w:highlight w:val="none"/>
              </w:rPr>
            </w:pPr>
            <w:r>
              <w:rPr>
                <w:highlight w:val="none"/>
              </w:rPr>
              <w:t>7.缴纳各项社会保障缴费</w:t>
            </w:r>
          </w:p>
          <w:p>
            <w:pPr>
              <w:pStyle w:val="12"/>
              <w:rPr>
                <w:highlight w:val="none"/>
              </w:rPr>
            </w:pPr>
            <w:r>
              <w:rPr>
                <w:highlight w:val="none"/>
              </w:rPr>
              <w:t>8.发放人员各项补贴</w:t>
            </w:r>
          </w:p>
        </w:tc>
      </w:tr>
    </w:tbl>
    <w:p>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593"/>
        <w:gridCol w:w="1738"/>
        <w:gridCol w:w="2467"/>
        <w:gridCol w:w="1367"/>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highlight w:val="none"/>
              </w:rPr>
            </w:pPr>
            <w:r>
              <w:rPr>
                <w:highlight w:val="none"/>
              </w:rPr>
              <w:t>一级指标</w:t>
            </w:r>
          </w:p>
        </w:tc>
        <w:tc>
          <w:tcPr>
            <w:tcW w:w="0" w:type="auto"/>
            <w:vAlign w:val="center"/>
          </w:tcPr>
          <w:p>
            <w:pPr>
              <w:pStyle w:val="10"/>
              <w:rPr>
                <w:highlight w:val="none"/>
              </w:rPr>
            </w:pPr>
            <w:r>
              <w:rPr>
                <w:highlight w:val="none"/>
              </w:rPr>
              <w:t>二级指标</w:t>
            </w:r>
          </w:p>
        </w:tc>
        <w:tc>
          <w:tcPr>
            <w:tcW w:w="0" w:type="auto"/>
            <w:vAlign w:val="center"/>
          </w:tcPr>
          <w:p>
            <w:pPr>
              <w:pStyle w:val="10"/>
              <w:rPr>
                <w:highlight w:val="none"/>
              </w:rPr>
            </w:pPr>
            <w:r>
              <w:rPr>
                <w:highlight w:val="none"/>
              </w:rPr>
              <w:t>三级指标</w:t>
            </w:r>
          </w:p>
        </w:tc>
        <w:tc>
          <w:tcPr>
            <w:tcW w:w="0" w:type="auto"/>
            <w:vAlign w:val="center"/>
          </w:tcPr>
          <w:p>
            <w:pPr>
              <w:pStyle w:val="10"/>
              <w:rPr>
                <w:highlight w:val="none"/>
              </w:rPr>
            </w:pPr>
            <w:r>
              <w:rPr>
                <w:highlight w:val="none"/>
              </w:rPr>
              <w:t>绩效指标描述</w:t>
            </w:r>
          </w:p>
        </w:tc>
        <w:tc>
          <w:tcPr>
            <w:tcW w:w="0" w:type="auto"/>
            <w:vAlign w:val="center"/>
          </w:tcPr>
          <w:p>
            <w:pPr>
              <w:pStyle w:val="10"/>
              <w:rPr>
                <w:highlight w:val="none"/>
              </w:rPr>
            </w:pPr>
            <w:r>
              <w:rPr>
                <w:highlight w:val="none"/>
              </w:rPr>
              <w:t>指标值</w:t>
            </w:r>
          </w:p>
        </w:tc>
        <w:tc>
          <w:tcPr>
            <w:tcW w:w="0" w:type="auto"/>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产出指标</w:t>
            </w:r>
          </w:p>
        </w:tc>
        <w:tc>
          <w:tcPr>
            <w:tcW w:w="0" w:type="auto"/>
            <w:vAlign w:val="center"/>
          </w:tcPr>
          <w:p>
            <w:pPr>
              <w:pStyle w:val="12"/>
              <w:rPr>
                <w:highlight w:val="none"/>
              </w:rPr>
            </w:pPr>
            <w:r>
              <w:rPr>
                <w:highlight w:val="none"/>
              </w:rPr>
              <w:t>数量指标</w:t>
            </w:r>
          </w:p>
        </w:tc>
        <w:tc>
          <w:tcPr>
            <w:tcW w:w="0" w:type="auto"/>
            <w:vAlign w:val="center"/>
          </w:tcPr>
          <w:p>
            <w:pPr>
              <w:pStyle w:val="12"/>
              <w:rPr>
                <w:highlight w:val="none"/>
              </w:rPr>
            </w:pPr>
            <w:r>
              <w:rPr>
                <w:highlight w:val="none"/>
              </w:rPr>
              <w:t>保障人数</w:t>
            </w:r>
          </w:p>
        </w:tc>
        <w:tc>
          <w:tcPr>
            <w:tcW w:w="0" w:type="auto"/>
            <w:vAlign w:val="center"/>
          </w:tcPr>
          <w:p>
            <w:pPr>
              <w:pStyle w:val="12"/>
              <w:rPr>
                <w:highlight w:val="none"/>
              </w:rPr>
            </w:pPr>
            <w:r>
              <w:rPr>
                <w:highlight w:val="none"/>
              </w:rPr>
              <w:t>保障人员经费人数</w:t>
            </w:r>
          </w:p>
        </w:tc>
        <w:tc>
          <w:tcPr>
            <w:tcW w:w="0" w:type="auto"/>
            <w:vAlign w:val="center"/>
          </w:tcPr>
          <w:p>
            <w:pPr>
              <w:pStyle w:val="12"/>
              <w:rPr>
                <w:highlight w:val="none"/>
              </w:rPr>
            </w:pPr>
            <w:r>
              <w:rPr>
                <w:highlight w:val="none"/>
              </w:rPr>
              <w:t>10人</w:t>
            </w:r>
          </w:p>
        </w:tc>
        <w:tc>
          <w:tcPr>
            <w:tcW w:w="0" w:type="auto"/>
            <w:vAlign w:val="center"/>
          </w:tcPr>
          <w:p>
            <w:pPr>
              <w:pStyle w:val="12"/>
              <w:rPr>
                <w:highlight w:val="none"/>
              </w:rPr>
            </w:pPr>
            <w:r>
              <w:rPr>
                <w:highlight w:val="none"/>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质量指标</w:t>
            </w:r>
          </w:p>
        </w:tc>
        <w:tc>
          <w:tcPr>
            <w:tcW w:w="0" w:type="auto"/>
            <w:vAlign w:val="center"/>
          </w:tcPr>
          <w:p>
            <w:pPr>
              <w:pStyle w:val="12"/>
              <w:rPr>
                <w:highlight w:val="none"/>
              </w:rPr>
            </w:pPr>
            <w:r>
              <w:rPr>
                <w:highlight w:val="none"/>
              </w:rPr>
              <w:t>资金到位率</w:t>
            </w:r>
          </w:p>
        </w:tc>
        <w:tc>
          <w:tcPr>
            <w:tcW w:w="0" w:type="auto"/>
            <w:vAlign w:val="center"/>
          </w:tcPr>
          <w:p>
            <w:pPr>
              <w:pStyle w:val="12"/>
              <w:rPr>
                <w:highlight w:val="none"/>
              </w:rPr>
            </w:pPr>
            <w:r>
              <w:rPr>
                <w:highlight w:val="none"/>
              </w:rPr>
              <w:t>人员经费发放到位率</w:t>
            </w:r>
          </w:p>
        </w:tc>
        <w:tc>
          <w:tcPr>
            <w:tcW w:w="0" w:type="auto"/>
            <w:vAlign w:val="center"/>
          </w:tcPr>
          <w:p>
            <w:pPr>
              <w:pStyle w:val="12"/>
              <w:rPr>
                <w:highlight w:val="none"/>
              </w:rPr>
            </w:pPr>
            <w:r>
              <w:rPr>
                <w:highlight w:val="none"/>
              </w:rPr>
              <w:t>100%</w:t>
            </w:r>
          </w:p>
        </w:tc>
        <w:tc>
          <w:tcPr>
            <w:tcW w:w="0" w:type="auto"/>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时效指标</w:t>
            </w:r>
          </w:p>
        </w:tc>
        <w:tc>
          <w:tcPr>
            <w:tcW w:w="0" w:type="auto"/>
            <w:vAlign w:val="center"/>
          </w:tcPr>
          <w:p>
            <w:pPr>
              <w:pStyle w:val="12"/>
              <w:rPr>
                <w:highlight w:val="none"/>
              </w:rPr>
            </w:pPr>
            <w:r>
              <w:rPr>
                <w:highlight w:val="none"/>
              </w:rPr>
              <w:t>资金支付及时性</w:t>
            </w:r>
          </w:p>
        </w:tc>
        <w:tc>
          <w:tcPr>
            <w:tcW w:w="0" w:type="auto"/>
            <w:vAlign w:val="center"/>
          </w:tcPr>
          <w:p>
            <w:pPr>
              <w:pStyle w:val="12"/>
              <w:rPr>
                <w:highlight w:val="none"/>
              </w:rPr>
            </w:pPr>
            <w:r>
              <w:rPr>
                <w:highlight w:val="none"/>
              </w:rPr>
              <w:t>人事代理人员经费支付的及时程度</w:t>
            </w:r>
          </w:p>
        </w:tc>
        <w:tc>
          <w:tcPr>
            <w:tcW w:w="0" w:type="auto"/>
            <w:vAlign w:val="center"/>
          </w:tcPr>
          <w:p>
            <w:pPr>
              <w:pStyle w:val="12"/>
              <w:rPr>
                <w:highlight w:val="none"/>
              </w:rPr>
            </w:pPr>
            <w:r>
              <w:rPr>
                <w:highlight w:val="none"/>
              </w:rPr>
              <w:t>100%</w:t>
            </w:r>
          </w:p>
        </w:tc>
        <w:tc>
          <w:tcPr>
            <w:tcW w:w="0" w:type="auto"/>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成本指标</w:t>
            </w:r>
          </w:p>
        </w:tc>
        <w:tc>
          <w:tcPr>
            <w:tcW w:w="0" w:type="auto"/>
            <w:vAlign w:val="center"/>
          </w:tcPr>
          <w:p>
            <w:pPr>
              <w:pStyle w:val="12"/>
              <w:rPr>
                <w:highlight w:val="none"/>
              </w:rPr>
            </w:pPr>
            <w:r>
              <w:rPr>
                <w:highlight w:val="none"/>
              </w:rPr>
              <w:t>长聘人员经费总额</w:t>
            </w:r>
          </w:p>
        </w:tc>
        <w:tc>
          <w:tcPr>
            <w:tcW w:w="0" w:type="auto"/>
            <w:vAlign w:val="center"/>
          </w:tcPr>
          <w:p>
            <w:pPr>
              <w:pStyle w:val="12"/>
              <w:rPr>
                <w:highlight w:val="none"/>
              </w:rPr>
            </w:pPr>
            <w:r>
              <w:rPr>
                <w:highlight w:val="none"/>
              </w:rPr>
              <w:t>长聘人员经费支出总额</w:t>
            </w:r>
          </w:p>
        </w:tc>
        <w:tc>
          <w:tcPr>
            <w:tcW w:w="0" w:type="auto"/>
            <w:vAlign w:val="center"/>
          </w:tcPr>
          <w:p>
            <w:pPr>
              <w:pStyle w:val="12"/>
              <w:rPr>
                <w:highlight w:val="none"/>
              </w:rPr>
            </w:pPr>
            <w:r>
              <w:rPr>
                <w:highlight w:val="none"/>
              </w:rPr>
              <w:t>≥136.94万元</w:t>
            </w:r>
          </w:p>
        </w:tc>
        <w:tc>
          <w:tcPr>
            <w:tcW w:w="0" w:type="auto"/>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效益指标</w:t>
            </w:r>
          </w:p>
        </w:tc>
        <w:tc>
          <w:tcPr>
            <w:tcW w:w="0" w:type="auto"/>
            <w:vAlign w:val="center"/>
          </w:tcPr>
          <w:p>
            <w:pPr>
              <w:pStyle w:val="12"/>
              <w:rPr>
                <w:highlight w:val="none"/>
              </w:rPr>
            </w:pPr>
            <w:r>
              <w:rPr>
                <w:highlight w:val="none"/>
              </w:rPr>
              <w:t>经济效益指标</w:t>
            </w:r>
          </w:p>
        </w:tc>
        <w:tc>
          <w:tcPr>
            <w:tcW w:w="0" w:type="auto"/>
            <w:vAlign w:val="center"/>
          </w:tcPr>
          <w:p>
            <w:pPr>
              <w:pStyle w:val="12"/>
              <w:rPr>
                <w:highlight w:val="none"/>
              </w:rPr>
            </w:pPr>
            <w:r>
              <w:rPr>
                <w:highlight w:val="none"/>
              </w:rPr>
              <w:t>医技人员临床技术水平</w:t>
            </w:r>
          </w:p>
        </w:tc>
        <w:tc>
          <w:tcPr>
            <w:tcW w:w="0" w:type="auto"/>
            <w:vAlign w:val="center"/>
          </w:tcPr>
          <w:p>
            <w:pPr>
              <w:pStyle w:val="12"/>
              <w:rPr>
                <w:highlight w:val="none"/>
              </w:rPr>
            </w:pPr>
            <w:r>
              <w:rPr>
                <w:highlight w:val="none"/>
              </w:rPr>
              <w:t>促进医技人员临床技术水平提升</w:t>
            </w:r>
          </w:p>
        </w:tc>
        <w:tc>
          <w:tcPr>
            <w:tcW w:w="0" w:type="auto"/>
            <w:vAlign w:val="center"/>
          </w:tcPr>
          <w:p>
            <w:pPr>
              <w:pStyle w:val="12"/>
              <w:rPr>
                <w:highlight w:val="none"/>
              </w:rPr>
            </w:pPr>
            <w:r>
              <w:rPr>
                <w:highlight w:val="none"/>
              </w:rPr>
              <w:t>明显提升</w:t>
            </w:r>
          </w:p>
        </w:tc>
        <w:tc>
          <w:tcPr>
            <w:tcW w:w="0" w:type="auto"/>
            <w:vAlign w:val="center"/>
          </w:tcPr>
          <w:p>
            <w:pPr>
              <w:pStyle w:val="12"/>
              <w:rPr>
                <w:highlight w:val="none"/>
              </w:rPr>
            </w:pPr>
            <w:r>
              <w:rPr>
                <w:highlight w:val="none"/>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社会效益指标</w:t>
            </w:r>
          </w:p>
        </w:tc>
        <w:tc>
          <w:tcPr>
            <w:tcW w:w="0" w:type="auto"/>
            <w:vAlign w:val="center"/>
          </w:tcPr>
          <w:p>
            <w:pPr>
              <w:pStyle w:val="12"/>
              <w:rPr>
                <w:highlight w:val="none"/>
              </w:rPr>
            </w:pPr>
            <w:r>
              <w:rPr>
                <w:highlight w:val="none"/>
              </w:rPr>
              <w:t>受益人口数</w:t>
            </w:r>
          </w:p>
        </w:tc>
        <w:tc>
          <w:tcPr>
            <w:tcW w:w="0" w:type="auto"/>
            <w:vAlign w:val="center"/>
          </w:tcPr>
          <w:p>
            <w:pPr>
              <w:pStyle w:val="12"/>
              <w:rPr>
                <w:highlight w:val="none"/>
              </w:rPr>
            </w:pPr>
            <w:r>
              <w:rPr>
                <w:highlight w:val="none"/>
              </w:rPr>
              <w:t>医院医技水平提升后受益群众人数</w:t>
            </w:r>
          </w:p>
        </w:tc>
        <w:tc>
          <w:tcPr>
            <w:tcW w:w="0" w:type="auto"/>
            <w:vAlign w:val="center"/>
          </w:tcPr>
          <w:p>
            <w:pPr>
              <w:pStyle w:val="12"/>
              <w:rPr>
                <w:highlight w:val="none"/>
              </w:rPr>
            </w:pPr>
            <w:r>
              <w:rPr>
                <w:highlight w:val="none"/>
              </w:rPr>
              <w:t>≥1.7万人</w:t>
            </w:r>
          </w:p>
        </w:tc>
        <w:tc>
          <w:tcPr>
            <w:tcW w:w="0" w:type="auto"/>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可持续影响指标</w:t>
            </w:r>
          </w:p>
        </w:tc>
        <w:tc>
          <w:tcPr>
            <w:tcW w:w="0" w:type="auto"/>
            <w:vAlign w:val="center"/>
          </w:tcPr>
          <w:p>
            <w:pPr>
              <w:pStyle w:val="12"/>
              <w:rPr>
                <w:highlight w:val="none"/>
              </w:rPr>
            </w:pPr>
            <w:r>
              <w:rPr>
                <w:highlight w:val="none"/>
              </w:rPr>
              <w:t>均衡发展程度</w:t>
            </w:r>
          </w:p>
        </w:tc>
        <w:tc>
          <w:tcPr>
            <w:tcW w:w="0" w:type="auto"/>
            <w:vAlign w:val="center"/>
          </w:tcPr>
          <w:p>
            <w:pPr>
              <w:pStyle w:val="12"/>
              <w:rPr>
                <w:highlight w:val="none"/>
              </w:rPr>
            </w:pPr>
            <w:r>
              <w:rPr>
                <w:highlight w:val="none"/>
              </w:rPr>
              <w:t>促进人事代理人员队伍稳定发展</w:t>
            </w:r>
          </w:p>
        </w:tc>
        <w:tc>
          <w:tcPr>
            <w:tcW w:w="0" w:type="auto"/>
            <w:vAlign w:val="center"/>
          </w:tcPr>
          <w:p>
            <w:pPr>
              <w:pStyle w:val="12"/>
              <w:rPr>
                <w:highlight w:val="none"/>
              </w:rPr>
            </w:pPr>
            <w:r>
              <w:rPr>
                <w:highlight w:val="none"/>
              </w:rPr>
              <w:t>稳步提升</w:t>
            </w:r>
          </w:p>
        </w:tc>
        <w:tc>
          <w:tcPr>
            <w:tcW w:w="0" w:type="auto"/>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highlight w:val="none"/>
              </w:rPr>
            </w:pPr>
            <w:r>
              <w:rPr>
                <w:highlight w:val="none"/>
              </w:rPr>
              <w:t>满意度指标</w:t>
            </w:r>
          </w:p>
        </w:tc>
        <w:tc>
          <w:tcPr>
            <w:tcW w:w="0" w:type="auto"/>
            <w:vAlign w:val="center"/>
          </w:tcPr>
          <w:p>
            <w:pPr>
              <w:pStyle w:val="12"/>
              <w:rPr>
                <w:highlight w:val="none"/>
              </w:rPr>
            </w:pPr>
            <w:r>
              <w:rPr>
                <w:highlight w:val="none"/>
              </w:rPr>
              <w:t>服务对象满意度指标</w:t>
            </w:r>
          </w:p>
        </w:tc>
        <w:tc>
          <w:tcPr>
            <w:tcW w:w="0" w:type="auto"/>
            <w:vAlign w:val="center"/>
          </w:tcPr>
          <w:p>
            <w:pPr>
              <w:pStyle w:val="12"/>
              <w:rPr>
                <w:highlight w:val="none"/>
              </w:rPr>
            </w:pPr>
            <w:r>
              <w:rPr>
                <w:highlight w:val="none"/>
              </w:rPr>
              <w:t>服务对象满意度指标</w:t>
            </w:r>
          </w:p>
        </w:tc>
        <w:tc>
          <w:tcPr>
            <w:tcW w:w="0" w:type="auto"/>
            <w:vAlign w:val="center"/>
          </w:tcPr>
          <w:p>
            <w:pPr>
              <w:pStyle w:val="12"/>
              <w:rPr>
                <w:highlight w:val="none"/>
              </w:rPr>
            </w:pPr>
            <w:r>
              <w:rPr>
                <w:highlight w:val="none"/>
              </w:rPr>
              <w:t>群众满意数量占总数的比例</w:t>
            </w:r>
          </w:p>
        </w:tc>
        <w:tc>
          <w:tcPr>
            <w:tcW w:w="0" w:type="auto"/>
            <w:vAlign w:val="center"/>
          </w:tcPr>
          <w:p>
            <w:pPr>
              <w:pStyle w:val="12"/>
              <w:rPr>
                <w:highlight w:val="none"/>
              </w:rPr>
            </w:pPr>
            <w:r>
              <w:rPr>
                <w:highlight w:val="none"/>
              </w:rPr>
              <w:t>≥95%</w:t>
            </w:r>
          </w:p>
        </w:tc>
        <w:tc>
          <w:tcPr>
            <w:tcW w:w="0" w:type="auto"/>
            <w:vAlign w:val="center"/>
          </w:tcPr>
          <w:p>
            <w:pPr>
              <w:pStyle w:val="12"/>
              <w:rPr>
                <w:highlight w:val="none"/>
              </w:rPr>
            </w:pPr>
            <w:r>
              <w:rPr>
                <w:highlight w:val="none"/>
              </w:rPr>
              <w:t>社会调查</w:t>
            </w:r>
          </w:p>
        </w:tc>
      </w:tr>
    </w:tbl>
    <w:p>
      <w:pPr>
        <w:rPr>
          <w:highlight w:val="none"/>
        </w:rPr>
        <w:sectPr>
          <w:pgSz w:w="11900" w:h="16840"/>
          <w:pgMar w:top="1020" w:right="1134" w:bottom="1020" w:left="1361"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2、2022年村卫生室中央基本药物制度补助资金绩效目标表</w:t>
      </w:r>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3"/>
        <w:gridCol w:w="88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381" w:type="pct"/>
            <w:tcBorders>
              <w:bottom w:val="single" w:color="FFFFFF" w:sz="6" w:space="0"/>
            </w:tcBorders>
            <w:vAlign w:val="center"/>
          </w:tcPr>
          <w:p>
            <w:pPr>
              <w:pStyle w:val="10"/>
              <w:rPr>
                <w:highlight w:val="none"/>
              </w:rPr>
            </w:pPr>
            <w:r>
              <w:rPr>
                <w:highlight w:val="none"/>
              </w:rPr>
              <w:t>绩效目标</w:t>
            </w:r>
          </w:p>
        </w:tc>
        <w:tc>
          <w:tcPr>
            <w:tcW w:w="4618" w:type="pct"/>
            <w:tcBorders>
              <w:bottom w:val="single" w:color="FFFFFF" w:sz="6" w:space="0"/>
            </w:tcBorders>
            <w:vAlign w:val="center"/>
          </w:tcPr>
          <w:p>
            <w:pPr>
              <w:pStyle w:val="12"/>
              <w:rPr>
                <w:highlight w:val="none"/>
              </w:rPr>
            </w:pPr>
            <w:r>
              <w:rPr>
                <w:highlight w:val="none"/>
              </w:rPr>
              <w:t>1.改善村医救治环境，提高村卫生室服务能力</w:t>
            </w:r>
          </w:p>
          <w:p>
            <w:pPr>
              <w:pStyle w:val="12"/>
              <w:rPr>
                <w:highlight w:val="none"/>
              </w:rPr>
            </w:pPr>
            <w:r>
              <w:rPr>
                <w:highlight w:val="none"/>
              </w:rPr>
              <w:t xml:space="preserve">2.维持村卫生室日常工作的正常运行  </w:t>
            </w:r>
          </w:p>
          <w:p>
            <w:pPr>
              <w:pStyle w:val="12"/>
              <w:rPr>
                <w:highlight w:val="none"/>
              </w:rPr>
            </w:pPr>
            <w:r>
              <w:rPr>
                <w:highlight w:val="none"/>
              </w:rPr>
              <w:t>3.增加村卫生室一体化村医收入</w:t>
            </w:r>
          </w:p>
        </w:tc>
      </w:tr>
    </w:tbl>
    <w:p>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1"/>
        <w:gridCol w:w="936"/>
        <w:gridCol w:w="1466"/>
        <w:gridCol w:w="4656"/>
        <w:gridCol w:w="1073"/>
        <w:gridCol w:w="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highlight w:val="none"/>
              </w:rPr>
            </w:pPr>
            <w:r>
              <w:rPr>
                <w:highlight w:val="none"/>
              </w:rPr>
              <w:t>一级指标</w:t>
            </w:r>
          </w:p>
        </w:tc>
        <w:tc>
          <w:tcPr>
            <w:tcW w:w="0" w:type="auto"/>
            <w:vAlign w:val="center"/>
          </w:tcPr>
          <w:p>
            <w:pPr>
              <w:pStyle w:val="10"/>
              <w:rPr>
                <w:highlight w:val="none"/>
              </w:rPr>
            </w:pPr>
            <w:r>
              <w:rPr>
                <w:highlight w:val="none"/>
              </w:rPr>
              <w:t>二级指标</w:t>
            </w:r>
          </w:p>
        </w:tc>
        <w:tc>
          <w:tcPr>
            <w:tcW w:w="0" w:type="auto"/>
            <w:vAlign w:val="center"/>
          </w:tcPr>
          <w:p>
            <w:pPr>
              <w:pStyle w:val="10"/>
              <w:rPr>
                <w:highlight w:val="none"/>
              </w:rPr>
            </w:pPr>
            <w:r>
              <w:rPr>
                <w:highlight w:val="none"/>
              </w:rPr>
              <w:t>三级指标</w:t>
            </w:r>
          </w:p>
        </w:tc>
        <w:tc>
          <w:tcPr>
            <w:tcW w:w="0" w:type="auto"/>
            <w:vAlign w:val="center"/>
          </w:tcPr>
          <w:p>
            <w:pPr>
              <w:pStyle w:val="10"/>
              <w:rPr>
                <w:highlight w:val="none"/>
              </w:rPr>
            </w:pPr>
            <w:r>
              <w:rPr>
                <w:highlight w:val="none"/>
              </w:rPr>
              <w:t>绩效指标描述</w:t>
            </w:r>
          </w:p>
        </w:tc>
        <w:tc>
          <w:tcPr>
            <w:tcW w:w="0" w:type="auto"/>
            <w:vAlign w:val="center"/>
          </w:tcPr>
          <w:p>
            <w:pPr>
              <w:pStyle w:val="10"/>
              <w:rPr>
                <w:highlight w:val="none"/>
              </w:rPr>
            </w:pPr>
            <w:r>
              <w:rPr>
                <w:highlight w:val="none"/>
              </w:rPr>
              <w:t>指标值</w:t>
            </w:r>
          </w:p>
        </w:tc>
        <w:tc>
          <w:tcPr>
            <w:tcW w:w="0" w:type="auto"/>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产出指标</w:t>
            </w:r>
          </w:p>
        </w:tc>
        <w:tc>
          <w:tcPr>
            <w:tcW w:w="0" w:type="auto"/>
            <w:vAlign w:val="center"/>
          </w:tcPr>
          <w:p>
            <w:pPr>
              <w:pStyle w:val="12"/>
              <w:rPr>
                <w:highlight w:val="none"/>
              </w:rPr>
            </w:pPr>
            <w:r>
              <w:rPr>
                <w:highlight w:val="none"/>
              </w:rPr>
              <w:t>数量指标</w:t>
            </w:r>
          </w:p>
        </w:tc>
        <w:tc>
          <w:tcPr>
            <w:tcW w:w="0" w:type="auto"/>
            <w:vAlign w:val="center"/>
          </w:tcPr>
          <w:p>
            <w:pPr>
              <w:pStyle w:val="12"/>
              <w:rPr>
                <w:highlight w:val="none"/>
              </w:rPr>
            </w:pPr>
            <w:r>
              <w:rPr>
                <w:highlight w:val="none"/>
              </w:rPr>
              <w:t>村卫生室实施国家机构基本药物制</w:t>
            </w:r>
          </w:p>
        </w:tc>
        <w:tc>
          <w:tcPr>
            <w:tcW w:w="0" w:type="auto"/>
            <w:vAlign w:val="center"/>
          </w:tcPr>
          <w:p>
            <w:pPr>
              <w:pStyle w:val="12"/>
              <w:rPr>
                <w:highlight w:val="none"/>
              </w:rPr>
            </w:pPr>
            <w:r>
              <w:rPr>
                <w:highlight w:val="none"/>
              </w:rPr>
              <w:t>村卫生室实施国家机构基本药物制度覆盖率</w:t>
            </w:r>
          </w:p>
        </w:tc>
        <w:tc>
          <w:tcPr>
            <w:tcW w:w="0" w:type="auto"/>
            <w:vAlign w:val="center"/>
          </w:tcPr>
          <w:p>
            <w:pPr>
              <w:pStyle w:val="12"/>
              <w:rPr>
                <w:highlight w:val="none"/>
              </w:rPr>
            </w:pPr>
            <w:r>
              <w:rPr>
                <w:highlight w:val="none"/>
              </w:rPr>
              <w:t>100%</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质量指标</w:t>
            </w:r>
          </w:p>
        </w:tc>
        <w:tc>
          <w:tcPr>
            <w:tcW w:w="0" w:type="auto"/>
            <w:vAlign w:val="center"/>
          </w:tcPr>
          <w:p>
            <w:pPr>
              <w:pStyle w:val="12"/>
              <w:rPr>
                <w:highlight w:val="none"/>
              </w:rPr>
            </w:pPr>
            <w:r>
              <w:rPr>
                <w:highlight w:val="none"/>
              </w:rPr>
              <w:t>项目验收通过率</w:t>
            </w:r>
          </w:p>
        </w:tc>
        <w:tc>
          <w:tcPr>
            <w:tcW w:w="0" w:type="auto"/>
            <w:vAlign w:val="center"/>
          </w:tcPr>
          <w:p>
            <w:pPr>
              <w:pStyle w:val="12"/>
              <w:rPr>
                <w:highlight w:val="none"/>
              </w:rPr>
            </w:pPr>
            <w:r>
              <w:rPr>
                <w:highlight w:val="none"/>
              </w:rPr>
              <w:t>项目验收通过率</w:t>
            </w:r>
          </w:p>
        </w:tc>
        <w:tc>
          <w:tcPr>
            <w:tcW w:w="0" w:type="auto"/>
            <w:vAlign w:val="center"/>
          </w:tcPr>
          <w:p>
            <w:pPr>
              <w:pStyle w:val="12"/>
              <w:rPr>
                <w:highlight w:val="none"/>
              </w:rPr>
            </w:pPr>
            <w:r>
              <w:rPr>
                <w:highlight w:val="none"/>
              </w:rPr>
              <w:t>100%</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时效指标</w:t>
            </w:r>
          </w:p>
        </w:tc>
        <w:tc>
          <w:tcPr>
            <w:tcW w:w="0" w:type="auto"/>
            <w:vAlign w:val="center"/>
          </w:tcPr>
          <w:p>
            <w:pPr>
              <w:pStyle w:val="12"/>
              <w:rPr>
                <w:highlight w:val="none"/>
              </w:rPr>
            </w:pPr>
            <w:r>
              <w:rPr>
                <w:highlight w:val="none"/>
              </w:rPr>
              <w:t>完成工作时间</w:t>
            </w:r>
          </w:p>
        </w:tc>
        <w:tc>
          <w:tcPr>
            <w:tcW w:w="0" w:type="auto"/>
            <w:vAlign w:val="center"/>
          </w:tcPr>
          <w:p>
            <w:pPr>
              <w:pStyle w:val="12"/>
              <w:rPr>
                <w:highlight w:val="none"/>
              </w:rPr>
            </w:pPr>
            <w:r>
              <w:rPr>
                <w:highlight w:val="none"/>
              </w:rPr>
              <w:t>完成工作时间</w:t>
            </w:r>
          </w:p>
        </w:tc>
        <w:tc>
          <w:tcPr>
            <w:tcW w:w="0" w:type="auto"/>
            <w:vAlign w:val="center"/>
          </w:tcPr>
          <w:p>
            <w:pPr>
              <w:pStyle w:val="12"/>
              <w:rPr>
                <w:highlight w:val="none"/>
              </w:rPr>
            </w:pPr>
            <w:r>
              <w:rPr>
                <w:highlight w:val="none"/>
              </w:rPr>
              <w:t>按要求进度完成</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效益指标</w:t>
            </w:r>
          </w:p>
        </w:tc>
        <w:tc>
          <w:tcPr>
            <w:tcW w:w="0" w:type="auto"/>
            <w:vAlign w:val="center"/>
          </w:tcPr>
          <w:p>
            <w:pPr>
              <w:pStyle w:val="12"/>
              <w:rPr>
                <w:highlight w:val="none"/>
              </w:rPr>
            </w:pPr>
            <w:r>
              <w:rPr>
                <w:highlight w:val="none"/>
              </w:rPr>
              <w:t>经济效益指标</w:t>
            </w:r>
          </w:p>
        </w:tc>
        <w:tc>
          <w:tcPr>
            <w:tcW w:w="0" w:type="auto"/>
            <w:vAlign w:val="center"/>
          </w:tcPr>
          <w:p>
            <w:pPr>
              <w:pStyle w:val="12"/>
              <w:rPr>
                <w:highlight w:val="none"/>
              </w:rPr>
            </w:pPr>
            <w:r>
              <w:rPr>
                <w:highlight w:val="none"/>
              </w:rPr>
              <w:t>对社会经济发展的影响</w:t>
            </w:r>
          </w:p>
        </w:tc>
        <w:tc>
          <w:tcPr>
            <w:tcW w:w="0" w:type="auto"/>
            <w:vAlign w:val="center"/>
          </w:tcPr>
          <w:p>
            <w:pPr>
              <w:pStyle w:val="12"/>
              <w:rPr>
                <w:highlight w:val="none"/>
              </w:rPr>
            </w:pPr>
            <w:r>
              <w:rPr>
                <w:highlight w:val="none"/>
              </w:rPr>
              <w:t>对社会经济发展的影响</w:t>
            </w:r>
          </w:p>
        </w:tc>
        <w:tc>
          <w:tcPr>
            <w:tcW w:w="0" w:type="auto"/>
            <w:vAlign w:val="center"/>
          </w:tcPr>
          <w:p>
            <w:pPr>
              <w:pStyle w:val="12"/>
              <w:rPr>
                <w:highlight w:val="none"/>
              </w:rPr>
            </w:pPr>
            <w:r>
              <w:rPr>
                <w:highlight w:val="none"/>
              </w:rPr>
              <w:t>越来越好</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社会效益指标</w:t>
            </w:r>
          </w:p>
        </w:tc>
        <w:tc>
          <w:tcPr>
            <w:tcW w:w="0" w:type="auto"/>
            <w:vAlign w:val="center"/>
          </w:tcPr>
          <w:p>
            <w:pPr>
              <w:pStyle w:val="12"/>
              <w:rPr>
                <w:highlight w:val="none"/>
              </w:rPr>
            </w:pPr>
            <w:r>
              <w:rPr>
                <w:highlight w:val="none"/>
              </w:rPr>
              <w:t>社会影响力</w:t>
            </w:r>
          </w:p>
        </w:tc>
        <w:tc>
          <w:tcPr>
            <w:tcW w:w="0" w:type="auto"/>
            <w:vAlign w:val="center"/>
          </w:tcPr>
          <w:p>
            <w:pPr>
              <w:pStyle w:val="12"/>
              <w:rPr>
                <w:highlight w:val="none"/>
              </w:rPr>
            </w:pPr>
            <w:r>
              <w:rPr>
                <w:highlight w:val="none"/>
              </w:rPr>
              <w:t>社会影响力</w:t>
            </w:r>
          </w:p>
        </w:tc>
        <w:tc>
          <w:tcPr>
            <w:tcW w:w="0" w:type="auto"/>
            <w:vAlign w:val="center"/>
          </w:tcPr>
          <w:p>
            <w:pPr>
              <w:pStyle w:val="12"/>
              <w:rPr>
                <w:highlight w:val="none"/>
              </w:rPr>
            </w:pPr>
            <w:r>
              <w:rPr>
                <w:highlight w:val="none"/>
              </w:rPr>
              <w:t>较好</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可持续影响指标</w:t>
            </w:r>
          </w:p>
        </w:tc>
        <w:tc>
          <w:tcPr>
            <w:tcW w:w="0" w:type="auto"/>
            <w:vAlign w:val="center"/>
          </w:tcPr>
          <w:p>
            <w:pPr>
              <w:pStyle w:val="12"/>
              <w:rPr>
                <w:highlight w:val="none"/>
              </w:rPr>
            </w:pPr>
            <w:r>
              <w:rPr>
                <w:highlight w:val="none"/>
              </w:rPr>
              <w:t>社会影响力</w:t>
            </w:r>
          </w:p>
        </w:tc>
        <w:tc>
          <w:tcPr>
            <w:tcW w:w="0" w:type="auto"/>
            <w:vAlign w:val="center"/>
          </w:tcPr>
          <w:p>
            <w:pPr>
              <w:pStyle w:val="12"/>
              <w:rPr>
                <w:highlight w:val="none"/>
              </w:rPr>
            </w:pPr>
            <w:r>
              <w:rPr>
                <w:highlight w:val="none"/>
              </w:rPr>
              <w:t>反映方案编制后的影响力，是否提高了统计数据真实性；是否使得地区生产总值核算更加科学；是否加强了部、省、市三级运输量测算方法有效衔接</w:t>
            </w:r>
          </w:p>
        </w:tc>
        <w:tc>
          <w:tcPr>
            <w:tcW w:w="0" w:type="auto"/>
            <w:vAlign w:val="center"/>
          </w:tcPr>
          <w:p>
            <w:pPr>
              <w:pStyle w:val="12"/>
              <w:rPr>
                <w:highlight w:val="none"/>
              </w:rPr>
            </w:pPr>
            <w:r>
              <w:rPr>
                <w:highlight w:val="none"/>
              </w:rPr>
              <w:t>可持续性</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highlight w:val="none"/>
              </w:rPr>
            </w:pPr>
            <w:r>
              <w:rPr>
                <w:highlight w:val="none"/>
              </w:rPr>
              <w:t>满意度指标</w:t>
            </w:r>
          </w:p>
        </w:tc>
        <w:tc>
          <w:tcPr>
            <w:tcW w:w="0" w:type="auto"/>
            <w:vAlign w:val="center"/>
          </w:tcPr>
          <w:p>
            <w:pPr>
              <w:pStyle w:val="12"/>
              <w:rPr>
                <w:highlight w:val="none"/>
              </w:rPr>
            </w:pPr>
            <w:r>
              <w:rPr>
                <w:highlight w:val="none"/>
              </w:rPr>
              <w:t>服务对象满意度指标</w:t>
            </w:r>
          </w:p>
        </w:tc>
        <w:tc>
          <w:tcPr>
            <w:tcW w:w="0" w:type="auto"/>
            <w:vAlign w:val="center"/>
          </w:tcPr>
          <w:p>
            <w:pPr>
              <w:pStyle w:val="12"/>
              <w:rPr>
                <w:highlight w:val="none"/>
              </w:rPr>
            </w:pPr>
            <w:r>
              <w:rPr>
                <w:highlight w:val="none"/>
              </w:rPr>
              <w:t>通过问卷调查，满意和较满意的对</w:t>
            </w:r>
          </w:p>
        </w:tc>
        <w:tc>
          <w:tcPr>
            <w:tcW w:w="0" w:type="auto"/>
            <w:vAlign w:val="center"/>
          </w:tcPr>
          <w:p>
            <w:pPr>
              <w:pStyle w:val="12"/>
              <w:rPr>
                <w:highlight w:val="none"/>
              </w:rPr>
            </w:pPr>
            <w:r>
              <w:rPr>
                <w:highlight w:val="none"/>
              </w:rPr>
              <w:t>通过问卷调查，满意和较满意的对象占所有调查对象的比例</w:t>
            </w:r>
          </w:p>
        </w:tc>
        <w:tc>
          <w:tcPr>
            <w:tcW w:w="0" w:type="auto"/>
            <w:vAlign w:val="center"/>
          </w:tcPr>
          <w:p>
            <w:pPr>
              <w:pStyle w:val="12"/>
              <w:rPr>
                <w:highlight w:val="none"/>
              </w:rPr>
            </w:pPr>
            <w:r>
              <w:rPr>
                <w:highlight w:val="none"/>
              </w:rPr>
              <w:t>≥95%</w:t>
            </w:r>
          </w:p>
        </w:tc>
        <w:tc>
          <w:tcPr>
            <w:tcW w:w="0" w:type="auto"/>
            <w:vAlign w:val="center"/>
          </w:tcPr>
          <w:p>
            <w:pPr>
              <w:pStyle w:val="12"/>
              <w:rPr>
                <w:highlight w:val="none"/>
              </w:rPr>
            </w:pPr>
            <w:r>
              <w:rPr>
                <w:highlight w:val="none"/>
              </w:rPr>
              <w:t>问卷调查</w:t>
            </w:r>
          </w:p>
        </w:tc>
      </w:tr>
    </w:tbl>
    <w:p>
      <w:pPr>
        <w:rPr>
          <w:highlight w:val="none"/>
        </w:rPr>
        <w:sectPr>
          <w:pgSz w:w="11900" w:h="16840"/>
          <w:pgMar w:top="1020" w:right="1134" w:bottom="1020" w:left="1361"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3、2022年基本公共卫生服务补助区级资金绩效目标表</w:t>
      </w:r>
    </w:p>
    <w:tbl>
      <w:tblPr>
        <w:tblStyle w:val="5"/>
        <w:tblW w:w="4996"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11"/>
        <w:gridCol w:w="880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22" w:type="pct"/>
            <w:tcBorders>
              <w:bottom w:val="single" w:color="FFFFFF" w:sz="6" w:space="0"/>
            </w:tcBorders>
            <w:vAlign w:val="center"/>
          </w:tcPr>
          <w:p>
            <w:pPr>
              <w:pStyle w:val="10"/>
              <w:rPr>
                <w:highlight w:val="none"/>
              </w:rPr>
            </w:pPr>
            <w:r>
              <w:rPr>
                <w:highlight w:val="none"/>
              </w:rPr>
              <w:t>绩效目标</w:t>
            </w:r>
          </w:p>
        </w:tc>
        <w:tc>
          <w:tcPr>
            <w:tcW w:w="4577" w:type="pct"/>
            <w:tcBorders>
              <w:bottom w:val="single" w:color="FFFFFF" w:sz="6" w:space="0"/>
            </w:tcBorders>
            <w:vAlign w:val="center"/>
          </w:tcPr>
          <w:p>
            <w:pPr>
              <w:pStyle w:val="12"/>
              <w:rPr>
                <w:highlight w:val="none"/>
              </w:rPr>
            </w:pPr>
            <w:r>
              <w:rPr>
                <w:highlight w:val="none"/>
              </w:rPr>
              <w:t xml:space="preserve">1.提高基本公共卫生服务水平，缩短城乡居民差距   </w:t>
            </w:r>
          </w:p>
          <w:p>
            <w:pPr>
              <w:pStyle w:val="12"/>
              <w:rPr>
                <w:highlight w:val="none"/>
              </w:rPr>
            </w:pPr>
            <w:r>
              <w:rPr>
                <w:highlight w:val="none"/>
              </w:rPr>
              <w:t>2.提高服务水平，突出重点，预防和控制重大疾病</w:t>
            </w:r>
          </w:p>
          <w:p>
            <w:pPr>
              <w:pStyle w:val="12"/>
              <w:rPr>
                <w:highlight w:val="none"/>
              </w:rPr>
            </w:pPr>
            <w:r>
              <w:rPr>
                <w:highlight w:val="none"/>
              </w:rPr>
              <w:t>3.对我辖区内1.7574万人口服务的居民健康问题实施干预措施，预防和控制主要慢性病及传染病</w:t>
            </w:r>
          </w:p>
        </w:tc>
      </w:tr>
    </w:tbl>
    <w:p>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0"/>
        <w:gridCol w:w="1195"/>
        <w:gridCol w:w="1693"/>
        <w:gridCol w:w="3712"/>
        <w:gridCol w:w="1208"/>
        <w:gridCol w:w="1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pPr>
              <w:pStyle w:val="10"/>
              <w:rPr>
                <w:highlight w:val="none"/>
              </w:rPr>
            </w:pPr>
            <w:r>
              <w:rPr>
                <w:highlight w:val="none"/>
              </w:rPr>
              <w:t>一级指标</w:t>
            </w:r>
          </w:p>
        </w:tc>
        <w:tc>
          <w:tcPr>
            <w:tcW w:w="0" w:type="auto"/>
            <w:vAlign w:val="center"/>
          </w:tcPr>
          <w:p>
            <w:pPr>
              <w:pStyle w:val="10"/>
              <w:rPr>
                <w:highlight w:val="none"/>
              </w:rPr>
            </w:pPr>
            <w:r>
              <w:rPr>
                <w:highlight w:val="none"/>
              </w:rPr>
              <w:t>二级指标</w:t>
            </w:r>
          </w:p>
        </w:tc>
        <w:tc>
          <w:tcPr>
            <w:tcW w:w="0" w:type="auto"/>
            <w:vAlign w:val="center"/>
          </w:tcPr>
          <w:p>
            <w:pPr>
              <w:pStyle w:val="10"/>
              <w:rPr>
                <w:highlight w:val="none"/>
              </w:rPr>
            </w:pPr>
            <w:r>
              <w:rPr>
                <w:highlight w:val="none"/>
              </w:rPr>
              <w:t>三级指标</w:t>
            </w:r>
          </w:p>
        </w:tc>
        <w:tc>
          <w:tcPr>
            <w:tcW w:w="0" w:type="auto"/>
            <w:vAlign w:val="center"/>
          </w:tcPr>
          <w:p>
            <w:pPr>
              <w:pStyle w:val="10"/>
              <w:rPr>
                <w:highlight w:val="none"/>
              </w:rPr>
            </w:pPr>
            <w:r>
              <w:rPr>
                <w:highlight w:val="none"/>
              </w:rPr>
              <w:t>绩效指标描述</w:t>
            </w:r>
          </w:p>
        </w:tc>
        <w:tc>
          <w:tcPr>
            <w:tcW w:w="0" w:type="auto"/>
            <w:vAlign w:val="center"/>
          </w:tcPr>
          <w:p>
            <w:pPr>
              <w:pStyle w:val="10"/>
              <w:rPr>
                <w:highlight w:val="none"/>
              </w:rPr>
            </w:pPr>
            <w:r>
              <w:rPr>
                <w:highlight w:val="none"/>
              </w:rPr>
              <w:t>指标值</w:t>
            </w:r>
          </w:p>
        </w:tc>
        <w:tc>
          <w:tcPr>
            <w:tcW w:w="0" w:type="auto"/>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产出指标</w:t>
            </w:r>
          </w:p>
        </w:tc>
        <w:tc>
          <w:tcPr>
            <w:tcW w:w="0" w:type="auto"/>
            <w:vAlign w:val="center"/>
          </w:tcPr>
          <w:p>
            <w:pPr>
              <w:pStyle w:val="12"/>
              <w:rPr>
                <w:highlight w:val="none"/>
              </w:rPr>
            </w:pPr>
            <w:r>
              <w:rPr>
                <w:highlight w:val="none"/>
              </w:rPr>
              <w:t>数量指标</w:t>
            </w:r>
          </w:p>
        </w:tc>
        <w:tc>
          <w:tcPr>
            <w:tcW w:w="0" w:type="auto"/>
            <w:vAlign w:val="center"/>
          </w:tcPr>
          <w:p>
            <w:pPr>
              <w:pStyle w:val="12"/>
              <w:rPr>
                <w:highlight w:val="none"/>
              </w:rPr>
            </w:pPr>
            <w:r>
              <w:rPr>
                <w:highlight w:val="none"/>
              </w:rPr>
              <w:t>居民健康档案电子建档人数</w:t>
            </w:r>
          </w:p>
        </w:tc>
        <w:tc>
          <w:tcPr>
            <w:tcW w:w="0" w:type="auto"/>
            <w:vAlign w:val="center"/>
          </w:tcPr>
          <w:p>
            <w:pPr>
              <w:pStyle w:val="12"/>
              <w:rPr>
                <w:highlight w:val="none"/>
              </w:rPr>
            </w:pPr>
            <w:r>
              <w:rPr>
                <w:highlight w:val="none"/>
              </w:rPr>
              <w:t>居民健康档案电子建档人数</w:t>
            </w:r>
          </w:p>
        </w:tc>
        <w:tc>
          <w:tcPr>
            <w:tcW w:w="0" w:type="auto"/>
            <w:vAlign w:val="center"/>
          </w:tcPr>
          <w:p>
            <w:pPr>
              <w:pStyle w:val="12"/>
              <w:rPr>
                <w:highlight w:val="none"/>
              </w:rPr>
            </w:pPr>
            <w:r>
              <w:rPr>
                <w:highlight w:val="none"/>
              </w:rPr>
              <w:t>≥90%</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质量指标</w:t>
            </w:r>
          </w:p>
        </w:tc>
        <w:tc>
          <w:tcPr>
            <w:tcW w:w="0" w:type="auto"/>
            <w:vAlign w:val="center"/>
          </w:tcPr>
          <w:p>
            <w:pPr>
              <w:pStyle w:val="12"/>
              <w:rPr>
                <w:highlight w:val="none"/>
              </w:rPr>
            </w:pPr>
            <w:r>
              <w:rPr>
                <w:highlight w:val="none"/>
              </w:rPr>
              <w:t>高血压患者血压控制率</w:t>
            </w:r>
          </w:p>
        </w:tc>
        <w:tc>
          <w:tcPr>
            <w:tcW w:w="0" w:type="auto"/>
            <w:vAlign w:val="center"/>
          </w:tcPr>
          <w:p>
            <w:pPr>
              <w:pStyle w:val="12"/>
              <w:rPr>
                <w:highlight w:val="none"/>
              </w:rPr>
            </w:pPr>
            <w:r>
              <w:rPr>
                <w:highlight w:val="none"/>
              </w:rPr>
              <w:t>高血压患者血压控制率</w:t>
            </w:r>
          </w:p>
        </w:tc>
        <w:tc>
          <w:tcPr>
            <w:tcW w:w="0" w:type="auto"/>
            <w:vAlign w:val="center"/>
          </w:tcPr>
          <w:p>
            <w:pPr>
              <w:pStyle w:val="12"/>
              <w:rPr>
                <w:highlight w:val="none"/>
              </w:rPr>
            </w:pPr>
            <w:r>
              <w:rPr>
                <w:highlight w:val="none"/>
              </w:rPr>
              <w:t>≥61%</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时效指标</w:t>
            </w:r>
          </w:p>
        </w:tc>
        <w:tc>
          <w:tcPr>
            <w:tcW w:w="0" w:type="auto"/>
            <w:vAlign w:val="center"/>
          </w:tcPr>
          <w:p>
            <w:pPr>
              <w:pStyle w:val="12"/>
              <w:rPr>
                <w:highlight w:val="none"/>
              </w:rPr>
            </w:pPr>
            <w:r>
              <w:rPr>
                <w:highlight w:val="none"/>
              </w:rPr>
              <w:t>突发事件处置及时性（小时）</w:t>
            </w:r>
          </w:p>
        </w:tc>
        <w:tc>
          <w:tcPr>
            <w:tcW w:w="0" w:type="auto"/>
            <w:vAlign w:val="center"/>
          </w:tcPr>
          <w:p>
            <w:pPr>
              <w:pStyle w:val="12"/>
              <w:rPr>
                <w:highlight w:val="none"/>
              </w:rPr>
            </w:pPr>
            <w:r>
              <w:rPr>
                <w:highlight w:val="none"/>
              </w:rPr>
              <w:t>突发事件处置及时性（小时）</w:t>
            </w:r>
          </w:p>
        </w:tc>
        <w:tc>
          <w:tcPr>
            <w:tcW w:w="0" w:type="auto"/>
            <w:vAlign w:val="center"/>
          </w:tcPr>
          <w:p>
            <w:pPr>
              <w:pStyle w:val="12"/>
              <w:rPr>
                <w:highlight w:val="none"/>
              </w:rPr>
            </w:pPr>
            <w:r>
              <w:rPr>
                <w:highlight w:val="none"/>
              </w:rPr>
              <w:t>按时限及时上报</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成本指标</w:t>
            </w:r>
          </w:p>
        </w:tc>
        <w:tc>
          <w:tcPr>
            <w:tcW w:w="0" w:type="auto"/>
            <w:vAlign w:val="center"/>
          </w:tcPr>
          <w:p>
            <w:pPr>
              <w:pStyle w:val="12"/>
              <w:rPr>
                <w:highlight w:val="none"/>
              </w:rPr>
            </w:pPr>
            <w:r>
              <w:rPr>
                <w:highlight w:val="none"/>
              </w:rPr>
              <w:t>资金成本</w:t>
            </w:r>
          </w:p>
        </w:tc>
        <w:tc>
          <w:tcPr>
            <w:tcW w:w="0" w:type="auto"/>
            <w:vAlign w:val="center"/>
          </w:tcPr>
          <w:p>
            <w:pPr>
              <w:pStyle w:val="12"/>
              <w:rPr>
                <w:highlight w:val="none"/>
              </w:rPr>
            </w:pPr>
            <w:r>
              <w:rPr>
                <w:highlight w:val="none"/>
              </w:rPr>
              <w:t>资金成本</w:t>
            </w:r>
          </w:p>
        </w:tc>
        <w:tc>
          <w:tcPr>
            <w:tcW w:w="0" w:type="auto"/>
            <w:vAlign w:val="center"/>
          </w:tcPr>
          <w:p>
            <w:pPr>
              <w:pStyle w:val="12"/>
              <w:rPr>
                <w:highlight w:val="none"/>
              </w:rPr>
            </w:pPr>
            <w:r>
              <w:rPr>
                <w:highlight w:val="none"/>
              </w:rPr>
              <w:t>28万元</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效益指标</w:t>
            </w:r>
          </w:p>
        </w:tc>
        <w:tc>
          <w:tcPr>
            <w:tcW w:w="0" w:type="auto"/>
            <w:vAlign w:val="center"/>
          </w:tcPr>
          <w:p>
            <w:pPr>
              <w:pStyle w:val="12"/>
              <w:rPr>
                <w:highlight w:val="none"/>
              </w:rPr>
            </w:pPr>
            <w:r>
              <w:rPr>
                <w:highlight w:val="none"/>
              </w:rPr>
              <w:t>经济效益指标</w:t>
            </w:r>
          </w:p>
        </w:tc>
        <w:tc>
          <w:tcPr>
            <w:tcW w:w="0" w:type="auto"/>
            <w:vAlign w:val="center"/>
          </w:tcPr>
          <w:p>
            <w:pPr>
              <w:pStyle w:val="12"/>
              <w:rPr>
                <w:highlight w:val="none"/>
              </w:rPr>
            </w:pPr>
            <w:r>
              <w:rPr>
                <w:highlight w:val="none"/>
              </w:rPr>
              <w:t>经济效益指标</w:t>
            </w:r>
          </w:p>
        </w:tc>
        <w:tc>
          <w:tcPr>
            <w:tcW w:w="0" w:type="auto"/>
            <w:vAlign w:val="center"/>
          </w:tcPr>
          <w:p>
            <w:pPr>
              <w:pStyle w:val="12"/>
              <w:rPr>
                <w:highlight w:val="none"/>
              </w:rPr>
            </w:pPr>
            <w:r>
              <w:rPr>
                <w:highlight w:val="none"/>
              </w:rPr>
              <w:t>评价辖区人口公共卫生均等化水平提高</w:t>
            </w:r>
          </w:p>
        </w:tc>
        <w:tc>
          <w:tcPr>
            <w:tcW w:w="0" w:type="auto"/>
            <w:vAlign w:val="center"/>
          </w:tcPr>
          <w:p>
            <w:pPr>
              <w:pStyle w:val="12"/>
              <w:rPr>
                <w:highlight w:val="none"/>
              </w:rPr>
            </w:pPr>
            <w:r>
              <w:rPr>
                <w:highlight w:val="none"/>
              </w:rPr>
              <w:t>中长期</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社会效益指标</w:t>
            </w:r>
          </w:p>
        </w:tc>
        <w:tc>
          <w:tcPr>
            <w:tcW w:w="0" w:type="auto"/>
            <w:vAlign w:val="center"/>
          </w:tcPr>
          <w:p>
            <w:pPr>
              <w:pStyle w:val="12"/>
              <w:rPr>
                <w:highlight w:val="none"/>
              </w:rPr>
            </w:pPr>
            <w:r>
              <w:rPr>
                <w:highlight w:val="none"/>
              </w:rPr>
              <w:t>社会影响力</w:t>
            </w:r>
          </w:p>
        </w:tc>
        <w:tc>
          <w:tcPr>
            <w:tcW w:w="0" w:type="auto"/>
            <w:vAlign w:val="center"/>
          </w:tcPr>
          <w:p>
            <w:pPr>
              <w:pStyle w:val="12"/>
              <w:rPr>
                <w:highlight w:val="none"/>
              </w:rPr>
            </w:pPr>
            <w:r>
              <w:rPr>
                <w:highlight w:val="none"/>
              </w:rPr>
              <w:t>反映城镇人口与乡村人口获得公共卫生服务效果之间的差异</w:t>
            </w:r>
          </w:p>
        </w:tc>
        <w:tc>
          <w:tcPr>
            <w:tcW w:w="0" w:type="auto"/>
            <w:vAlign w:val="center"/>
          </w:tcPr>
          <w:p>
            <w:pPr>
              <w:pStyle w:val="12"/>
              <w:rPr>
                <w:highlight w:val="none"/>
              </w:rPr>
            </w:pPr>
            <w:r>
              <w:rPr>
                <w:highlight w:val="none"/>
              </w:rPr>
              <w:t>不断缩小</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生态效益指标</w:t>
            </w:r>
          </w:p>
        </w:tc>
        <w:tc>
          <w:tcPr>
            <w:tcW w:w="0" w:type="auto"/>
            <w:vAlign w:val="center"/>
          </w:tcPr>
          <w:p>
            <w:pPr>
              <w:pStyle w:val="12"/>
              <w:rPr>
                <w:highlight w:val="none"/>
              </w:rPr>
            </w:pPr>
            <w:r>
              <w:rPr>
                <w:highlight w:val="none"/>
              </w:rPr>
              <w:t>生态效益指标</w:t>
            </w:r>
          </w:p>
        </w:tc>
        <w:tc>
          <w:tcPr>
            <w:tcW w:w="0" w:type="auto"/>
            <w:vAlign w:val="center"/>
          </w:tcPr>
          <w:p>
            <w:pPr>
              <w:pStyle w:val="12"/>
              <w:rPr>
                <w:highlight w:val="none"/>
              </w:rPr>
            </w:pPr>
            <w:r>
              <w:rPr>
                <w:highlight w:val="none"/>
              </w:rPr>
              <w:t>居民公共卫生差距</w:t>
            </w:r>
          </w:p>
        </w:tc>
        <w:tc>
          <w:tcPr>
            <w:tcW w:w="0" w:type="auto"/>
            <w:vAlign w:val="center"/>
          </w:tcPr>
          <w:p>
            <w:pPr>
              <w:pStyle w:val="12"/>
              <w:rPr>
                <w:highlight w:val="none"/>
              </w:rPr>
            </w:pPr>
            <w:r>
              <w:rPr>
                <w:highlight w:val="none"/>
              </w:rPr>
              <w:t>不断缩小</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0" w:type="auto"/>
            <w:vAlign w:val="center"/>
          </w:tcPr>
          <w:p>
            <w:pPr>
              <w:pStyle w:val="11"/>
              <w:rPr>
                <w:highlight w:val="none"/>
              </w:rPr>
            </w:pPr>
            <w:r>
              <w:rPr>
                <w:highlight w:val="none"/>
              </w:rPr>
              <w:t>满意度指标</w:t>
            </w:r>
          </w:p>
        </w:tc>
        <w:tc>
          <w:tcPr>
            <w:tcW w:w="0" w:type="auto"/>
            <w:vAlign w:val="center"/>
          </w:tcPr>
          <w:p>
            <w:pPr>
              <w:pStyle w:val="12"/>
              <w:rPr>
                <w:highlight w:val="none"/>
              </w:rPr>
            </w:pPr>
            <w:r>
              <w:rPr>
                <w:highlight w:val="none"/>
              </w:rPr>
              <w:t>服务对象满意度指标</w:t>
            </w:r>
          </w:p>
        </w:tc>
        <w:tc>
          <w:tcPr>
            <w:tcW w:w="0" w:type="auto"/>
            <w:vAlign w:val="center"/>
          </w:tcPr>
          <w:p>
            <w:pPr>
              <w:pStyle w:val="12"/>
              <w:rPr>
                <w:highlight w:val="none"/>
              </w:rPr>
            </w:pPr>
            <w:r>
              <w:rPr>
                <w:highlight w:val="none"/>
              </w:rPr>
              <w:t>服务对象满意度</w:t>
            </w:r>
          </w:p>
        </w:tc>
        <w:tc>
          <w:tcPr>
            <w:tcW w:w="0" w:type="auto"/>
            <w:vAlign w:val="center"/>
          </w:tcPr>
          <w:p>
            <w:pPr>
              <w:pStyle w:val="12"/>
              <w:rPr>
                <w:highlight w:val="none"/>
              </w:rPr>
            </w:pPr>
            <w:r>
              <w:rPr>
                <w:highlight w:val="none"/>
              </w:rPr>
              <w:t>受基本公共卫生服务的重点人群对基层医疗卫生机构所提供的服务的满意程度</w:t>
            </w:r>
          </w:p>
        </w:tc>
        <w:tc>
          <w:tcPr>
            <w:tcW w:w="0" w:type="auto"/>
            <w:vAlign w:val="center"/>
          </w:tcPr>
          <w:p>
            <w:pPr>
              <w:pStyle w:val="12"/>
              <w:rPr>
                <w:highlight w:val="none"/>
              </w:rPr>
            </w:pPr>
            <w:r>
              <w:rPr>
                <w:highlight w:val="none"/>
              </w:rPr>
              <w:t>≥95%</w:t>
            </w:r>
          </w:p>
        </w:tc>
        <w:tc>
          <w:tcPr>
            <w:tcW w:w="0" w:type="auto"/>
            <w:vAlign w:val="center"/>
          </w:tcPr>
          <w:p>
            <w:pPr>
              <w:pStyle w:val="12"/>
              <w:rPr>
                <w:highlight w:val="none"/>
              </w:rPr>
            </w:pPr>
            <w:r>
              <w:rPr>
                <w:highlight w:val="none"/>
              </w:rPr>
              <w:t>历史经验</w:t>
            </w:r>
          </w:p>
        </w:tc>
      </w:tr>
    </w:tbl>
    <w:p>
      <w:pPr>
        <w:rPr>
          <w:highlight w:val="none"/>
        </w:rPr>
        <w:sectPr>
          <w:pgSz w:w="11900" w:h="16840"/>
          <w:pgMar w:top="1020" w:right="1134" w:bottom="1020" w:left="1361"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4、2022年中央基本药物制度补助资金-村卫生室绩效目标表</w:t>
      </w:r>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75"/>
        <w:gridCol w:w="87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55" w:type="pct"/>
            <w:tcBorders>
              <w:bottom w:val="single" w:color="FFFFFF" w:sz="6" w:space="0"/>
            </w:tcBorders>
            <w:vAlign w:val="center"/>
          </w:tcPr>
          <w:p>
            <w:pPr>
              <w:pStyle w:val="10"/>
              <w:rPr>
                <w:highlight w:val="none"/>
              </w:rPr>
            </w:pPr>
            <w:r>
              <w:rPr>
                <w:highlight w:val="none"/>
              </w:rPr>
              <w:t>绩效目标</w:t>
            </w:r>
          </w:p>
        </w:tc>
        <w:tc>
          <w:tcPr>
            <w:tcW w:w="4544" w:type="pct"/>
            <w:tcBorders>
              <w:bottom w:val="single" w:color="FFFFFF" w:sz="6" w:space="0"/>
            </w:tcBorders>
            <w:vAlign w:val="center"/>
          </w:tcPr>
          <w:p>
            <w:pPr>
              <w:pStyle w:val="12"/>
              <w:rPr>
                <w:highlight w:val="none"/>
              </w:rPr>
            </w:pPr>
            <w:r>
              <w:rPr>
                <w:highlight w:val="none"/>
              </w:rPr>
              <w:t>1.改善村医救治环境，提高村卫生室服务能力。</w:t>
            </w:r>
            <w:r>
              <w:rPr>
                <w:highlight w:val="none"/>
              </w:rPr>
              <w:tab/>
            </w:r>
            <w:r>
              <w:rPr>
                <w:highlight w:val="none"/>
              </w:rPr>
              <w:tab/>
            </w:r>
            <w:r>
              <w:rPr>
                <w:highlight w:val="none"/>
              </w:rPr>
              <w:tab/>
            </w:r>
            <w:r>
              <w:rPr>
                <w:highlight w:val="none"/>
              </w:rPr>
              <w:tab/>
            </w:r>
            <w:r>
              <w:rPr>
                <w:highlight w:val="none"/>
              </w:rPr>
              <w:tab/>
            </w:r>
            <w:r>
              <w:rPr>
                <w:highlight w:val="none"/>
              </w:rPr>
              <w:tab/>
            </w:r>
          </w:p>
          <w:p>
            <w:pPr>
              <w:pStyle w:val="12"/>
              <w:rPr>
                <w:highlight w:val="none"/>
              </w:rPr>
            </w:pPr>
          </w:p>
          <w:p>
            <w:pPr>
              <w:pStyle w:val="12"/>
              <w:rPr>
                <w:highlight w:val="none"/>
              </w:rPr>
            </w:pPr>
            <w:r>
              <w:rPr>
                <w:highlight w:val="none"/>
              </w:rPr>
              <w:t xml:space="preserve">2.维持村卫生室日常工作的正常运行    </w:t>
            </w:r>
          </w:p>
          <w:p>
            <w:pPr>
              <w:pStyle w:val="12"/>
              <w:rPr>
                <w:highlight w:val="none"/>
              </w:rPr>
            </w:pPr>
            <w:r>
              <w:rPr>
                <w:highlight w:val="none"/>
              </w:rPr>
              <w:t>3.增加一体化村卫生室村医收入</w:t>
            </w:r>
          </w:p>
        </w:tc>
      </w:tr>
    </w:tbl>
    <w:p>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7"/>
        <w:gridCol w:w="1327"/>
        <w:gridCol w:w="1612"/>
        <w:gridCol w:w="2412"/>
        <w:gridCol w:w="2291"/>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highlight w:val="none"/>
              </w:rPr>
            </w:pPr>
            <w:r>
              <w:rPr>
                <w:highlight w:val="none"/>
              </w:rPr>
              <w:t>一级指标</w:t>
            </w:r>
          </w:p>
        </w:tc>
        <w:tc>
          <w:tcPr>
            <w:tcW w:w="0" w:type="auto"/>
            <w:vAlign w:val="center"/>
          </w:tcPr>
          <w:p>
            <w:pPr>
              <w:pStyle w:val="10"/>
              <w:rPr>
                <w:highlight w:val="none"/>
              </w:rPr>
            </w:pPr>
            <w:r>
              <w:rPr>
                <w:highlight w:val="none"/>
              </w:rPr>
              <w:t>二级指标</w:t>
            </w:r>
          </w:p>
        </w:tc>
        <w:tc>
          <w:tcPr>
            <w:tcW w:w="0" w:type="auto"/>
            <w:vAlign w:val="center"/>
          </w:tcPr>
          <w:p>
            <w:pPr>
              <w:pStyle w:val="10"/>
              <w:rPr>
                <w:highlight w:val="none"/>
              </w:rPr>
            </w:pPr>
            <w:r>
              <w:rPr>
                <w:highlight w:val="none"/>
              </w:rPr>
              <w:t>三级指标</w:t>
            </w:r>
          </w:p>
        </w:tc>
        <w:tc>
          <w:tcPr>
            <w:tcW w:w="0" w:type="auto"/>
            <w:vAlign w:val="center"/>
          </w:tcPr>
          <w:p>
            <w:pPr>
              <w:pStyle w:val="10"/>
              <w:rPr>
                <w:highlight w:val="none"/>
              </w:rPr>
            </w:pPr>
            <w:r>
              <w:rPr>
                <w:highlight w:val="none"/>
              </w:rPr>
              <w:t>绩效指标描述</w:t>
            </w:r>
          </w:p>
        </w:tc>
        <w:tc>
          <w:tcPr>
            <w:tcW w:w="0" w:type="auto"/>
            <w:vAlign w:val="center"/>
          </w:tcPr>
          <w:p>
            <w:pPr>
              <w:pStyle w:val="10"/>
              <w:rPr>
                <w:highlight w:val="none"/>
              </w:rPr>
            </w:pPr>
            <w:r>
              <w:rPr>
                <w:highlight w:val="none"/>
              </w:rPr>
              <w:t>指标值</w:t>
            </w:r>
          </w:p>
        </w:tc>
        <w:tc>
          <w:tcPr>
            <w:tcW w:w="0" w:type="auto"/>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highlight w:val="none"/>
              </w:rPr>
            </w:pPr>
            <w:r>
              <w:rPr>
                <w:highlight w:val="none"/>
              </w:rPr>
              <w:t>产出指标</w:t>
            </w:r>
          </w:p>
        </w:tc>
        <w:tc>
          <w:tcPr>
            <w:tcW w:w="0" w:type="auto"/>
            <w:vAlign w:val="center"/>
          </w:tcPr>
          <w:p>
            <w:pPr>
              <w:pStyle w:val="12"/>
              <w:rPr>
                <w:highlight w:val="none"/>
              </w:rPr>
            </w:pPr>
            <w:r>
              <w:rPr>
                <w:highlight w:val="none"/>
              </w:rPr>
              <w:t>数量指标</w:t>
            </w:r>
          </w:p>
        </w:tc>
        <w:tc>
          <w:tcPr>
            <w:tcW w:w="0" w:type="auto"/>
            <w:vAlign w:val="center"/>
          </w:tcPr>
          <w:p>
            <w:pPr>
              <w:pStyle w:val="12"/>
              <w:rPr>
                <w:highlight w:val="none"/>
              </w:rPr>
            </w:pPr>
            <w:r>
              <w:rPr>
                <w:highlight w:val="none"/>
              </w:rPr>
              <w:t>目标人群覆盖率</w:t>
            </w:r>
          </w:p>
        </w:tc>
        <w:tc>
          <w:tcPr>
            <w:tcW w:w="0" w:type="auto"/>
            <w:vAlign w:val="center"/>
          </w:tcPr>
          <w:p>
            <w:pPr>
              <w:pStyle w:val="12"/>
              <w:rPr>
                <w:highlight w:val="none"/>
              </w:rPr>
            </w:pPr>
            <w:r>
              <w:rPr>
                <w:highlight w:val="none"/>
              </w:rPr>
              <w:t>13个村卫生室资金下拨到位率</w:t>
            </w:r>
          </w:p>
        </w:tc>
        <w:tc>
          <w:tcPr>
            <w:tcW w:w="0" w:type="auto"/>
            <w:vAlign w:val="center"/>
          </w:tcPr>
          <w:p>
            <w:pPr>
              <w:pStyle w:val="12"/>
              <w:rPr>
                <w:highlight w:val="none"/>
              </w:rPr>
            </w:pPr>
            <w:r>
              <w:rPr>
                <w:highlight w:val="none"/>
              </w:rPr>
              <w:t>100%</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质量指标</w:t>
            </w:r>
          </w:p>
        </w:tc>
        <w:tc>
          <w:tcPr>
            <w:tcW w:w="0" w:type="auto"/>
            <w:vAlign w:val="center"/>
          </w:tcPr>
          <w:p>
            <w:pPr>
              <w:pStyle w:val="12"/>
              <w:rPr>
                <w:highlight w:val="none"/>
              </w:rPr>
            </w:pPr>
            <w:r>
              <w:rPr>
                <w:highlight w:val="none"/>
              </w:rPr>
              <w:t>质量合格率(%)</w:t>
            </w:r>
          </w:p>
        </w:tc>
        <w:tc>
          <w:tcPr>
            <w:tcW w:w="0" w:type="auto"/>
            <w:vAlign w:val="center"/>
          </w:tcPr>
          <w:p>
            <w:pPr>
              <w:pStyle w:val="12"/>
              <w:rPr>
                <w:highlight w:val="none"/>
              </w:rPr>
            </w:pPr>
            <w:r>
              <w:rPr>
                <w:highlight w:val="none"/>
              </w:rPr>
              <w:t>按照国家要求完成项目资金实施进度率</w:t>
            </w:r>
          </w:p>
        </w:tc>
        <w:tc>
          <w:tcPr>
            <w:tcW w:w="0" w:type="auto"/>
            <w:vAlign w:val="center"/>
          </w:tcPr>
          <w:p>
            <w:pPr>
              <w:pStyle w:val="12"/>
              <w:rPr>
                <w:highlight w:val="none"/>
              </w:rPr>
            </w:pPr>
            <w:r>
              <w:rPr>
                <w:highlight w:val="none"/>
              </w:rPr>
              <w:t>100%</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时效指标</w:t>
            </w:r>
          </w:p>
        </w:tc>
        <w:tc>
          <w:tcPr>
            <w:tcW w:w="0" w:type="auto"/>
            <w:vAlign w:val="center"/>
          </w:tcPr>
          <w:p>
            <w:pPr>
              <w:pStyle w:val="12"/>
              <w:rPr>
                <w:highlight w:val="none"/>
              </w:rPr>
            </w:pPr>
            <w:r>
              <w:rPr>
                <w:highlight w:val="none"/>
              </w:rPr>
              <w:t>专项资金按时下达</w:t>
            </w:r>
          </w:p>
        </w:tc>
        <w:tc>
          <w:tcPr>
            <w:tcW w:w="0" w:type="auto"/>
            <w:vAlign w:val="center"/>
          </w:tcPr>
          <w:p>
            <w:pPr>
              <w:pStyle w:val="12"/>
              <w:rPr>
                <w:highlight w:val="none"/>
              </w:rPr>
            </w:pPr>
            <w:r>
              <w:rPr>
                <w:highlight w:val="none"/>
              </w:rPr>
              <w:t>专项资金按时下达</w:t>
            </w:r>
          </w:p>
        </w:tc>
        <w:tc>
          <w:tcPr>
            <w:tcW w:w="0" w:type="auto"/>
            <w:vAlign w:val="center"/>
          </w:tcPr>
          <w:p>
            <w:pPr>
              <w:pStyle w:val="12"/>
              <w:rPr>
                <w:highlight w:val="none"/>
              </w:rPr>
            </w:pPr>
            <w:r>
              <w:rPr>
                <w:highlight w:val="none"/>
              </w:rPr>
              <w:t>未出现骗取、截留、挤占、挪用情况</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0" w:type="auto"/>
            <w:vMerge w:val="restart"/>
            <w:vAlign w:val="center"/>
          </w:tcPr>
          <w:p>
            <w:pPr>
              <w:pStyle w:val="11"/>
              <w:rPr>
                <w:highlight w:val="none"/>
              </w:rPr>
            </w:pPr>
            <w:r>
              <w:rPr>
                <w:highlight w:val="none"/>
              </w:rPr>
              <w:t>效益指标</w:t>
            </w:r>
          </w:p>
        </w:tc>
        <w:tc>
          <w:tcPr>
            <w:tcW w:w="0" w:type="auto"/>
            <w:vAlign w:val="center"/>
          </w:tcPr>
          <w:p>
            <w:pPr>
              <w:pStyle w:val="12"/>
              <w:rPr>
                <w:highlight w:val="none"/>
              </w:rPr>
            </w:pPr>
            <w:r>
              <w:rPr>
                <w:highlight w:val="none"/>
              </w:rPr>
              <w:t>经济效益指标</w:t>
            </w:r>
          </w:p>
        </w:tc>
        <w:tc>
          <w:tcPr>
            <w:tcW w:w="0" w:type="auto"/>
            <w:vAlign w:val="center"/>
          </w:tcPr>
          <w:p>
            <w:pPr>
              <w:pStyle w:val="12"/>
              <w:rPr>
                <w:highlight w:val="none"/>
              </w:rPr>
            </w:pPr>
            <w:r>
              <w:rPr>
                <w:highlight w:val="none"/>
              </w:rPr>
              <w:t>资金使用效益</w:t>
            </w:r>
          </w:p>
        </w:tc>
        <w:tc>
          <w:tcPr>
            <w:tcW w:w="0" w:type="auto"/>
            <w:vAlign w:val="center"/>
          </w:tcPr>
          <w:p>
            <w:pPr>
              <w:pStyle w:val="12"/>
              <w:rPr>
                <w:highlight w:val="none"/>
              </w:rPr>
            </w:pPr>
            <w:r>
              <w:rPr>
                <w:highlight w:val="none"/>
              </w:rPr>
              <w:t>资金使用效益</w:t>
            </w:r>
          </w:p>
        </w:tc>
        <w:tc>
          <w:tcPr>
            <w:tcW w:w="0" w:type="auto"/>
            <w:vAlign w:val="center"/>
          </w:tcPr>
          <w:p>
            <w:pPr>
              <w:pStyle w:val="12"/>
              <w:rPr>
                <w:highlight w:val="none"/>
              </w:rPr>
            </w:pPr>
            <w:r>
              <w:rPr>
                <w:highlight w:val="none"/>
              </w:rPr>
              <w:t>未出现骗取、截留、挤占、挪用情况</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社会效益指标</w:t>
            </w:r>
          </w:p>
        </w:tc>
        <w:tc>
          <w:tcPr>
            <w:tcW w:w="0" w:type="auto"/>
            <w:vAlign w:val="center"/>
          </w:tcPr>
          <w:p>
            <w:pPr>
              <w:pStyle w:val="12"/>
              <w:rPr>
                <w:highlight w:val="none"/>
              </w:rPr>
            </w:pPr>
            <w:r>
              <w:rPr>
                <w:highlight w:val="none"/>
              </w:rPr>
              <w:t>服务的改善与提升</w:t>
            </w:r>
          </w:p>
        </w:tc>
        <w:tc>
          <w:tcPr>
            <w:tcW w:w="0" w:type="auto"/>
            <w:vAlign w:val="center"/>
          </w:tcPr>
          <w:p>
            <w:pPr>
              <w:pStyle w:val="12"/>
              <w:rPr>
                <w:highlight w:val="none"/>
              </w:rPr>
            </w:pPr>
            <w:r>
              <w:rPr>
                <w:highlight w:val="none"/>
              </w:rPr>
              <w:t>服务的改善与提升</w:t>
            </w:r>
          </w:p>
        </w:tc>
        <w:tc>
          <w:tcPr>
            <w:tcW w:w="0" w:type="auto"/>
            <w:vAlign w:val="center"/>
          </w:tcPr>
          <w:p>
            <w:pPr>
              <w:pStyle w:val="12"/>
              <w:rPr>
                <w:highlight w:val="none"/>
              </w:rPr>
            </w:pPr>
            <w:r>
              <w:rPr>
                <w:highlight w:val="none"/>
              </w:rPr>
              <w:t>越来越好</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2"/>
              <w:rPr>
                <w:highlight w:val="none"/>
              </w:rPr>
            </w:pPr>
            <w:r>
              <w:rPr>
                <w:highlight w:val="none"/>
              </w:rPr>
              <w:t>可持续影响指标</w:t>
            </w:r>
          </w:p>
        </w:tc>
        <w:tc>
          <w:tcPr>
            <w:tcW w:w="0" w:type="auto"/>
            <w:vAlign w:val="center"/>
          </w:tcPr>
          <w:p>
            <w:pPr>
              <w:pStyle w:val="12"/>
              <w:rPr>
                <w:highlight w:val="none"/>
              </w:rPr>
            </w:pPr>
            <w:r>
              <w:rPr>
                <w:highlight w:val="none"/>
              </w:rPr>
              <w:t>长期实用性</w:t>
            </w:r>
          </w:p>
        </w:tc>
        <w:tc>
          <w:tcPr>
            <w:tcW w:w="0" w:type="auto"/>
            <w:vAlign w:val="center"/>
          </w:tcPr>
          <w:p>
            <w:pPr>
              <w:pStyle w:val="12"/>
              <w:rPr>
                <w:highlight w:val="none"/>
              </w:rPr>
            </w:pPr>
            <w:r>
              <w:rPr>
                <w:highlight w:val="none"/>
              </w:rPr>
              <w:t>长期实用性</w:t>
            </w:r>
          </w:p>
        </w:tc>
        <w:tc>
          <w:tcPr>
            <w:tcW w:w="0" w:type="auto"/>
            <w:vAlign w:val="center"/>
          </w:tcPr>
          <w:p>
            <w:pPr>
              <w:pStyle w:val="12"/>
              <w:rPr>
                <w:highlight w:val="none"/>
              </w:rPr>
            </w:pPr>
            <w:r>
              <w:rPr>
                <w:highlight w:val="none"/>
              </w:rPr>
              <w:t>中长期</w:t>
            </w:r>
          </w:p>
        </w:tc>
        <w:tc>
          <w:tcPr>
            <w:tcW w:w="0" w:type="auto"/>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highlight w:val="none"/>
              </w:rPr>
            </w:pPr>
            <w:r>
              <w:rPr>
                <w:highlight w:val="none"/>
              </w:rPr>
              <w:t>满意度指标</w:t>
            </w:r>
          </w:p>
        </w:tc>
        <w:tc>
          <w:tcPr>
            <w:tcW w:w="0" w:type="auto"/>
            <w:vAlign w:val="center"/>
          </w:tcPr>
          <w:p>
            <w:pPr>
              <w:pStyle w:val="12"/>
              <w:rPr>
                <w:highlight w:val="none"/>
              </w:rPr>
            </w:pPr>
            <w:r>
              <w:rPr>
                <w:highlight w:val="none"/>
              </w:rPr>
              <w:t>服务对象满意度指标</w:t>
            </w:r>
          </w:p>
        </w:tc>
        <w:tc>
          <w:tcPr>
            <w:tcW w:w="0" w:type="auto"/>
            <w:vAlign w:val="center"/>
          </w:tcPr>
          <w:p>
            <w:pPr>
              <w:pStyle w:val="12"/>
              <w:rPr>
                <w:highlight w:val="none"/>
              </w:rPr>
            </w:pPr>
            <w:r>
              <w:rPr>
                <w:highlight w:val="none"/>
              </w:rPr>
              <w:t>服务群体满意度（%）</w:t>
            </w:r>
          </w:p>
        </w:tc>
        <w:tc>
          <w:tcPr>
            <w:tcW w:w="0" w:type="auto"/>
            <w:vAlign w:val="center"/>
          </w:tcPr>
          <w:p>
            <w:pPr>
              <w:pStyle w:val="12"/>
              <w:rPr>
                <w:highlight w:val="none"/>
              </w:rPr>
            </w:pPr>
            <w:r>
              <w:rPr>
                <w:highlight w:val="none"/>
              </w:rPr>
              <w:t>服务群体满意度（%）</w:t>
            </w:r>
          </w:p>
        </w:tc>
        <w:tc>
          <w:tcPr>
            <w:tcW w:w="0" w:type="auto"/>
            <w:vAlign w:val="center"/>
          </w:tcPr>
          <w:p>
            <w:pPr>
              <w:pStyle w:val="12"/>
              <w:rPr>
                <w:highlight w:val="none"/>
              </w:rPr>
            </w:pPr>
            <w:r>
              <w:rPr>
                <w:highlight w:val="none"/>
              </w:rPr>
              <w:t>≥95%</w:t>
            </w:r>
          </w:p>
        </w:tc>
        <w:tc>
          <w:tcPr>
            <w:tcW w:w="0" w:type="auto"/>
            <w:vAlign w:val="center"/>
          </w:tcPr>
          <w:p>
            <w:pPr>
              <w:pStyle w:val="12"/>
              <w:rPr>
                <w:highlight w:val="none"/>
              </w:rPr>
            </w:pPr>
            <w:r>
              <w:rPr>
                <w:highlight w:val="none"/>
              </w:rPr>
              <w:t>历史经验</w:t>
            </w:r>
          </w:p>
        </w:tc>
      </w:tr>
    </w:tbl>
    <w:p>
      <w:pPr>
        <w:rPr>
          <w:highlight w:val="none"/>
        </w:rPr>
        <w:sectPr>
          <w:pgSz w:w="11900" w:h="16840"/>
          <w:pgMar w:top="1020" w:right="1134" w:bottom="1020" w:left="1361"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spacing w:line="500" w:lineRule="exact"/>
        <w:ind w:firstLine="560"/>
        <w:rPr>
          <w:highlight w:val="none"/>
        </w:rPr>
      </w:pPr>
      <w:r>
        <w:rPr>
          <w:rFonts w:eastAsia="方正仿宋_GBK" w:cs="Times New Roman"/>
          <w:color w:val="000000"/>
          <w:sz w:val="28"/>
          <w:highlight w:val="none"/>
        </w:rPr>
        <w:t>2023年，秦皇岛北戴河新区西河南医院安排政府采购预算10.00万元。具体内容见下表。</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highlight w:val="none"/>
              </w:rPr>
            </w:pPr>
            <w:r>
              <w:rPr>
                <w:highlight w:val="none"/>
              </w:rPr>
              <w:t>361003秦皇岛北戴河新区西河南医院</w:t>
            </w:r>
          </w:p>
        </w:tc>
        <w:tc>
          <w:tcPr>
            <w:tcW w:w="8674" w:type="dxa"/>
            <w:gridSpan w:val="9"/>
            <w:tcBorders>
              <w:top w:val="single" w:color="FFFFFF" w:sz="6" w:space="0"/>
              <w:left w:val="single" w:color="FFFFFF" w:sz="6" w:space="0"/>
              <w:right w:val="single" w:color="FFFFFF" w:sz="6" w:space="0"/>
            </w:tcBorders>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7710" w:type="dxa"/>
            <w:gridSpan w:val="8"/>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财政拨    款结转</w:t>
            </w:r>
          </w:p>
        </w:tc>
        <w:tc>
          <w:tcPr>
            <w:tcW w:w="964" w:type="dxa"/>
            <w:vAlign w:val="center"/>
          </w:tcPr>
          <w:p>
            <w:pPr>
              <w:pStyle w:val="10"/>
              <w:rPr>
                <w:highlight w:val="none"/>
              </w:rPr>
            </w:pPr>
            <w:r>
              <w:rPr>
                <w:highlight w:val="none"/>
              </w:rPr>
              <w:t>非财政    拨款结    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合  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10.00</w:t>
            </w:r>
          </w:p>
        </w:tc>
        <w:tc>
          <w:tcPr>
            <w:tcW w:w="964" w:type="dxa"/>
            <w:vAlign w:val="center"/>
          </w:tcPr>
          <w:p>
            <w:pPr>
              <w:pStyle w:val="15"/>
              <w:rPr>
                <w:highlight w:val="none"/>
              </w:rPr>
            </w:pPr>
            <w:r>
              <w:rPr>
                <w:highlight w:val="none"/>
              </w:rPr>
              <w:t>10.00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秦皇岛北戴河新区西河南医院小计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10.00</w:t>
            </w:r>
          </w:p>
        </w:tc>
        <w:tc>
          <w:tcPr>
            <w:tcW w:w="964" w:type="dxa"/>
            <w:vAlign w:val="center"/>
          </w:tcPr>
          <w:p>
            <w:pPr>
              <w:pStyle w:val="15"/>
              <w:rPr>
                <w:highlight w:val="none"/>
              </w:rPr>
            </w:pPr>
            <w:r>
              <w:rPr>
                <w:highlight w:val="none"/>
              </w:rPr>
              <w:t>10.00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2023年公用经费项目（三保）</w:t>
            </w:r>
          </w:p>
        </w:tc>
        <w:tc>
          <w:tcPr>
            <w:tcW w:w="964" w:type="dxa"/>
            <w:vAlign w:val="center"/>
          </w:tcPr>
          <w:p>
            <w:pPr>
              <w:pStyle w:val="13"/>
              <w:rPr>
                <w:highlight w:val="none"/>
              </w:rPr>
            </w:pPr>
            <w:r>
              <w:rPr>
                <w:highlight w:val="none"/>
              </w:rPr>
              <w:t>218.91</w:t>
            </w:r>
          </w:p>
        </w:tc>
        <w:tc>
          <w:tcPr>
            <w:tcW w:w="1134" w:type="dxa"/>
            <w:vAlign w:val="center"/>
          </w:tcPr>
          <w:p>
            <w:pPr>
              <w:pStyle w:val="12"/>
              <w:rPr>
                <w:highlight w:val="none"/>
              </w:rPr>
            </w:pPr>
            <w:r>
              <w:rPr>
                <w:highlight w:val="none"/>
              </w:rPr>
              <w:t>电力分配服务</w:t>
            </w:r>
          </w:p>
        </w:tc>
        <w:tc>
          <w:tcPr>
            <w:tcW w:w="1134" w:type="dxa"/>
            <w:vAlign w:val="center"/>
          </w:tcPr>
          <w:p>
            <w:pPr>
              <w:pStyle w:val="12"/>
              <w:rPr>
                <w:highlight w:val="none"/>
              </w:rPr>
            </w:pPr>
            <w:r>
              <w:rPr>
                <w:highlight w:val="none"/>
              </w:rPr>
              <w:t>C08010200</w:t>
            </w:r>
          </w:p>
        </w:tc>
        <w:tc>
          <w:tcPr>
            <w:tcW w:w="709" w:type="dxa"/>
            <w:vAlign w:val="center"/>
          </w:tcPr>
          <w:p>
            <w:pPr>
              <w:pStyle w:val="11"/>
              <w:rPr>
                <w:highlight w:val="none"/>
              </w:rPr>
            </w:pPr>
            <w:r>
              <w:rPr>
                <w:highlight w:val="none"/>
              </w:rPr>
              <w:t>千瓦时</w:t>
            </w:r>
          </w:p>
        </w:tc>
        <w:tc>
          <w:tcPr>
            <w:tcW w:w="850" w:type="dxa"/>
            <w:vAlign w:val="center"/>
          </w:tcPr>
          <w:p>
            <w:pPr>
              <w:pStyle w:val="13"/>
              <w:rPr>
                <w:highlight w:val="none"/>
              </w:rPr>
            </w:pPr>
            <w:r>
              <w:rPr>
                <w:highlight w:val="none"/>
              </w:rPr>
              <w:t>20</w:t>
            </w:r>
          </w:p>
        </w:tc>
        <w:tc>
          <w:tcPr>
            <w:tcW w:w="850" w:type="dxa"/>
            <w:vAlign w:val="center"/>
          </w:tcPr>
          <w:p>
            <w:pPr>
              <w:pStyle w:val="13"/>
              <w:rPr>
                <w:highlight w:val="none"/>
              </w:rPr>
            </w:pPr>
            <w:r>
              <w:rPr>
                <w:highlight w:val="none"/>
              </w:rPr>
              <w:t>0.50</w:t>
            </w:r>
          </w:p>
        </w:tc>
        <w:tc>
          <w:tcPr>
            <w:tcW w:w="964" w:type="dxa"/>
            <w:vAlign w:val="center"/>
          </w:tcPr>
          <w:p>
            <w:pPr>
              <w:pStyle w:val="13"/>
              <w:rPr>
                <w:highlight w:val="none"/>
              </w:rPr>
            </w:pPr>
            <w:r>
              <w:rPr>
                <w:highlight w:val="none"/>
              </w:rPr>
              <w:t>10.00</w:t>
            </w:r>
          </w:p>
        </w:tc>
        <w:tc>
          <w:tcPr>
            <w:tcW w:w="964" w:type="dxa"/>
            <w:vAlign w:val="center"/>
          </w:tcPr>
          <w:p>
            <w:pPr>
              <w:pStyle w:val="13"/>
              <w:rPr>
                <w:highlight w:val="none"/>
              </w:rPr>
            </w:pPr>
            <w:r>
              <w:rPr>
                <w:highlight w:val="none"/>
              </w:rPr>
              <w:t>10.00</w:t>
            </w: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r>
              <w:rPr>
                <w:highlight w:val="none"/>
              </w:rPr>
              <w:t>10.00</w:t>
            </w: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rFonts w:hint="eastAsia" w:eastAsia="方正仿宋_GBK" w:cs="Times New Roman"/>
          <w:color w:val="000000"/>
          <w:sz w:val="28"/>
          <w:highlight w:val="none"/>
          <w:lang w:eastAsia="zh-CN"/>
        </w:rPr>
      </w:pPr>
      <w:r>
        <w:rPr>
          <w:rFonts w:eastAsia="方正仿宋_GBK" w:cs="Times New Roman"/>
          <w:color w:val="000000"/>
          <w:sz w:val="28"/>
          <w:highlight w:val="none"/>
        </w:rPr>
        <w:t>秦皇岛北戴河新区西河南医院上年末固定资产金额为</w:t>
      </w:r>
      <w:r>
        <w:rPr>
          <w:rFonts w:hint="eastAsia" w:eastAsia="方正仿宋_GBK" w:cs="Times New Roman"/>
          <w:color w:val="000000"/>
          <w:sz w:val="28"/>
          <w:highlight w:val="none"/>
          <w:lang w:eastAsia="zh-CN"/>
        </w:rPr>
        <w:t>1357.93</w:t>
      </w:r>
      <w:r>
        <w:rPr>
          <w:rFonts w:eastAsia="方正仿宋_GBK" w:cs="Times New Roman"/>
          <w:color w:val="000000"/>
          <w:sz w:val="28"/>
          <w:highlight w:val="none"/>
        </w:rPr>
        <w:t>万元（详见下表）。本年度拟购置固定资产总额为0.00万元，已按要求列入政府采购预算，详见政府采购预算表。</w:t>
      </w:r>
    </w:p>
    <w:p>
      <w:pPr>
        <w:spacing w:line="500" w:lineRule="exact"/>
        <w:ind w:firstLine="560"/>
        <w:rPr>
          <w:rFonts w:hint="eastAsia" w:eastAsiaTheme="minorEastAsia"/>
          <w:highlight w:val="none"/>
          <w:lang w:eastAsia="zh-CN"/>
        </w:rPr>
      </w:pPr>
    </w:p>
    <w:p>
      <w:pPr>
        <w:spacing w:line="500" w:lineRule="exact"/>
        <w:ind w:firstLine="560"/>
        <w:rPr>
          <w:rFonts w:hint="eastAsia" w:eastAsiaTheme="minorEastAsia"/>
          <w:highlight w:val="none"/>
          <w:lang w:eastAsia="zh-CN"/>
        </w:rPr>
      </w:pP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highlight w:val="none"/>
              </w:rPr>
            </w:pPr>
            <w:r>
              <w:rPr>
                <w:highlight w:val="none"/>
              </w:rPr>
              <w:t>361003秦皇岛北戴河新区西河南医院</w:t>
            </w:r>
          </w:p>
        </w:tc>
        <w:tc>
          <w:tcPr>
            <w:tcW w:w="5669"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jc w:val="center"/>
              <w:rPr>
                <w:highlight w:val="none"/>
              </w:rPr>
            </w:pPr>
            <w:r>
              <w:rPr>
                <w:rFonts w:hint="eastAsia"/>
                <w:highlight w:val="none"/>
                <w:lang w:eastAsia="zh-CN"/>
              </w:rPr>
              <w:t>资产总额</w:t>
            </w:r>
          </w:p>
        </w:tc>
        <w:tc>
          <w:tcPr>
            <w:tcW w:w="2835" w:type="dxa"/>
            <w:vAlign w:val="center"/>
          </w:tcPr>
          <w:p>
            <w:pPr>
              <w:pStyle w:val="11"/>
              <w:rPr>
                <w:highlight w:val="none"/>
              </w:rPr>
            </w:pPr>
            <w:r>
              <w:rPr>
                <w:rFonts w:hint="eastAsia"/>
                <w:highlight w:val="none"/>
                <w:lang w:eastAsia="zh-CN"/>
              </w:rPr>
              <w:t>——</w:t>
            </w:r>
          </w:p>
        </w:tc>
        <w:tc>
          <w:tcPr>
            <w:tcW w:w="2835" w:type="dxa"/>
            <w:vAlign w:val="center"/>
          </w:tcPr>
          <w:p>
            <w:pPr>
              <w:pStyle w:val="13"/>
              <w:jc w:val="center"/>
              <w:rPr>
                <w:rFonts w:hint="default"/>
                <w:highlight w:val="none"/>
                <w:lang w:val="en-US"/>
              </w:rPr>
            </w:pPr>
            <w:r>
              <w:rPr>
                <w:rFonts w:hint="eastAsia"/>
                <w:highlight w:val="none"/>
                <w:lang w:eastAsia="zh-CN"/>
              </w:rPr>
              <w:t>13</w:t>
            </w:r>
            <w:r>
              <w:rPr>
                <w:rFonts w:hint="eastAsia"/>
                <w:highlight w:val="none"/>
                <w:lang w:val="en-US" w:eastAsia="zh-CN"/>
              </w:rPr>
              <w:t>57.93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rFonts w:hint="eastAsia"/>
                <w:highlight w:val="none"/>
                <w:lang w:eastAsia="zh-CN"/>
              </w:rPr>
              <w:t>1.房屋（平方米）</w:t>
            </w:r>
          </w:p>
        </w:tc>
        <w:tc>
          <w:tcPr>
            <w:tcW w:w="2835" w:type="dxa"/>
            <w:vAlign w:val="center"/>
          </w:tcPr>
          <w:p>
            <w:pPr>
              <w:pStyle w:val="11"/>
              <w:rPr>
                <w:highlight w:val="none"/>
              </w:rPr>
            </w:pPr>
            <w:r>
              <w:rPr>
                <w:rFonts w:hint="eastAsia"/>
                <w:highlight w:val="none"/>
                <w:lang w:eastAsia="zh-CN"/>
              </w:rPr>
              <w:t>2274.98</w:t>
            </w:r>
          </w:p>
        </w:tc>
        <w:tc>
          <w:tcPr>
            <w:tcW w:w="2835" w:type="dxa"/>
            <w:vAlign w:val="center"/>
          </w:tcPr>
          <w:p>
            <w:pPr>
              <w:pStyle w:val="13"/>
              <w:jc w:val="center"/>
              <w:rPr>
                <w:highlight w:val="none"/>
              </w:rPr>
            </w:pPr>
            <w:r>
              <w:rPr>
                <w:rFonts w:hint="eastAsia"/>
                <w:highlight w:val="none"/>
                <w:lang w:eastAsia="zh-CN"/>
              </w:rPr>
              <w:t>947.08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rFonts w:hint="eastAsia"/>
                <w:highlight w:val="none"/>
                <w:lang w:eastAsia="zh-CN"/>
              </w:rPr>
              <w:t xml:space="preserve">  其中：业务用房（平方米）</w:t>
            </w:r>
          </w:p>
        </w:tc>
        <w:tc>
          <w:tcPr>
            <w:tcW w:w="2835" w:type="dxa"/>
            <w:vAlign w:val="center"/>
          </w:tcPr>
          <w:p>
            <w:pPr>
              <w:pStyle w:val="11"/>
              <w:rPr>
                <w:highlight w:val="none"/>
              </w:rPr>
            </w:pPr>
            <w:r>
              <w:rPr>
                <w:rFonts w:hint="eastAsia"/>
                <w:highlight w:val="none"/>
                <w:lang w:eastAsia="zh-CN"/>
              </w:rPr>
              <w:t>2116.94</w:t>
            </w:r>
          </w:p>
        </w:tc>
        <w:tc>
          <w:tcPr>
            <w:tcW w:w="2835" w:type="dxa"/>
            <w:vAlign w:val="center"/>
          </w:tcPr>
          <w:p>
            <w:pPr>
              <w:pStyle w:val="13"/>
              <w:jc w:val="center"/>
              <w:rPr>
                <w:highlight w:val="none"/>
              </w:rPr>
            </w:pPr>
            <w:r>
              <w:rPr>
                <w:rFonts w:hint="eastAsia"/>
                <w:highlight w:val="none"/>
                <w:lang w:eastAsia="zh-CN"/>
              </w:rPr>
              <w:t>931.28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rFonts w:hint="eastAsia"/>
                <w:highlight w:val="none"/>
                <w:lang w:eastAsia="zh-CN"/>
              </w:rPr>
              <w:t>2.车辆（台、辆）</w:t>
            </w:r>
          </w:p>
        </w:tc>
        <w:tc>
          <w:tcPr>
            <w:tcW w:w="2835" w:type="dxa"/>
            <w:vAlign w:val="center"/>
          </w:tcPr>
          <w:p>
            <w:pPr>
              <w:pStyle w:val="11"/>
              <w:rPr>
                <w:highlight w:val="none"/>
              </w:rPr>
            </w:pPr>
            <w:r>
              <w:rPr>
                <w:rFonts w:hint="eastAsia"/>
                <w:highlight w:val="none"/>
                <w:lang w:eastAsia="zh-CN"/>
              </w:rPr>
              <w:t>2</w:t>
            </w:r>
          </w:p>
        </w:tc>
        <w:tc>
          <w:tcPr>
            <w:tcW w:w="2835" w:type="dxa"/>
            <w:vAlign w:val="center"/>
          </w:tcPr>
          <w:p>
            <w:pPr>
              <w:pStyle w:val="13"/>
              <w:jc w:val="center"/>
              <w:rPr>
                <w:highlight w:val="none"/>
              </w:rPr>
            </w:pPr>
            <w:r>
              <w:rPr>
                <w:rFonts w:hint="eastAsia"/>
                <w:highlight w:val="none"/>
                <w:lang w:eastAsia="zh-CN"/>
              </w:rP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lang w:eastAsia="zh-CN"/>
              </w:rPr>
            </w:pPr>
            <w:r>
              <w:rPr>
                <w:rFonts w:hint="eastAsia"/>
                <w:highlight w:val="none"/>
                <w:lang w:eastAsia="zh-CN"/>
              </w:rPr>
              <w:t>3.专用设备（个、台）</w:t>
            </w:r>
          </w:p>
        </w:tc>
        <w:tc>
          <w:tcPr>
            <w:tcW w:w="2835" w:type="dxa"/>
            <w:vAlign w:val="center"/>
          </w:tcPr>
          <w:p>
            <w:pPr>
              <w:pStyle w:val="11"/>
              <w:rPr>
                <w:highlight w:val="none"/>
                <w:lang w:eastAsia="zh-CN"/>
              </w:rPr>
            </w:pPr>
            <w:r>
              <w:rPr>
                <w:rFonts w:hint="eastAsia"/>
                <w:highlight w:val="none"/>
                <w:lang w:eastAsia="zh-CN"/>
              </w:rPr>
              <w:t>102</w:t>
            </w:r>
          </w:p>
        </w:tc>
        <w:tc>
          <w:tcPr>
            <w:tcW w:w="2835" w:type="dxa"/>
            <w:vAlign w:val="center"/>
          </w:tcPr>
          <w:p>
            <w:pPr>
              <w:pStyle w:val="13"/>
              <w:jc w:val="center"/>
              <w:rPr>
                <w:highlight w:val="none"/>
                <w:lang w:eastAsia="zh-CN"/>
              </w:rPr>
            </w:pPr>
            <w:r>
              <w:rPr>
                <w:rFonts w:hint="eastAsia"/>
                <w:highlight w:val="none"/>
                <w:lang w:eastAsia="zh-CN"/>
              </w:rPr>
              <w:t>251.04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lang w:eastAsia="zh-CN"/>
              </w:rPr>
            </w:pPr>
            <w:r>
              <w:rPr>
                <w:rFonts w:hint="eastAsia"/>
                <w:highlight w:val="none"/>
                <w:lang w:eastAsia="zh-CN"/>
              </w:rPr>
              <w:t xml:space="preserve">   其中：医疗设备（个、台）</w:t>
            </w:r>
          </w:p>
        </w:tc>
        <w:tc>
          <w:tcPr>
            <w:tcW w:w="2835" w:type="dxa"/>
            <w:vAlign w:val="center"/>
          </w:tcPr>
          <w:p>
            <w:pPr>
              <w:pStyle w:val="11"/>
              <w:rPr>
                <w:highlight w:val="none"/>
                <w:lang w:eastAsia="zh-CN"/>
              </w:rPr>
            </w:pPr>
            <w:r>
              <w:rPr>
                <w:rFonts w:hint="eastAsia"/>
                <w:highlight w:val="none"/>
                <w:lang w:eastAsia="zh-CN"/>
              </w:rPr>
              <w:t>10</w:t>
            </w:r>
          </w:p>
        </w:tc>
        <w:tc>
          <w:tcPr>
            <w:tcW w:w="2835" w:type="dxa"/>
            <w:vAlign w:val="center"/>
          </w:tcPr>
          <w:p>
            <w:pPr>
              <w:pStyle w:val="13"/>
              <w:jc w:val="center"/>
              <w:rPr>
                <w:highlight w:val="none"/>
                <w:lang w:eastAsia="zh-CN"/>
              </w:rPr>
            </w:pPr>
            <w:r>
              <w:rPr>
                <w:rFonts w:hint="eastAsia"/>
                <w:highlight w:val="none"/>
                <w:lang w:eastAsia="zh-CN"/>
              </w:rPr>
              <w:t>100.22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840" w:firstLineChars="400"/>
              <w:rPr>
                <w:highlight w:val="none"/>
                <w:lang w:eastAsia="zh-CN"/>
              </w:rPr>
            </w:pPr>
            <w:r>
              <w:rPr>
                <w:rFonts w:hint="eastAsia"/>
                <w:highlight w:val="none"/>
                <w:lang w:eastAsia="zh-CN"/>
              </w:rPr>
              <w:t>单价100万元（含）以上（个、台）</w:t>
            </w:r>
          </w:p>
        </w:tc>
        <w:tc>
          <w:tcPr>
            <w:tcW w:w="2835" w:type="dxa"/>
            <w:vAlign w:val="center"/>
          </w:tcPr>
          <w:p>
            <w:pPr>
              <w:pStyle w:val="11"/>
              <w:rPr>
                <w:highlight w:val="none"/>
                <w:lang w:eastAsia="zh-CN"/>
              </w:rPr>
            </w:pPr>
            <w:r>
              <w:rPr>
                <w:rFonts w:hint="eastAsia"/>
                <w:highlight w:val="none"/>
                <w:lang w:eastAsia="zh-CN"/>
              </w:rPr>
              <w:t>——</w:t>
            </w:r>
          </w:p>
        </w:tc>
        <w:tc>
          <w:tcPr>
            <w:tcW w:w="2835" w:type="dxa"/>
            <w:vAlign w:val="center"/>
          </w:tcPr>
          <w:p>
            <w:pPr>
              <w:pStyle w:val="13"/>
              <w:jc w:val="center"/>
              <w:rPr>
                <w:highlight w:val="none"/>
                <w:lang w:eastAsia="zh-CN"/>
              </w:rPr>
            </w:pPr>
            <w:r>
              <w:rPr>
                <w:rFonts w:hint="eastAsia"/>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lang w:eastAsia="zh-CN"/>
              </w:rPr>
            </w:pPr>
            <w:r>
              <w:rPr>
                <w:rFonts w:hint="eastAsia"/>
                <w:highlight w:val="none"/>
                <w:lang w:eastAsia="zh-CN"/>
              </w:rPr>
              <w:t>4.其他固定资产</w:t>
            </w:r>
          </w:p>
        </w:tc>
        <w:tc>
          <w:tcPr>
            <w:tcW w:w="2835" w:type="dxa"/>
            <w:vAlign w:val="center"/>
          </w:tcPr>
          <w:p>
            <w:pPr>
              <w:pStyle w:val="11"/>
              <w:rPr>
                <w:highlight w:val="none"/>
                <w:lang w:eastAsia="zh-CN"/>
              </w:rPr>
            </w:pPr>
            <w:r>
              <w:rPr>
                <w:rFonts w:hint="eastAsia"/>
                <w:highlight w:val="none"/>
                <w:lang w:eastAsia="zh-CN"/>
              </w:rPr>
              <w:t>——</w:t>
            </w:r>
          </w:p>
        </w:tc>
        <w:tc>
          <w:tcPr>
            <w:tcW w:w="2835" w:type="dxa"/>
            <w:vAlign w:val="center"/>
          </w:tcPr>
          <w:p>
            <w:pPr>
              <w:pStyle w:val="13"/>
              <w:jc w:val="center"/>
              <w:rPr>
                <w:rFonts w:hint="default"/>
                <w:highlight w:val="none"/>
                <w:lang w:val="en-US" w:eastAsia="zh-CN"/>
              </w:rPr>
            </w:pPr>
            <w:r>
              <w:rPr>
                <w:rFonts w:hint="eastAsia"/>
                <w:highlight w:val="none"/>
                <w:lang w:val="en-US" w:eastAsia="zh-CN"/>
              </w:rPr>
              <w:t>128.4</w:t>
            </w:r>
          </w:p>
        </w:tc>
      </w:tr>
    </w:tbl>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s="Times New Roman"/>
          <w:color w:val="000000"/>
          <w:sz w:val="28"/>
          <w:highlight w:val="none"/>
        </w:rPr>
        <w:t>1、</w:t>
      </w:r>
      <w:r>
        <w:rPr>
          <w:rFonts w:eastAsia="方正仿宋_GBK" w:cs="Times New Roman"/>
          <w:b/>
          <w:color w:val="000000"/>
          <w:sz w:val="28"/>
          <w:highlight w:val="none"/>
        </w:rPr>
        <w:t>一般公共预算拨款收入：</w:t>
      </w:r>
      <w:r>
        <w:rPr>
          <w:rFonts w:eastAsia="方正仿宋_GBK" w:cs="Times New Roman"/>
          <w:color w:val="000000"/>
          <w:sz w:val="28"/>
          <w:highlight w:val="none"/>
        </w:rPr>
        <w:t>指</w:t>
      </w:r>
      <w:r>
        <w:rPr>
          <w:rFonts w:hint="eastAsia" w:eastAsia="方正仿宋_GBK" w:cs="Times New Roman"/>
          <w:color w:val="000000"/>
          <w:sz w:val="28"/>
          <w:highlight w:val="none"/>
          <w:lang w:val="en-US" w:eastAsia="zh-CN"/>
        </w:rPr>
        <w:t>区</w:t>
      </w:r>
      <w:r>
        <w:rPr>
          <w:rFonts w:eastAsia="方正仿宋_GBK" w:cs="Times New Roman"/>
          <w:color w:val="000000"/>
          <w:sz w:val="28"/>
          <w:highlight w:val="none"/>
        </w:rPr>
        <w:t>级财政当年拨付的资金。</w:t>
      </w:r>
    </w:p>
    <w:p>
      <w:pPr>
        <w:spacing w:line="500" w:lineRule="exact"/>
        <w:ind w:firstLine="560"/>
        <w:rPr>
          <w:highlight w:val="none"/>
        </w:rPr>
      </w:pPr>
      <w:r>
        <w:rPr>
          <w:rFonts w:eastAsia="方正仿宋_GBK" w:cs="Times New Roman"/>
          <w:color w:val="000000"/>
          <w:sz w:val="28"/>
          <w:highlight w:val="none"/>
        </w:rPr>
        <w:t>2、</w:t>
      </w:r>
      <w:r>
        <w:rPr>
          <w:rFonts w:eastAsia="方正仿宋_GBK" w:cs="Times New Roman"/>
          <w:b/>
          <w:color w:val="000000"/>
          <w:sz w:val="28"/>
          <w:highlight w:val="none"/>
        </w:rPr>
        <w:t>事业收入：</w:t>
      </w:r>
      <w:r>
        <w:rPr>
          <w:rFonts w:eastAsia="方正仿宋_GBK" w:cs="Times New Roman"/>
          <w:color w:val="000000"/>
          <w:sz w:val="28"/>
          <w:highlight w:val="none"/>
        </w:rPr>
        <w:t>指事业单位开展专业业务活动及辅助活动所取得的收入。</w:t>
      </w:r>
    </w:p>
    <w:p>
      <w:pPr>
        <w:spacing w:line="500" w:lineRule="exact"/>
        <w:ind w:firstLine="560"/>
        <w:rPr>
          <w:highlight w:val="none"/>
        </w:rPr>
      </w:pPr>
      <w:r>
        <w:rPr>
          <w:rFonts w:eastAsia="方正仿宋_GBK" w:cs="Times New Roman"/>
          <w:color w:val="000000"/>
          <w:sz w:val="28"/>
          <w:highlight w:val="none"/>
        </w:rPr>
        <w:t>3、</w:t>
      </w:r>
      <w:r>
        <w:rPr>
          <w:rFonts w:eastAsia="方正仿宋_GBK" w:cs="Times New Roman"/>
          <w:b/>
          <w:color w:val="000000"/>
          <w:sz w:val="28"/>
          <w:highlight w:val="none"/>
        </w:rPr>
        <w:t>其他收入：</w:t>
      </w:r>
      <w:r>
        <w:rPr>
          <w:rFonts w:eastAsia="方正仿宋_GBK" w:cs="Times New Roman"/>
          <w:color w:val="000000"/>
          <w:sz w:val="28"/>
          <w:highlight w:val="none"/>
        </w:rPr>
        <w:t>指除“一般公共预算拨款收入”、“事业收入”等以外的收入。主要是按规定动用的租房收入、存款利息收入等。</w:t>
      </w:r>
    </w:p>
    <w:p>
      <w:pPr>
        <w:spacing w:line="500" w:lineRule="exact"/>
        <w:ind w:firstLine="560"/>
        <w:rPr>
          <w:highlight w:val="none"/>
        </w:rPr>
      </w:pPr>
      <w:r>
        <w:rPr>
          <w:rFonts w:eastAsia="方正仿宋_GBK" w:cs="Times New Roman"/>
          <w:color w:val="000000"/>
          <w:sz w:val="28"/>
          <w:highlight w:val="none"/>
        </w:rPr>
        <w:t>4、</w:t>
      </w:r>
      <w:r>
        <w:rPr>
          <w:rFonts w:eastAsia="方正仿宋_GBK" w:cs="Times New Roman"/>
          <w:b/>
          <w:color w:val="000000"/>
          <w:sz w:val="28"/>
          <w:highlight w:val="none"/>
        </w:rPr>
        <w:t>基本支出：</w:t>
      </w:r>
      <w:r>
        <w:rPr>
          <w:rFonts w:eastAsia="方正仿宋_GBK" w:cs="Times New Roman"/>
          <w:color w:val="000000"/>
          <w:sz w:val="28"/>
          <w:highlight w:val="none"/>
        </w:rPr>
        <w:t>指为保障机构正常运转、完成日常工作任务而发生的人员支出和公用支出。</w:t>
      </w:r>
    </w:p>
    <w:p>
      <w:pPr>
        <w:spacing w:line="500" w:lineRule="exact"/>
        <w:ind w:firstLine="560"/>
        <w:rPr>
          <w:highlight w:val="none"/>
        </w:rPr>
      </w:pPr>
      <w:r>
        <w:rPr>
          <w:rFonts w:eastAsia="方正仿宋_GBK" w:cs="Times New Roman"/>
          <w:color w:val="000000"/>
          <w:sz w:val="28"/>
          <w:highlight w:val="none"/>
        </w:rPr>
        <w:t>5、</w:t>
      </w:r>
      <w:r>
        <w:rPr>
          <w:rFonts w:eastAsia="方正仿宋_GBK" w:cs="Times New Roman"/>
          <w:b/>
          <w:color w:val="000000"/>
          <w:sz w:val="28"/>
          <w:highlight w:val="none"/>
        </w:rPr>
        <w:t>项目支出：</w:t>
      </w:r>
      <w:r>
        <w:rPr>
          <w:rFonts w:eastAsia="方正仿宋_GBK" w:cs="Times New Roman"/>
          <w:color w:val="000000"/>
          <w:sz w:val="28"/>
          <w:highlight w:val="none"/>
        </w:rPr>
        <w:t>指在基本支出之外为完成特定行政任务和事业发展目标所发生的支出。</w:t>
      </w:r>
    </w:p>
    <w:p>
      <w:pPr>
        <w:spacing w:line="500" w:lineRule="exact"/>
        <w:ind w:firstLine="560"/>
        <w:rPr>
          <w:highlight w:val="none"/>
        </w:rPr>
      </w:pPr>
      <w:r>
        <w:rPr>
          <w:rFonts w:eastAsia="方正仿宋_GBK" w:cs="Times New Roman"/>
          <w:color w:val="000000"/>
          <w:sz w:val="28"/>
          <w:highlight w:val="none"/>
        </w:rPr>
        <w:t>6、</w:t>
      </w:r>
      <w:r>
        <w:rPr>
          <w:rFonts w:eastAsia="方正仿宋_GBK" w:cs="Times New Roman"/>
          <w:b/>
          <w:color w:val="000000"/>
          <w:sz w:val="28"/>
          <w:highlight w:val="none"/>
        </w:rPr>
        <w:t>上缴上级支出：</w:t>
      </w:r>
      <w:r>
        <w:rPr>
          <w:rFonts w:eastAsia="方正仿宋_GBK" w:cs="Times New Roman"/>
          <w:color w:val="000000"/>
          <w:sz w:val="28"/>
          <w:highlight w:val="none"/>
        </w:rPr>
        <w:t>指下级单位上缴上级的支出。</w:t>
      </w:r>
    </w:p>
    <w:p>
      <w:pPr>
        <w:spacing w:line="500" w:lineRule="exact"/>
        <w:ind w:firstLine="560"/>
        <w:rPr>
          <w:highlight w:val="none"/>
        </w:rPr>
      </w:pPr>
      <w:r>
        <w:rPr>
          <w:rFonts w:eastAsia="方正仿宋_GBK" w:cs="Times New Roman"/>
          <w:color w:val="000000"/>
          <w:sz w:val="28"/>
          <w:highlight w:val="none"/>
        </w:rPr>
        <w:t>7、</w:t>
      </w:r>
      <w:r>
        <w:rPr>
          <w:rFonts w:eastAsia="方正仿宋_GBK" w:cs="Times New Roman"/>
          <w:b/>
          <w:color w:val="000000"/>
          <w:sz w:val="28"/>
          <w:highlight w:val="none"/>
        </w:rPr>
        <w:t>“三公”经费：</w:t>
      </w:r>
      <w:r>
        <w:rPr>
          <w:rFonts w:eastAsia="方正仿宋_GBK" w:cs="Times New Roman"/>
          <w:color w:val="000000"/>
          <w:sz w:val="28"/>
          <w:highlight w:val="none"/>
        </w:rPr>
        <w:t>纳入</w:t>
      </w:r>
      <w:r>
        <w:rPr>
          <w:rFonts w:hint="eastAsia" w:eastAsia="方正仿宋_GBK" w:cs="Times New Roman"/>
          <w:color w:val="000000"/>
          <w:sz w:val="28"/>
          <w:highlight w:val="none"/>
          <w:lang w:val="en-US" w:eastAsia="zh-CN"/>
        </w:rPr>
        <w:t>区</w:t>
      </w:r>
      <w:r>
        <w:rPr>
          <w:rFonts w:eastAsia="方正仿宋_GBK" w:cs="Times New Roman"/>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s="Times New Roman"/>
          <w:color w:val="000000"/>
          <w:sz w:val="28"/>
          <w:highlight w:val="none"/>
        </w:rPr>
        <w:t>8、</w:t>
      </w:r>
      <w:r>
        <w:rPr>
          <w:rFonts w:eastAsia="方正仿宋_GBK" w:cs="Times New Roman"/>
          <w:b/>
          <w:color w:val="000000"/>
          <w:sz w:val="28"/>
          <w:highlight w:val="none"/>
        </w:rPr>
        <w:t>机关运行费：</w:t>
      </w:r>
      <w:r>
        <w:rPr>
          <w:rFonts w:eastAsia="方正仿宋_GBK" w:cs="Times New Roman"/>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highlight w:val="none"/>
        </w:rPr>
      </w:pPr>
      <w:r>
        <w:rPr>
          <w:rFonts w:eastAsia="方正仿宋_GBK" w:cs="Times New Roman"/>
          <w:color w:val="000000"/>
          <w:sz w:val="28"/>
          <w:highlight w:val="none"/>
        </w:rPr>
        <w:t>9、</w:t>
      </w:r>
      <w:r>
        <w:rPr>
          <w:rFonts w:eastAsia="方正仿宋_GBK" w:cs="Times New Roman"/>
          <w:b/>
          <w:color w:val="000000"/>
          <w:sz w:val="28"/>
          <w:highlight w:val="none"/>
        </w:rPr>
        <w:t>上年结转：</w:t>
      </w:r>
      <w:r>
        <w:rPr>
          <w:rFonts w:eastAsia="方正仿宋_GBK" w:cs="Times New Roman"/>
          <w:color w:val="000000"/>
          <w:sz w:val="28"/>
          <w:highlight w:val="none"/>
        </w:rPr>
        <w:t>指以前年度尚未完成、结转到本年仍按原规定用途继续使用的资金。</w:t>
      </w:r>
    </w:p>
    <w:p>
      <w:pPr>
        <w:spacing w:line="500" w:lineRule="exact"/>
        <w:ind w:firstLine="560"/>
        <w:rPr>
          <w:highlight w:val="none"/>
        </w:rPr>
      </w:pPr>
      <w:r>
        <w:rPr>
          <w:rFonts w:eastAsia="方正仿宋_GBK" w:cs="Times New Roman"/>
          <w:color w:val="000000"/>
          <w:sz w:val="28"/>
          <w:highlight w:val="none"/>
        </w:rPr>
        <w:t>10、</w:t>
      </w:r>
      <w:r>
        <w:rPr>
          <w:rFonts w:eastAsia="方正仿宋_GBK" w:cs="Times New Roman"/>
          <w:b/>
          <w:color w:val="000000"/>
          <w:sz w:val="28"/>
          <w:highlight w:val="none"/>
        </w:rPr>
        <w:t>事业单位经营支出：</w:t>
      </w:r>
      <w:r>
        <w:rPr>
          <w:rFonts w:eastAsia="方正仿宋_GBK" w:cs="Times New Roman"/>
          <w:color w:val="000000"/>
          <w:sz w:val="28"/>
          <w:highlight w:val="none"/>
        </w:rPr>
        <w:t>指事业单位在专业业务活动及其辅助活动之外开展非独立核算经营活动发生的支出。</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rFonts w:hint="eastAsia"/>
          <w:highlight w:val="none"/>
          <w:lang w:eastAsia="zh-CN"/>
        </w:rPr>
        <w:sectPr>
          <w:pgSz w:w="16840" w:h="11900" w:orient="landscape"/>
          <w:pgMar w:top="1361" w:right="1020" w:bottom="1134" w:left="1020" w:header="720" w:footer="720" w:gutter="0"/>
          <w:cols w:space="720" w:num="1"/>
        </w:sectPr>
      </w:pPr>
      <w:r>
        <w:rPr>
          <w:rFonts w:eastAsia="方正仿宋_GBK" w:cs="Times New Roman"/>
          <w:color w:val="000000"/>
          <w:sz w:val="28"/>
          <w:highlight w:val="none"/>
        </w:rPr>
        <w:t>我单位无其他需要说明的</w:t>
      </w:r>
      <w:r>
        <w:rPr>
          <w:rFonts w:hint="eastAsia" w:eastAsia="方正仿宋_GBK" w:cs="Times New Roman"/>
          <w:color w:val="000000"/>
          <w:sz w:val="28"/>
          <w:highlight w:val="none"/>
          <w:lang w:eastAsia="zh-CN"/>
        </w:rPr>
        <w:t>事项</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D438A"/>
    <w:multiLevelType w:val="singleLevel"/>
    <w:tmpl w:val="C04D438A"/>
    <w:lvl w:ilvl="0" w:tentative="0">
      <w:start w:val="3"/>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62078"/>
    <w:rsid w:val="7976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Body Text"/>
    <w:basedOn w:val="1"/>
    <w:next w:val="4"/>
    <w:qFormat/>
    <w:uiPriority w:val="0"/>
    <w:pPr>
      <w:spacing w:line="420" w:lineRule="exact"/>
    </w:pPr>
    <w:rPr>
      <w:sz w:val="24"/>
      <w:szCs w:val="20"/>
    </w:rPr>
  </w:style>
  <w:style w:type="paragraph" w:styleId="4">
    <w:name w:val="toc 2"/>
    <w:basedOn w:val="1"/>
    <w:next w:val="1"/>
    <w:qFormat/>
    <w:uiPriority w:val="0"/>
    <w:pPr>
      <w:ind w:left="240"/>
    </w:p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2023-03-16T06:15:00Z</dcterms:created>
  <dc:creator>XQZW</dc:creator>
  <cp:lastModifiedBy>XQZW</cp:lastModifiedBy>
  <dcterms:modified xsi:type="dcterms:W3CDTF">2023-03-16T06:15:44Z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