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default" w:ascii="Times New Roman" w:hAnsi="Times New Roman" w:cs="Times New Roman"/>
        </w:rPr>
      </w:pPr>
      <w:r>
        <w:rPr>
          <w:rFonts w:hint="default" w:ascii="Times New Roman" w:hAnsi="Times New Roman" w:eastAsia="黑体" w:cs="Times New Roman"/>
          <w:b/>
          <w:color w:val="000000"/>
          <w:sz w:val="44"/>
        </w:rPr>
        <w:t>202</w:t>
      </w:r>
      <w:r>
        <w:rPr>
          <w:rFonts w:hint="eastAsia" w:eastAsia="黑体" w:cs="Times New Roman"/>
          <w:b/>
          <w:color w:val="000000"/>
          <w:sz w:val="44"/>
          <w:lang w:val="en-US" w:eastAsia="zh-CN"/>
        </w:rPr>
        <w:t>1</w:t>
      </w:r>
      <w:r>
        <w:rPr>
          <w:rFonts w:hint="default" w:ascii="Times New Roman" w:hAnsi="Times New Roman" w:eastAsia="黑体" w:cs="Times New Roman"/>
          <w:b/>
          <w:color w:val="000000"/>
          <w:sz w:val="44"/>
        </w:rPr>
        <w:t>年部门预算信息公开目录</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第一部分  部门预算</w:t>
      </w:r>
    </w:p>
    <w:p>
      <w:pPr>
        <w:spacing w:before="0" w:after="0" w:line="240" w:lineRule="auto"/>
        <w:ind w:firstLine="0"/>
        <w:jc w:val="left"/>
        <w:outlineLvl w:val="9"/>
        <w:rPr>
          <w:rFonts w:hint="default" w:ascii="Times New Roman" w:hAnsi="Times New Roman" w:cs="Times New Roman"/>
        </w:rPr>
      </w:pPr>
      <w:r>
        <w:rPr>
          <w:rFonts w:hint="default" w:ascii="Times New Roman" w:hAnsi="Times New Roman" w:eastAsia="方正楷体_GBK" w:cs="Times New Roman"/>
          <w:b/>
          <w:color w:val="000000"/>
          <w:sz w:val="28"/>
        </w:rPr>
        <w:t>部门预算公开表</w:t>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"2-2" \h \z \u</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"_Toc_2_2_0000000001" </w:instrText>
      </w:r>
      <w:r>
        <w:rPr>
          <w:rFonts w:hint="default" w:ascii="Times New Roman" w:hAnsi="Times New Roman" w:cs="Times New Roman"/>
        </w:rPr>
        <w:fldChar w:fldCharType="separate"/>
      </w:r>
      <w:r>
        <w:rPr>
          <w:rFonts w:hint="default" w:ascii="Times New Roman" w:hAnsi="Times New Roman" w:cs="Times New Roman"/>
        </w:rPr>
        <w:t>部门预算收支总表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_Toc_2_2_0000000001 \h</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"_Toc_2_2_0000000002" </w:instrText>
      </w:r>
      <w:r>
        <w:rPr>
          <w:rFonts w:hint="default" w:ascii="Times New Roman" w:hAnsi="Times New Roman" w:cs="Times New Roman"/>
        </w:rPr>
        <w:fldChar w:fldCharType="separate"/>
      </w:r>
      <w:r>
        <w:rPr>
          <w:rFonts w:hint="default" w:ascii="Times New Roman" w:hAnsi="Times New Roman" w:cs="Times New Roman"/>
        </w:rPr>
        <w:t>部门预算收入总表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_Toc_2_2_0000000002 \h</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"_Toc_2_2_0000000003" </w:instrText>
      </w:r>
      <w:r>
        <w:rPr>
          <w:rFonts w:hint="default" w:ascii="Times New Roman" w:hAnsi="Times New Roman" w:cs="Times New Roman"/>
        </w:rPr>
        <w:fldChar w:fldCharType="separate"/>
      </w:r>
      <w:r>
        <w:rPr>
          <w:rFonts w:hint="default" w:ascii="Times New Roman" w:hAnsi="Times New Roman" w:cs="Times New Roman"/>
        </w:rPr>
        <w:t>部门预算支出总表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_Toc_2_2_0000000003 \h</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"_Toc_2_2_0000000004" </w:instrText>
      </w:r>
      <w:r>
        <w:rPr>
          <w:rFonts w:hint="default" w:ascii="Times New Roman" w:hAnsi="Times New Roman" w:cs="Times New Roman"/>
        </w:rPr>
        <w:fldChar w:fldCharType="separate"/>
      </w:r>
      <w:r>
        <w:rPr>
          <w:rFonts w:hint="default" w:ascii="Times New Roman" w:hAnsi="Times New Roman" w:cs="Times New Roman"/>
        </w:rPr>
        <w:t>部门预算财政拨款收支总表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_Toc_2_2_0000000004 \h</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"_Toc_2_2_0000000005" </w:instrText>
      </w:r>
      <w:r>
        <w:rPr>
          <w:rFonts w:hint="default" w:ascii="Times New Roman" w:hAnsi="Times New Roman" w:cs="Times New Roman"/>
        </w:rPr>
        <w:fldChar w:fldCharType="separate"/>
      </w:r>
      <w:r>
        <w:rPr>
          <w:rFonts w:hint="default" w:ascii="Times New Roman" w:hAnsi="Times New Roman" w:cs="Times New Roman"/>
        </w:rPr>
        <w:t>部门预算一般公共预算财政拨款支出表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_Toc_2_2_0000000005 \h</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"_Toc_2_2_0000000006" </w:instrText>
      </w:r>
      <w:r>
        <w:rPr>
          <w:rFonts w:hint="default" w:ascii="Times New Roman" w:hAnsi="Times New Roman" w:cs="Times New Roman"/>
        </w:rPr>
        <w:fldChar w:fldCharType="separate"/>
      </w:r>
      <w:r>
        <w:rPr>
          <w:rFonts w:hint="default" w:ascii="Times New Roman" w:hAnsi="Times New Roman" w:cs="Times New Roman"/>
        </w:rPr>
        <w:t>部门预算一般公共预算财政拨款基本支出表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_Toc_2_2_0000000006 \h</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"_Toc_2_2_0000000007" </w:instrText>
      </w:r>
      <w:r>
        <w:rPr>
          <w:rFonts w:hint="default" w:ascii="Times New Roman" w:hAnsi="Times New Roman" w:cs="Times New Roman"/>
        </w:rPr>
        <w:fldChar w:fldCharType="separate"/>
      </w:r>
      <w:r>
        <w:rPr>
          <w:rFonts w:hint="default" w:ascii="Times New Roman" w:hAnsi="Times New Roman" w:cs="Times New Roman"/>
        </w:rPr>
        <w:t>部门预算政府基金预算财政拨款支出表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_Toc_2_2_0000000007 \h</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"_Toc_2_2_0000000008" </w:instrText>
      </w:r>
      <w:r>
        <w:rPr>
          <w:rFonts w:hint="default" w:ascii="Times New Roman" w:hAnsi="Times New Roman" w:cs="Times New Roman"/>
        </w:rPr>
        <w:fldChar w:fldCharType="separate"/>
      </w:r>
      <w:r>
        <w:rPr>
          <w:rFonts w:hint="default" w:ascii="Times New Roman" w:hAnsi="Times New Roman" w:cs="Times New Roman"/>
        </w:rPr>
        <w:t>部门预算国有资本经营预算财政拨款支出表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_Toc_2_2_0000000008 \h</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"_Toc_2_2_0000000009" </w:instrText>
      </w:r>
      <w:r>
        <w:rPr>
          <w:rFonts w:hint="default" w:ascii="Times New Roman" w:hAnsi="Times New Roman" w:cs="Times New Roman"/>
        </w:rPr>
        <w:fldChar w:fldCharType="separate"/>
      </w:r>
      <w:r>
        <w:rPr>
          <w:rFonts w:hint="default" w:ascii="Times New Roman" w:hAnsi="Times New Roman" w:cs="Times New Roman"/>
        </w:rPr>
        <w:t>部门预算财政拨款“三公”经费支出表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_Toc_2_2_0000000009 \h</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p>
      <w:pPr>
        <w:spacing w:before="0" w:after="0" w:line="240" w:lineRule="auto"/>
        <w:ind w:firstLine="0"/>
        <w:jc w:val="left"/>
        <w:outlineLvl w:val="9"/>
        <w:rPr>
          <w:rFonts w:hint="default" w:ascii="Times New Roman" w:hAnsi="Times New Roman" w:cs="Times New Roman"/>
        </w:rPr>
      </w:pPr>
      <w:r>
        <w:rPr>
          <w:rFonts w:hint="default" w:ascii="Times New Roman" w:hAnsi="Times New Roman" w:eastAsia="方正楷体_GBK" w:cs="Times New Roman"/>
          <w:b/>
          <w:color w:val="000000"/>
          <w:sz w:val="28"/>
        </w:rPr>
        <w:t>部门预算信息公开情况说明</w:t>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"3-3" \h \z \u</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"_Toc_3_3_0000000010" </w:instrText>
      </w:r>
      <w:r>
        <w:rPr>
          <w:rFonts w:hint="default" w:ascii="Times New Roman" w:hAnsi="Times New Roman" w:cs="Times New Roman"/>
        </w:rPr>
        <w:fldChar w:fldCharType="separate"/>
      </w:r>
      <w:r>
        <w:rPr>
          <w:rFonts w:hint="default" w:ascii="Times New Roman" w:hAnsi="Times New Roman" w:cs="Times New Roman"/>
        </w:rPr>
        <w:t>一、部门职责及机构设置情况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_Toc_3_3_0000000010 \h</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"_Toc_3_3_0000000011" </w:instrText>
      </w:r>
      <w:r>
        <w:rPr>
          <w:rFonts w:hint="default" w:ascii="Times New Roman" w:hAnsi="Times New Roman" w:cs="Times New Roman"/>
        </w:rPr>
        <w:fldChar w:fldCharType="separate"/>
      </w:r>
      <w:r>
        <w:rPr>
          <w:rFonts w:hint="default" w:ascii="Times New Roman" w:hAnsi="Times New Roman" w:cs="Times New Roman"/>
        </w:rPr>
        <w:t>二、部门预算安排的总体情况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_Toc_3_3_0000000011 \h</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"_Toc_3_3_0000000012" </w:instrText>
      </w:r>
      <w:r>
        <w:rPr>
          <w:rFonts w:hint="default" w:ascii="Times New Roman" w:hAnsi="Times New Roman" w:cs="Times New Roman"/>
        </w:rPr>
        <w:fldChar w:fldCharType="separate"/>
      </w:r>
      <w:r>
        <w:rPr>
          <w:rFonts w:hint="default" w:ascii="Times New Roman" w:hAnsi="Times New Roman" w:cs="Times New Roman"/>
        </w:rPr>
        <w:t>三、机关运行经费安排情况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_Toc_3_3_0000000011 \h</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"_Toc_3_3_0000000013" </w:instrText>
      </w:r>
      <w:r>
        <w:rPr>
          <w:rFonts w:hint="default" w:ascii="Times New Roman" w:hAnsi="Times New Roman" w:cs="Times New Roman"/>
        </w:rPr>
        <w:fldChar w:fldCharType="separate"/>
      </w:r>
      <w:r>
        <w:rPr>
          <w:rFonts w:hint="default" w:ascii="Times New Roman" w:hAnsi="Times New Roman" w:cs="Times New Roman"/>
        </w:rPr>
        <w:t>四、财政拨款“三公”经费预算情况及增减变化原因</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_Toc_3_3_0000000013 \h</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"_Toc_3_3_0000000014" </w:instrText>
      </w:r>
      <w:r>
        <w:rPr>
          <w:rFonts w:hint="default" w:ascii="Times New Roman" w:hAnsi="Times New Roman" w:cs="Times New Roman"/>
        </w:rPr>
        <w:fldChar w:fldCharType="separate"/>
      </w:r>
      <w:r>
        <w:rPr>
          <w:rFonts w:hint="default" w:ascii="Times New Roman" w:hAnsi="Times New Roman" w:cs="Times New Roman"/>
        </w:rPr>
        <w:t>五、预算绩效信息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_Toc_3_3_0000000014 \h</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"_Toc_3_3_0000000015" </w:instrText>
      </w:r>
      <w:r>
        <w:rPr>
          <w:rFonts w:hint="default" w:ascii="Times New Roman" w:hAnsi="Times New Roman" w:cs="Times New Roman"/>
        </w:rPr>
        <w:fldChar w:fldCharType="separate"/>
      </w:r>
      <w:r>
        <w:rPr>
          <w:rFonts w:hint="default" w:ascii="Times New Roman" w:hAnsi="Times New Roman" w:cs="Times New Roman"/>
        </w:rPr>
        <w:t>六、政府采购预算情况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_Toc_3_3_0000000015 \h</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"_Toc_3_3_0000000016" </w:instrText>
      </w:r>
      <w:r>
        <w:rPr>
          <w:rFonts w:hint="default" w:ascii="Times New Roman" w:hAnsi="Times New Roman" w:cs="Times New Roman"/>
        </w:rPr>
        <w:fldChar w:fldCharType="separate"/>
      </w:r>
      <w:r>
        <w:rPr>
          <w:rFonts w:hint="default" w:ascii="Times New Roman" w:hAnsi="Times New Roman" w:cs="Times New Roman"/>
        </w:rPr>
        <w:t>七、国有资产信息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_Toc_3_3_0000000016 \h</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"_Toc_3_3_0000000017" </w:instrText>
      </w:r>
      <w:r>
        <w:rPr>
          <w:rFonts w:hint="default" w:ascii="Times New Roman" w:hAnsi="Times New Roman" w:cs="Times New Roman"/>
        </w:rPr>
        <w:fldChar w:fldCharType="separate"/>
      </w:r>
      <w:r>
        <w:rPr>
          <w:rFonts w:hint="default" w:ascii="Times New Roman" w:hAnsi="Times New Roman" w:cs="Times New Roman"/>
        </w:rPr>
        <w:t>八、名词解释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_Toc_3_3_0000000017 \h</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"_Toc_3_3_0000000018" </w:instrText>
      </w:r>
      <w:r>
        <w:rPr>
          <w:rFonts w:hint="default" w:ascii="Times New Roman" w:hAnsi="Times New Roman" w:cs="Times New Roman"/>
        </w:rPr>
        <w:fldChar w:fldCharType="separate"/>
      </w:r>
      <w:r>
        <w:rPr>
          <w:rFonts w:hint="default" w:ascii="Times New Roman" w:hAnsi="Times New Roman" w:cs="Times New Roman"/>
        </w:rPr>
        <w:t>九、其他需要说明的事项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_Toc_3_3_0000000018 \h</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第二部分  部门所属单位预算</w:t>
      </w:r>
    </w:p>
    <w:p>
      <w:pPr>
        <w:pStyle w:val="5"/>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"4-4" \h \z \u</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"_Toc_4_4_0000000019" </w:instrText>
      </w:r>
      <w:r>
        <w:rPr>
          <w:rFonts w:hint="default" w:ascii="Times New Roman" w:hAnsi="Times New Roman" w:cs="Times New Roman"/>
        </w:rPr>
        <w:fldChar w:fldCharType="separate"/>
      </w:r>
      <w:r>
        <w:rPr>
          <w:rFonts w:hint="default" w:ascii="Times New Roman" w:hAnsi="Times New Roman" w:cs="Times New Roman"/>
          <w:b w:val="0"/>
        </w:rPr>
        <w:t>一、秦皇岛北戴河新区行政审批局本级收支预算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_Toc_4_4_0000000019 \h</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5"/>
        <w:tabs>
          <w:tab w:val="right" w:leader="dot" w:pos="14562"/>
        </w:tabs>
        <w:rPr>
          <w:rFonts w:hint="default" w:ascii="Times New Roman" w:hAnsi="Times New Roman" w:cs="Times New Roman"/>
        </w:rPr>
      </w:pPr>
    </w:p>
    <w:p>
      <w:pPr>
        <w:rPr>
          <w:rFonts w:hint="default" w:ascii="Times New Roman" w:hAnsi="Times New Roman" w:cs="Times New Roman"/>
        </w:rPr>
        <w:sectPr>
          <w:headerReference r:id="rId3" w:type="default"/>
          <w:footerReference r:id="rId4" w:type="default"/>
          <w:pgSz w:w="16840" w:h="11900" w:orient="landscape"/>
          <w:pgMar w:top="1587" w:right="1134" w:bottom="1361" w:left="1134" w:header="720" w:footer="720" w:gutter="0"/>
          <w:pgNumType w:start="1"/>
          <w:cols w:space="720" w:num="1"/>
        </w:sectPr>
      </w:pPr>
      <w:r>
        <w:rPr>
          <w:rFonts w:hint="default" w:ascii="Times New Roman" w:hAnsi="Times New Roman" w:cs="Times New Roman"/>
        </w:rPr>
        <w:fldChar w:fldCharType="end"/>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0"/>
        <w:rPr>
          <w:rFonts w:hint="default" w:ascii="Times New Roman" w:hAnsi="Times New Roman" w:cs="Times New Roman"/>
        </w:rPr>
        <w:sectPr>
          <w:footerReference r:id="rId5" w:type="default"/>
          <w:footerReference r:id="rId6" w:type="even"/>
          <w:pgSz w:w="16840" w:h="11900" w:orient="landscape"/>
          <w:pgMar w:top="1361" w:right="1020" w:bottom="1134" w:left="1020" w:header="720" w:footer="720" w:gutter="0"/>
          <w:pgNumType w:start="1"/>
          <w:cols w:space="720" w:num="1"/>
        </w:sectPr>
      </w:pPr>
      <w:r>
        <w:rPr>
          <w:rFonts w:hint="default" w:ascii="Times New Roman" w:hAnsi="Times New Roman" w:eastAsia="方正小标宋_GBK" w:cs="Times New Roman"/>
          <w:color w:val="000000"/>
          <w:sz w:val="72"/>
        </w:rPr>
        <w:t>第一部分  部门预算</w:t>
      </w:r>
    </w:p>
    <w:p>
      <w:pPr>
        <w:spacing w:before="0" w:after="0" w:line="240" w:lineRule="auto"/>
        <w:ind w:firstLine="0"/>
        <w:jc w:val="center"/>
        <w:outlineLvl w:val="1"/>
        <w:rPr>
          <w:rFonts w:hint="default" w:ascii="Times New Roman" w:hAnsi="Times New Roman" w:cs="Times New Roman"/>
        </w:rPr>
      </w:pPr>
      <w:bookmarkStart w:id="0" w:name="_Toc_2_2_0000000001"/>
      <w:r>
        <w:rPr>
          <w:rFonts w:hint="default" w:ascii="Times New Roman" w:hAnsi="Times New Roman" w:eastAsia="方正小标宋_GBK" w:cs="Times New Roman"/>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877"/>
        <w:gridCol w:w="2065"/>
        <w:gridCol w:w="2248"/>
        <w:gridCol w:w="1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8" w:type="dxa"/>
            <w:gridSpan w:val="2"/>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eastAsia="方正小标宋_GBK" w:cs="Times New Roman"/>
                <w:lang w:val="en-US" w:eastAsia="zh-CN"/>
              </w:rPr>
            </w:pPr>
            <w:r>
              <w:rPr>
                <w:rFonts w:hint="default" w:ascii="Times New Roman" w:hAnsi="Times New Roman" w:cs="Times New Roman"/>
              </w:rPr>
              <w:t>316</w:t>
            </w:r>
            <w:r>
              <w:rPr>
                <w:rFonts w:hint="default" w:ascii="Times New Roman" w:hAnsi="Times New Roman" w:cs="Times New Roman"/>
                <w:lang w:val="en-US" w:eastAsia="zh-CN"/>
              </w:rPr>
              <w:t xml:space="preserve"> </w:t>
            </w:r>
            <w:r>
              <w:rPr>
                <w:rFonts w:hint="default" w:ascii="Times New Roman" w:hAnsi="Times New Roman" w:cs="Times New Roman"/>
              </w:rPr>
              <w:t>秦皇岛北戴河新区行政审批局</w:t>
            </w:r>
            <w:r>
              <w:rPr>
                <w:rFonts w:hint="default" w:ascii="Times New Roman" w:hAnsi="Times New Roman" w:cs="Times New Roman"/>
                <w:lang w:val="en-US" w:eastAsia="zh-CN"/>
              </w:rPr>
              <w:t xml:space="preserve">      </w:t>
            </w:r>
          </w:p>
        </w:tc>
        <w:tc>
          <w:tcPr>
            <w:tcW w:w="2065" w:type="dxa"/>
            <w:tcBorders>
              <w:top w:val="single" w:color="FFFFFF" w:sz="6" w:space="0"/>
              <w:left w:val="single" w:color="FFFFFF" w:sz="6" w:space="0"/>
              <w:right w:val="single" w:color="FFFFFF" w:sz="6" w:space="0"/>
            </w:tcBorders>
            <w:noWrap w:val="0"/>
            <w:vAlign w:val="center"/>
          </w:tcPr>
          <w:p>
            <w:pPr>
              <w:pStyle w:val="34"/>
              <w:jc w:val="both"/>
              <w:rPr>
                <w:rFonts w:hint="eastAsia" w:ascii="Times New Roman" w:hAnsi="Times New Roman" w:eastAsia="方正小标宋_GBK" w:cs="Times New Roman"/>
                <w:lang w:val="en-US" w:eastAsia="zh-CN"/>
              </w:rPr>
            </w:pPr>
            <w:r>
              <w:rPr>
                <w:rFonts w:hint="default" w:ascii="Times New Roman" w:hAnsi="Times New Roman" w:cs="Times New Roman"/>
              </w:rPr>
              <w:t>预算年度</w:t>
            </w:r>
            <w:r>
              <w:rPr>
                <w:rFonts w:hint="default" w:ascii="Times New Roman" w:hAnsi="Times New Roman" w:cs="Times New Roman"/>
                <w:lang w:eastAsia="zh-CN"/>
              </w:rPr>
              <w:t>：</w:t>
            </w:r>
            <w:r>
              <w:rPr>
                <w:rFonts w:hint="default" w:ascii="Times New Roman" w:hAnsi="Times New Roman" w:cs="Times New Roman"/>
              </w:rPr>
              <w:t>202</w:t>
            </w:r>
            <w:r>
              <w:rPr>
                <w:rFonts w:hint="eastAsia" w:ascii="Times New Roman" w:hAnsi="Times New Roman" w:cs="Times New Roman"/>
                <w:lang w:val="en-US" w:eastAsia="zh-CN"/>
              </w:rPr>
              <w:t>1</w:t>
            </w:r>
          </w:p>
        </w:tc>
        <w:tc>
          <w:tcPr>
            <w:tcW w:w="3942" w:type="dxa"/>
            <w:gridSpan w:val="2"/>
            <w:tcBorders>
              <w:top w:val="single" w:color="FFFFFF" w:sz="6" w:space="0"/>
              <w:left w:val="single" w:color="FFFFFF" w:sz="6" w:space="0"/>
              <w:right w:val="single" w:color="FFFFFF" w:sz="6" w:space="0"/>
            </w:tcBorders>
            <w:noWrap w:val="0"/>
            <w:vAlign w:val="center"/>
          </w:tcPr>
          <w:p>
            <w:pPr>
              <w:pStyle w:val="22"/>
              <w:jc w:val="cente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3942"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收入</w:t>
            </w:r>
          </w:p>
        </w:tc>
        <w:tc>
          <w:tcPr>
            <w:tcW w:w="3942"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noWrap w:val="0"/>
            <w:vAlign w:val="top"/>
          </w:tcPr>
          <w:p>
            <w:pPr>
              <w:rPr>
                <w:rFonts w:hint="default" w:ascii="Times New Roman" w:hAnsi="Times New Roman" w:cs="Times New Roman"/>
              </w:rPr>
            </w:pPr>
          </w:p>
        </w:tc>
        <w:tc>
          <w:tcPr>
            <w:tcW w:w="1877"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2065" w:type="dxa"/>
            <w:noWrap w:val="0"/>
            <w:vAlign w:val="center"/>
          </w:tcPr>
          <w:p>
            <w:pPr>
              <w:pStyle w:val="29"/>
              <w:rPr>
                <w:rFonts w:hint="default" w:ascii="Times New Roman" w:hAnsi="Times New Roman" w:cs="Times New Roman"/>
              </w:rPr>
            </w:pPr>
            <w:r>
              <w:rPr>
                <w:rFonts w:hint="default" w:ascii="Times New Roman" w:hAnsi="Times New Roman" w:cs="Times New Roman"/>
              </w:rPr>
              <w:t>预算数</w:t>
            </w:r>
          </w:p>
        </w:tc>
        <w:tc>
          <w:tcPr>
            <w:tcW w:w="2248"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1694" w:type="dxa"/>
            <w:noWrap w:val="0"/>
            <w:vAlign w:val="center"/>
          </w:tcPr>
          <w:p>
            <w:pPr>
              <w:pStyle w:val="29"/>
              <w:rPr>
                <w:rFonts w:hint="default" w:ascii="Times New Roman" w:hAnsi="Times New Roman" w:cs="Times New Roman"/>
              </w:rPr>
            </w:pPr>
            <w:r>
              <w:rPr>
                <w:rFonts w:hint="default"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877"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2065"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248"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94"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一、一般公共预算拨款收入</w:t>
            </w:r>
          </w:p>
        </w:tc>
        <w:tc>
          <w:tcPr>
            <w:tcW w:w="2065" w:type="dxa"/>
            <w:noWrap w:val="0"/>
            <w:vAlign w:val="center"/>
          </w:tcPr>
          <w:p>
            <w:pPr>
              <w:pStyle w:val="12"/>
              <w:rPr>
                <w:rFonts w:hint="eastAsia" w:ascii="Times New Roman" w:hAnsi="Times New Roman" w:eastAsia="方正书宋_GBK" w:cs="Times New Roman"/>
                <w:lang w:eastAsia="zh-C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2</w:t>
            </w: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一、一般公共服务支出</w:t>
            </w:r>
          </w:p>
        </w:tc>
        <w:tc>
          <w:tcPr>
            <w:tcW w:w="1694"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二、政府性基金预算拨款收入</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二、外交支出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三、国有资本经营预算拨款收入</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三、国防支出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四、财政专户管理资金收入</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四、公共安全支出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五、事业收入</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五、教育支出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六、事业单位经营收入</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六、科学技术支出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七、上级补助收入</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七、文化旅游体育与传媒支出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八、附属单位上缴收入</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八、社会保障和就业支出</w:t>
            </w:r>
          </w:p>
        </w:tc>
        <w:tc>
          <w:tcPr>
            <w:tcW w:w="1694"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九、其他收入</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九、社会保险基金支出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十、卫生健康支出</w:t>
            </w:r>
          </w:p>
        </w:tc>
        <w:tc>
          <w:tcPr>
            <w:tcW w:w="1694" w:type="dxa"/>
            <w:noWrap w:val="0"/>
            <w:vAlign w:val="center"/>
          </w:tcPr>
          <w:p>
            <w:pPr>
              <w:pStyle w:val="12"/>
              <w:rPr>
                <w:rFonts w:hint="eastAsia" w:ascii="Times New Roman" w:hAnsi="Times New Roman" w:eastAsia="方正书宋_GBK" w:cs="Times New Roman"/>
                <w:lang w:eastAsia="zh-CN"/>
              </w:rPr>
            </w:pPr>
            <w:r>
              <w:rPr>
                <w:rFonts w:hint="default" w:ascii="Times New Roman" w:hAnsi="Times New Roman" w:cs="Times New Roman"/>
              </w:rPr>
              <w:t>55</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十一、节能环保支出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十二、城乡社区支出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十三、农林水支出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十四、交通运输支出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十五、资源勘探工业信息等支出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16</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十六、商业服务业等支出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17</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十七、金融支出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18</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十八、援助其他地区支出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19</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十九、自然资源海洋气象等支出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20</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二十、住房保障支出</w:t>
            </w:r>
          </w:p>
        </w:tc>
        <w:tc>
          <w:tcPr>
            <w:tcW w:w="1694" w:type="dxa"/>
            <w:noWrap w:val="0"/>
            <w:vAlign w:val="center"/>
          </w:tcPr>
          <w:p>
            <w:pPr>
              <w:pStyle w:val="12"/>
              <w:rPr>
                <w:rFonts w:hint="default" w:ascii="Times New Roman" w:hAnsi="Times New Roman" w:cs="Times New Roman"/>
              </w:rPr>
            </w:pPr>
            <w:r>
              <w:rPr>
                <w:rFonts w:hint="default" w:ascii="Times New Roman" w:hAnsi="Times New Roman" w:cs="Times New Roman"/>
              </w:rPr>
              <w:t>42</w:t>
            </w:r>
            <w:r>
              <w:rPr>
                <w:rFonts w:hint="eastAsia" w:ascii="Times New Roman" w:hAnsi="Times New Roman" w:cs="Times New Roman"/>
                <w:lang w:val="en-US" w:eastAsia="zh-CN"/>
              </w:rPr>
              <w:t>.</w:t>
            </w:r>
            <w:r>
              <w:rPr>
                <w:rFonts w:hint="default" w:ascii="Times New Roman" w:hAnsi="Times New Roman" w:cs="Times New Roman"/>
              </w:rPr>
              <w:t>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21</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二十一、粮油物资储备支出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22</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二十二、国有资本经营预算支出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23</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二十三、灾害防治及应急管理支出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24</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二十四、预备费</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25</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二十五、其他支出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26</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二十六、转移性支出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27</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二十七、债务还本支出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28</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二十八、债务付息支出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29</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二十九、债务发行费用支出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30</w:t>
            </w:r>
          </w:p>
        </w:tc>
        <w:tc>
          <w:tcPr>
            <w:tcW w:w="1877" w:type="dxa"/>
            <w:noWrap w:val="0"/>
            <w:vAlign w:val="center"/>
          </w:tcPr>
          <w:p>
            <w:pPr>
              <w:pStyle w:val="16"/>
              <w:rPr>
                <w:rFonts w:hint="default" w:ascii="Times New Roman" w:hAnsi="Times New Roman" w:cs="Times New Roman"/>
              </w:rPr>
            </w:pP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三十、抗疫特别国债安排的支出</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31</w:t>
            </w:r>
          </w:p>
        </w:tc>
        <w:tc>
          <w:tcPr>
            <w:tcW w:w="1877" w:type="dxa"/>
            <w:noWrap w:val="0"/>
            <w:vAlign w:val="center"/>
          </w:tcPr>
          <w:p>
            <w:pPr>
              <w:pStyle w:val="35"/>
              <w:rPr>
                <w:rFonts w:hint="default" w:ascii="Times New Roman" w:hAnsi="Times New Roman" w:cs="Times New Roman"/>
              </w:rPr>
            </w:pPr>
            <w:r>
              <w:rPr>
                <w:rFonts w:hint="default" w:ascii="Times New Roman" w:hAnsi="Times New Roman" w:cs="Times New Roman"/>
              </w:rPr>
              <w:t>本年收入合计</w:t>
            </w:r>
          </w:p>
        </w:tc>
        <w:tc>
          <w:tcPr>
            <w:tcW w:w="2065"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12</w:t>
            </w:r>
          </w:p>
        </w:tc>
        <w:tc>
          <w:tcPr>
            <w:tcW w:w="2248" w:type="dxa"/>
            <w:noWrap w:val="0"/>
            <w:vAlign w:val="center"/>
          </w:tcPr>
          <w:p>
            <w:pPr>
              <w:pStyle w:val="35"/>
              <w:rPr>
                <w:rFonts w:hint="default" w:ascii="Times New Roman" w:hAnsi="Times New Roman" w:cs="Times New Roman"/>
              </w:rPr>
            </w:pPr>
            <w:r>
              <w:rPr>
                <w:rFonts w:hint="default" w:ascii="Times New Roman" w:hAnsi="Times New Roman" w:cs="Times New Roman"/>
              </w:rPr>
              <w:t>本年支出合计</w:t>
            </w:r>
          </w:p>
        </w:tc>
        <w:tc>
          <w:tcPr>
            <w:tcW w:w="1694"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32</w:t>
            </w:r>
          </w:p>
        </w:tc>
        <w:tc>
          <w:tcPr>
            <w:tcW w:w="1877" w:type="dxa"/>
            <w:noWrap w:val="0"/>
            <w:vAlign w:val="center"/>
          </w:tcPr>
          <w:p>
            <w:pPr>
              <w:pStyle w:val="16"/>
              <w:rPr>
                <w:rFonts w:hint="default" w:ascii="Times New Roman" w:hAnsi="Times New Roman" w:cs="Times New Roman"/>
              </w:rPr>
            </w:pPr>
            <w:r>
              <w:rPr>
                <w:rFonts w:hint="default" w:ascii="Times New Roman" w:hAnsi="Times New Roman" w:cs="Times New Roman"/>
              </w:rPr>
              <w:t>上年结转结余</w:t>
            </w:r>
          </w:p>
        </w:tc>
        <w:tc>
          <w:tcPr>
            <w:tcW w:w="2065" w:type="dxa"/>
            <w:noWrap w:val="0"/>
            <w:vAlign w:val="center"/>
          </w:tcPr>
          <w:p>
            <w:pPr>
              <w:pStyle w:val="12"/>
              <w:rPr>
                <w:rFonts w:hint="default" w:ascii="Times New Roman" w:hAnsi="Times New Roman" w:cs="Times New Roman"/>
              </w:rPr>
            </w:pPr>
          </w:p>
        </w:tc>
        <w:tc>
          <w:tcPr>
            <w:tcW w:w="2248" w:type="dxa"/>
            <w:noWrap w:val="0"/>
            <w:vAlign w:val="center"/>
          </w:tcPr>
          <w:p>
            <w:pPr>
              <w:pStyle w:val="16"/>
              <w:rPr>
                <w:rFonts w:hint="default" w:ascii="Times New Roman" w:hAnsi="Times New Roman" w:cs="Times New Roman"/>
              </w:rPr>
            </w:pPr>
            <w:r>
              <w:rPr>
                <w:rFonts w:hint="default" w:ascii="Times New Roman" w:hAnsi="Times New Roman" w:cs="Times New Roman"/>
              </w:rPr>
              <w:t>年终结转结余</w:t>
            </w:r>
          </w:p>
        </w:tc>
        <w:tc>
          <w:tcPr>
            <w:tcW w:w="1694"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4"/>
              <w:rPr>
                <w:rFonts w:hint="default" w:ascii="Times New Roman" w:hAnsi="Times New Roman" w:cs="Times New Roman"/>
              </w:rPr>
            </w:pPr>
            <w:r>
              <w:rPr>
                <w:rFonts w:hint="default" w:ascii="Times New Roman" w:hAnsi="Times New Roman" w:cs="Times New Roman"/>
              </w:rPr>
              <w:t>33</w:t>
            </w:r>
          </w:p>
        </w:tc>
        <w:tc>
          <w:tcPr>
            <w:tcW w:w="1877" w:type="dxa"/>
            <w:noWrap w:val="0"/>
            <w:vAlign w:val="center"/>
          </w:tcPr>
          <w:p>
            <w:pPr>
              <w:pStyle w:val="35"/>
              <w:rPr>
                <w:rFonts w:hint="default" w:ascii="Times New Roman" w:hAnsi="Times New Roman" w:cs="Times New Roman"/>
              </w:rPr>
            </w:pPr>
            <w:r>
              <w:rPr>
                <w:rFonts w:hint="default" w:ascii="Times New Roman" w:hAnsi="Times New Roman" w:cs="Times New Roman"/>
              </w:rPr>
              <w:t>收入总计</w:t>
            </w:r>
          </w:p>
        </w:tc>
        <w:tc>
          <w:tcPr>
            <w:tcW w:w="2065"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12</w:t>
            </w:r>
          </w:p>
        </w:tc>
        <w:tc>
          <w:tcPr>
            <w:tcW w:w="2248" w:type="dxa"/>
            <w:noWrap w:val="0"/>
            <w:vAlign w:val="center"/>
          </w:tcPr>
          <w:p>
            <w:pPr>
              <w:pStyle w:val="35"/>
              <w:rPr>
                <w:rFonts w:hint="default" w:ascii="Times New Roman" w:hAnsi="Times New Roman" w:cs="Times New Roman"/>
              </w:rPr>
            </w:pPr>
            <w:r>
              <w:rPr>
                <w:rFonts w:hint="default" w:ascii="Times New Roman" w:hAnsi="Times New Roman" w:cs="Times New Roman"/>
              </w:rPr>
              <w:t>支出总计</w:t>
            </w:r>
          </w:p>
        </w:tc>
        <w:tc>
          <w:tcPr>
            <w:tcW w:w="1694"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12</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rPr>
      </w:pPr>
      <w:bookmarkStart w:id="1" w:name="_Toc_2_2_0000000002"/>
      <w:r>
        <w:rPr>
          <w:rFonts w:hint="default" w:ascii="Times New Roman" w:hAnsi="Times New Roman" w:eastAsia="方正小标宋_GBK" w:cs="Times New Roman"/>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1140"/>
        <w:gridCol w:w="1425"/>
        <w:gridCol w:w="1095"/>
        <w:gridCol w:w="1065"/>
        <w:gridCol w:w="1080"/>
        <w:gridCol w:w="810"/>
        <w:gridCol w:w="1125"/>
        <w:gridCol w:w="1110"/>
        <w:gridCol w:w="1170"/>
        <w:gridCol w:w="1170"/>
        <w:gridCol w:w="810"/>
        <w:gridCol w:w="9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7" w:type="dxa"/>
            <w:gridSpan w:val="5"/>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3015" w:type="dxa"/>
            <w:gridSpan w:val="3"/>
            <w:tcBorders>
              <w:top w:val="single" w:color="FFFFFF" w:sz="6" w:space="0"/>
              <w:left w:val="single" w:color="FFFFFF" w:sz="6" w:space="0"/>
              <w:right w:val="single" w:color="FFFFFF" w:sz="6" w:space="0"/>
            </w:tcBorders>
            <w:noWrap w:val="0"/>
            <w:vAlign w:val="center"/>
          </w:tcPr>
          <w:p>
            <w:pPr>
              <w:pStyle w:val="34"/>
              <w:rPr>
                <w:rFonts w:hint="default" w:ascii="Times New Roman" w:hAnsi="Times New Roman" w:cs="Times New Roman"/>
              </w:rPr>
            </w:pPr>
            <w:r>
              <w:rPr>
                <w:rFonts w:hint="default" w:ascii="Times New Roman" w:hAnsi="Times New Roman" w:cs="Times New Roman"/>
              </w:rPr>
              <w:t>预算年度：2022</w:t>
            </w:r>
          </w:p>
        </w:tc>
        <w:tc>
          <w:tcPr>
            <w:tcW w:w="5170" w:type="dxa"/>
            <w:gridSpan w:val="5"/>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256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8340" w:type="dxa"/>
            <w:gridSpan w:val="8"/>
            <w:noWrap w:val="0"/>
            <w:vAlign w:val="center"/>
          </w:tcPr>
          <w:p>
            <w:pPr>
              <w:pStyle w:val="29"/>
              <w:rPr>
                <w:rFonts w:hint="default" w:ascii="Times New Roman" w:hAnsi="Times New Roman" w:cs="Times New Roman"/>
              </w:rPr>
            </w:pPr>
            <w:r>
              <w:rPr>
                <w:rFonts w:hint="default" w:ascii="Times New Roman" w:hAnsi="Times New Roman" w:cs="Times New Roman"/>
              </w:rPr>
              <w:t>本年收入</w:t>
            </w:r>
          </w:p>
        </w:tc>
        <w:tc>
          <w:tcPr>
            <w:tcW w:w="910"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tblHeader/>
          <w:jc w:val="center"/>
        </w:trPr>
        <w:tc>
          <w:tcPr>
            <w:tcW w:w="682" w:type="dxa"/>
            <w:vMerge w:val="continue"/>
            <w:noWrap w:val="0"/>
            <w:vAlign w:val="top"/>
          </w:tcPr>
          <w:p>
            <w:pPr>
              <w:rPr>
                <w:rFonts w:hint="default" w:ascii="Times New Roman" w:hAnsi="Times New Roman" w:cs="Times New Roman"/>
              </w:rPr>
            </w:pPr>
          </w:p>
        </w:tc>
        <w:tc>
          <w:tcPr>
            <w:tcW w:w="1140" w:type="dxa"/>
            <w:noWrap w:val="0"/>
            <w:vAlign w:val="center"/>
          </w:tcPr>
          <w:p>
            <w:pPr>
              <w:pStyle w:val="29"/>
              <w:rPr>
                <w:rFonts w:hint="default" w:ascii="Times New Roman" w:hAnsi="Times New Roman" w:cs="Times New Roman"/>
              </w:rPr>
            </w:pPr>
            <w:r>
              <w:rPr>
                <w:rFonts w:hint="default" w:ascii="Times New Roman" w:hAnsi="Times New Roman" w:cs="Times New Roman"/>
              </w:rPr>
              <w:t>科目 编码</w:t>
            </w:r>
          </w:p>
        </w:tc>
        <w:tc>
          <w:tcPr>
            <w:tcW w:w="1425"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1095" w:type="dxa"/>
            <w:vMerge w:val="continue"/>
            <w:noWrap w:val="0"/>
            <w:vAlign w:val="top"/>
          </w:tcPr>
          <w:p>
            <w:pPr>
              <w:rPr>
                <w:rFonts w:hint="default" w:ascii="Times New Roman" w:hAnsi="Times New Roman" w:cs="Times New Roman"/>
              </w:rPr>
            </w:pPr>
          </w:p>
        </w:tc>
        <w:tc>
          <w:tcPr>
            <w:tcW w:w="1065" w:type="dxa"/>
            <w:noWrap w:val="0"/>
            <w:vAlign w:val="center"/>
          </w:tcPr>
          <w:p>
            <w:pPr>
              <w:pStyle w:val="29"/>
              <w:rPr>
                <w:rFonts w:hint="default" w:ascii="Times New Roman" w:hAnsi="Times New Roman" w:cs="Times New Roman"/>
              </w:rPr>
            </w:pPr>
            <w:r>
              <w:rPr>
                <w:rFonts w:hint="default" w:ascii="Times New Roman" w:hAnsi="Times New Roman" w:cs="Times New Roman"/>
              </w:rPr>
              <w:t>小计</w:t>
            </w:r>
          </w:p>
        </w:tc>
        <w:tc>
          <w:tcPr>
            <w:tcW w:w="1080" w:type="dxa"/>
            <w:noWrap w:val="0"/>
            <w:vAlign w:val="center"/>
          </w:tcPr>
          <w:p>
            <w:pPr>
              <w:pStyle w:val="29"/>
              <w:rPr>
                <w:rFonts w:hint="default" w:ascii="Times New Roman" w:hAnsi="Times New Roman" w:cs="Times New Roman"/>
              </w:rPr>
            </w:pPr>
            <w:r>
              <w:rPr>
                <w:rFonts w:hint="default" w:ascii="Times New Roman" w:hAnsi="Times New Roman" w:cs="Times New Roman"/>
              </w:rPr>
              <w:t>财政拨款 收入</w:t>
            </w:r>
          </w:p>
        </w:tc>
        <w:tc>
          <w:tcPr>
            <w:tcW w:w="810" w:type="dxa"/>
            <w:noWrap w:val="0"/>
            <w:vAlign w:val="center"/>
          </w:tcPr>
          <w:p>
            <w:pPr>
              <w:pStyle w:val="29"/>
              <w:rPr>
                <w:rFonts w:hint="default" w:ascii="Times New Roman" w:hAnsi="Times New Roman" w:cs="Times New Roman"/>
              </w:rPr>
            </w:pPr>
            <w:r>
              <w:rPr>
                <w:rFonts w:hint="default" w:ascii="Times New Roman" w:hAnsi="Times New Roman" w:cs="Times New Roman"/>
              </w:rPr>
              <w:t>财政专户 收入</w:t>
            </w:r>
          </w:p>
        </w:tc>
        <w:tc>
          <w:tcPr>
            <w:tcW w:w="1125" w:type="dxa"/>
            <w:noWrap w:val="0"/>
            <w:vAlign w:val="center"/>
          </w:tcPr>
          <w:p>
            <w:pPr>
              <w:pStyle w:val="29"/>
              <w:rPr>
                <w:rFonts w:hint="default" w:ascii="Times New Roman" w:hAnsi="Times New Roman" w:cs="Times New Roman"/>
              </w:rPr>
            </w:pPr>
            <w:r>
              <w:rPr>
                <w:rFonts w:hint="default" w:ascii="Times New Roman" w:hAnsi="Times New Roman" w:cs="Times New Roman"/>
              </w:rPr>
              <w:t>事业收入</w:t>
            </w:r>
          </w:p>
        </w:tc>
        <w:tc>
          <w:tcPr>
            <w:tcW w:w="1110" w:type="dxa"/>
            <w:noWrap w:val="0"/>
            <w:vAlign w:val="center"/>
          </w:tcPr>
          <w:p>
            <w:pPr>
              <w:pStyle w:val="29"/>
              <w:rPr>
                <w:rFonts w:hint="default" w:ascii="Times New Roman" w:hAnsi="Times New Roman" w:cs="Times New Roman"/>
              </w:rPr>
            </w:pPr>
            <w:r>
              <w:rPr>
                <w:rFonts w:hint="default" w:ascii="Times New Roman" w:hAnsi="Times New Roman" w:cs="Times New Roman"/>
              </w:rPr>
              <w:t>经营收入</w:t>
            </w:r>
          </w:p>
        </w:tc>
        <w:tc>
          <w:tcPr>
            <w:tcW w:w="1170" w:type="dxa"/>
            <w:noWrap w:val="0"/>
            <w:vAlign w:val="center"/>
          </w:tcPr>
          <w:p>
            <w:pPr>
              <w:pStyle w:val="29"/>
              <w:rPr>
                <w:rFonts w:hint="default" w:ascii="Times New Roman" w:hAnsi="Times New Roman" w:cs="Times New Roman"/>
              </w:rPr>
            </w:pPr>
            <w:r>
              <w:rPr>
                <w:rFonts w:hint="default" w:ascii="Times New Roman" w:hAnsi="Times New Roman" w:cs="Times New Roman"/>
              </w:rPr>
              <w:t>上级补助收入</w:t>
            </w:r>
          </w:p>
        </w:tc>
        <w:tc>
          <w:tcPr>
            <w:tcW w:w="1170" w:type="dxa"/>
            <w:noWrap w:val="0"/>
            <w:vAlign w:val="center"/>
          </w:tcPr>
          <w:p>
            <w:pPr>
              <w:pStyle w:val="29"/>
              <w:rPr>
                <w:rFonts w:hint="default" w:ascii="Times New Roman" w:hAnsi="Times New Roman" w:cs="Times New Roman"/>
              </w:rPr>
            </w:pPr>
            <w:r>
              <w:rPr>
                <w:rFonts w:hint="default" w:ascii="Times New Roman" w:hAnsi="Times New Roman" w:cs="Times New Roman"/>
              </w:rPr>
              <w:t>附属单位上缴收入</w:t>
            </w:r>
          </w:p>
        </w:tc>
        <w:tc>
          <w:tcPr>
            <w:tcW w:w="810" w:type="dxa"/>
            <w:noWrap w:val="0"/>
            <w:vAlign w:val="center"/>
          </w:tcPr>
          <w:p>
            <w:pPr>
              <w:pStyle w:val="29"/>
              <w:rPr>
                <w:rFonts w:hint="default" w:ascii="Times New Roman" w:hAnsi="Times New Roman" w:cs="Times New Roman"/>
              </w:rPr>
            </w:pPr>
            <w:r>
              <w:rPr>
                <w:rFonts w:hint="default" w:ascii="Times New Roman" w:hAnsi="Times New Roman" w:cs="Times New Roman"/>
              </w:rPr>
              <w:t>其他收入</w:t>
            </w:r>
          </w:p>
        </w:tc>
        <w:tc>
          <w:tcPr>
            <w:tcW w:w="910"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140"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425"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065"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080"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c>
          <w:tcPr>
            <w:tcW w:w="810" w:type="dxa"/>
            <w:noWrap w:val="0"/>
            <w:vAlign w:val="center"/>
          </w:tcPr>
          <w:p>
            <w:pPr>
              <w:pStyle w:val="29"/>
              <w:rPr>
                <w:rFonts w:hint="default" w:ascii="Times New Roman" w:hAnsi="Times New Roman" w:cs="Times New Roman"/>
              </w:rPr>
            </w:pPr>
            <w:r>
              <w:rPr>
                <w:rFonts w:hint="default" w:ascii="Times New Roman" w:hAnsi="Times New Roman" w:cs="Times New Roman"/>
              </w:rPr>
              <w:t>6</w:t>
            </w:r>
          </w:p>
        </w:tc>
        <w:tc>
          <w:tcPr>
            <w:tcW w:w="1125" w:type="dxa"/>
            <w:noWrap w:val="0"/>
            <w:vAlign w:val="center"/>
          </w:tcPr>
          <w:p>
            <w:pPr>
              <w:pStyle w:val="29"/>
              <w:rPr>
                <w:rFonts w:hint="default" w:ascii="Times New Roman" w:hAnsi="Times New Roman" w:cs="Times New Roman"/>
              </w:rPr>
            </w:pPr>
            <w:r>
              <w:rPr>
                <w:rFonts w:hint="default" w:ascii="Times New Roman" w:hAnsi="Times New Roman" w:cs="Times New Roman"/>
              </w:rPr>
              <w:t>7</w:t>
            </w:r>
          </w:p>
        </w:tc>
        <w:tc>
          <w:tcPr>
            <w:tcW w:w="1110" w:type="dxa"/>
            <w:noWrap w:val="0"/>
            <w:vAlign w:val="center"/>
          </w:tcPr>
          <w:p>
            <w:pPr>
              <w:pStyle w:val="29"/>
              <w:rPr>
                <w:rFonts w:hint="default" w:ascii="Times New Roman" w:hAnsi="Times New Roman" w:cs="Times New Roman"/>
              </w:rPr>
            </w:pPr>
            <w:r>
              <w:rPr>
                <w:rFonts w:hint="default" w:ascii="Times New Roman" w:hAnsi="Times New Roman" w:cs="Times New Roman"/>
              </w:rPr>
              <w:t>8</w:t>
            </w:r>
          </w:p>
        </w:tc>
        <w:tc>
          <w:tcPr>
            <w:tcW w:w="1170" w:type="dxa"/>
            <w:noWrap w:val="0"/>
            <w:vAlign w:val="center"/>
          </w:tcPr>
          <w:p>
            <w:pPr>
              <w:pStyle w:val="29"/>
              <w:rPr>
                <w:rFonts w:hint="default" w:ascii="Times New Roman" w:hAnsi="Times New Roman" w:cs="Times New Roman"/>
              </w:rPr>
            </w:pPr>
            <w:r>
              <w:rPr>
                <w:rFonts w:hint="default" w:ascii="Times New Roman" w:hAnsi="Times New Roman" w:cs="Times New Roman"/>
              </w:rPr>
              <w:t>9</w:t>
            </w:r>
          </w:p>
        </w:tc>
        <w:tc>
          <w:tcPr>
            <w:tcW w:w="1170" w:type="dxa"/>
            <w:noWrap w:val="0"/>
            <w:vAlign w:val="center"/>
          </w:tcPr>
          <w:p>
            <w:pPr>
              <w:pStyle w:val="29"/>
              <w:rPr>
                <w:rFonts w:hint="default" w:ascii="Times New Roman" w:hAnsi="Times New Roman" w:cs="Times New Roman"/>
              </w:rPr>
            </w:pPr>
            <w:r>
              <w:rPr>
                <w:rFonts w:hint="default" w:ascii="Times New Roman" w:hAnsi="Times New Roman" w:cs="Times New Roman"/>
              </w:rPr>
              <w:t>10</w:t>
            </w:r>
          </w:p>
        </w:tc>
        <w:tc>
          <w:tcPr>
            <w:tcW w:w="810" w:type="dxa"/>
            <w:noWrap w:val="0"/>
            <w:vAlign w:val="center"/>
          </w:tcPr>
          <w:p>
            <w:pPr>
              <w:pStyle w:val="29"/>
              <w:rPr>
                <w:rFonts w:hint="default" w:ascii="Times New Roman" w:hAnsi="Times New Roman" w:cs="Times New Roman"/>
              </w:rPr>
            </w:pPr>
            <w:r>
              <w:rPr>
                <w:rFonts w:hint="default" w:ascii="Times New Roman" w:hAnsi="Times New Roman" w:cs="Times New Roman"/>
              </w:rPr>
              <w:t>11</w:t>
            </w:r>
          </w:p>
        </w:tc>
        <w:tc>
          <w:tcPr>
            <w:tcW w:w="910" w:type="dxa"/>
            <w:noWrap w:val="0"/>
            <w:vAlign w:val="center"/>
          </w:tcPr>
          <w:p>
            <w:pPr>
              <w:pStyle w:val="29"/>
              <w:rPr>
                <w:rFonts w:hint="default" w:ascii="Times New Roman" w:hAnsi="Times New Roman" w:cs="Times New Roman"/>
              </w:rPr>
            </w:pPr>
            <w:r>
              <w:rPr>
                <w:rFonts w:hint="default"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140" w:type="dxa"/>
            <w:noWrap w:val="0"/>
            <w:vAlign w:val="center"/>
          </w:tcPr>
          <w:p>
            <w:pPr>
              <w:pStyle w:val="15"/>
              <w:rPr>
                <w:rFonts w:hint="default" w:ascii="Times New Roman" w:hAnsi="Times New Roman" w:cs="Times New Roman"/>
              </w:rPr>
            </w:pPr>
          </w:p>
        </w:tc>
        <w:tc>
          <w:tcPr>
            <w:tcW w:w="1425"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1095"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12</w:t>
            </w:r>
          </w:p>
        </w:tc>
        <w:tc>
          <w:tcPr>
            <w:tcW w:w="1065"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12</w:t>
            </w:r>
          </w:p>
        </w:tc>
        <w:tc>
          <w:tcPr>
            <w:tcW w:w="1080"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12</w:t>
            </w:r>
          </w:p>
        </w:tc>
        <w:tc>
          <w:tcPr>
            <w:tcW w:w="810" w:type="dxa"/>
            <w:noWrap w:val="0"/>
            <w:vAlign w:val="center"/>
          </w:tcPr>
          <w:p>
            <w:pPr>
              <w:pStyle w:val="25"/>
              <w:rPr>
                <w:rFonts w:hint="default" w:ascii="Times New Roman" w:hAnsi="Times New Roman" w:cs="Times New Roman"/>
              </w:rPr>
            </w:pPr>
          </w:p>
        </w:tc>
        <w:tc>
          <w:tcPr>
            <w:tcW w:w="1125" w:type="dxa"/>
            <w:noWrap w:val="0"/>
            <w:vAlign w:val="center"/>
          </w:tcPr>
          <w:p>
            <w:pPr>
              <w:pStyle w:val="25"/>
              <w:rPr>
                <w:rFonts w:hint="default" w:ascii="Times New Roman" w:hAnsi="Times New Roman" w:cs="Times New Roman"/>
              </w:rPr>
            </w:pPr>
          </w:p>
        </w:tc>
        <w:tc>
          <w:tcPr>
            <w:tcW w:w="1110" w:type="dxa"/>
            <w:noWrap w:val="0"/>
            <w:vAlign w:val="center"/>
          </w:tcPr>
          <w:p>
            <w:pPr>
              <w:pStyle w:val="25"/>
              <w:rPr>
                <w:rFonts w:hint="default" w:ascii="Times New Roman" w:hAnsi="Times New Roman" w:cs="Times New Roman"/>
              </w:rPr>
            </w:pPr>
          </w:p>
        </w:tc>
        <w:tc>
          <w:tcPr>
            <w:tcW w:w="1170" w:type="dxa"/>
            <w:noWrap w:val="0"/>
            <w:vAlign w:val="center"/>
          </w:tcPr>
          <w:p>
            <w:pPr>
              <w:pStyle w:val="25"/>
              <w:rPr>
                <w:rFonts w:hint="default" w:ascii="Times New Roman" w:hAnsi="Times New Roman" w:cs="Times New Roman"/>
              </w:rPr>
            </w:pPr>
          </w:p>
        </w:tc>
        <w:tc>
          <w:tcPr>
            <w:tcW w:w="1170" w:type="dxa"/>
            <w:noWrap w:val="0"/>
            <w:vAlign w:val="center"/>
          </w:tcPr>
          <w:p>
            <w:pPr>
              <w:pStyle w:val="25"/>
              <w:rPr>
                <w:rFonts w:hint="default" w:ascii="Times New Roman" w:hAnsi="Times New Roman" w:cs="Times New Roman"/>
              </w:rPr>
            </w:pPr>
          </w:p>
        </w:tc>
        <w:tc>
          <w:tcPr>
            <w:tcW w:w="810" w:type="dxa"/>
            <w:noWrap w:val="0"/>
            <w:vAlign w:val="center"/>
          </w:tcPr>
          <w:p>
            <w:pPr>
              <w:pStyle w:val="25"/>
              <w:rPr>
                <w:rFonts w:hint="default" w:ascii="Times New Roman" w:hAnsi="Times New Roman" w:cs="Times New Roman"/>
              </w:rPr>
            </w:pPr>
          </w:p>
        </w:tc>
        <w:tc>
          <w:tcPr>
            <w:tcW w:w="910" w:type="dxa"/>
            <w:noWrap w:val="0"/>
            <w:vAlign w:val="center"/>
          </w:tcPr>
          <w:p>
            <w:pPr>
              <w:pStyle w:val="2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一般公共服务支出</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0"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20103</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政府办公厅（室）及相关机构事务</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2010306</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政务公开审批</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社会保障和就业支出</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20805</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行政事业单位养老支出</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5"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2080501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行政单位离退休</w:t>
            </w:r>
          </w:p>
        </w:tc>
        <w:tc>
          <w:tcPr>
            <w:tcW w:w="1095"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1.7</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1.7</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1.7</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2080505</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机关事业单位基本养老保险缴费支出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2080506</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机关事业单位职业年金缴费支出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210</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卫生健康支出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21011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行政事业单位医疗</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2101101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行政单位医疗</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221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住房保障支出</w:t>
            </w:r>
          </w:p>
        </w:tc>
        <w:tc>
          <w:tcPr>
            <w:tcW w:w="1095" w:type="dxa"/>
            <w:noWrap w:val="0"/>
            <w:vAlign w:val="center"/>
          </w:tcPr>
          <w:p>
            <w:pPr>
              <w:pStyle w:val="12"/>
              <w:rPr>
                <w:rFonts w:hint="default" w:ascii="Times New Roman" w:hAnsi="Times New Roman" w:cs="Times New Roman"/>
                <w:lang w:val="en-US"/>
              </w:rPr>
            </w:pPr>
            <w:r>
              <w:rPr>
                <w:rFonts w:hint="eastAsia" w:ascii="Times New Roman" w:hAnsi="Times New Roman" w:cs="Times New Roman"/>
                <w:lang w:val="en-US" w:eastAsia="zh-CN"/>
              </w:rPr>
              <w:t>42.73</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22102</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住房改革支出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2210201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住房公积金</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70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rPr>
      </w:pPr>
      <w:bookmarkStart w:id="2" w:name="_Toc_2_2_0000000003"/>
      <w:r>
        <w:rPr>
          <w:rFonts w:hint="default" w:ascii="Times New Roman" w:hAnsi="Times New Roman" w:eastAsia="方正小标宋_GBK" w:cs="Times New Roman"/>
          <w:color w:val="000000"/>
          <w:sz w:val="36"/>
        </w:rPr>
        <w:t>部门预算支出总表</w:t>
      </w:r>
      <w:bookmarkEnd w:id="2"/>
    </w:p>
    <w:tbl>
      <w:tblPr>
        <w:tblStyle w:val="8"/>
        <w:tblpPr w:leftFromText="180" w:rightFromText="180" w:vertAnchor="text" w:horzAnchor="page" w:tblpX="1689" w:tblpY="63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9"/>
        <w:gridCol w:w="1245"/>
        <w:gridCol w:w="1532"/>
        <w:gridCol w:w="1095"/>
        <w:gridCol w:w="1095"/>
        <w:gridCol w:w="1095"/>
        <w:gridCol w:w="1095"/>
        <w:gridCol w:w="1095"/>
        <w:gridCol w:w="4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086"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2190" w:type="dxa"/>
            <w:gridSpan w:val="2"/>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7397" w:type="dxa"/>
            <w:gridSpan w:val="4"/>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09"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2777"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基本支出</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项目支出</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经营支出</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上解上级     支出</w:t>
            </w:r>
          </w:p>
        </w:tc>
        <w:tc>
          <w:tcPr>
            <w:tcW w:w="4112"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09" w:type="dxa"/>
            <w:vMerge w:val="continue"/>
            <w:noWrap w:val="0"/>
            <w:vAlign w:val="top"/>
          </w:tcPr>
          <w:p>
            <w:pPr>
              <w:rPr>
                <w:rFonts w:hint="default" w:ascii="Times New Roman" w:hAnsi="Times New Roman" w:cs="Times New Roman"/>
              </w:rPr>
            </w:pPr>
          </w:p>
        </w:tc>
        <w:tc>
          <w:tcPr>
            <w:tcW w:w="1245" w:type="dxa"/>
            <w:noWrap w:val="0"/>
            <w:vAlign w:val="center"/>
          </w:tcPr>
          <w:p>
            <w:pPr>
              <w:pStyle w:val="29"/>
              <w:rPr>
                <w:rFonts w:hint="default" w:ascii="Times New Roman" w:hAnsi="Times New Roman" w:cs="Times New Roman"/>
              </w:rPr>
            </w:pPr>
            <w:r>
              <w:rPr>
                <w:rFonts w:hint="default" w:ascii="Times New Roman" w:hAnsi="Times New Roman" w:cs="Times New Roman"/>
              </w:rPr>
              <w:t>科目    编码</w:t>
            </w:r>
          </w:p>
        </w:tc>
        <w:tc>
          <w:tcPr>
            <w:tcW w:w="1532"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1095" w:type="dxa"/>
            <w:vMerge w:val="continue"/>
            <w:noWrap w:val="0"/>
            <w:vAlign w:val="top"/>
          </w:tcPr>
          <w:p>
            <w:pPr>
              <w:rPr>
                <w:rFonts w:hint="default" w:ascii="Times New Roman" w:hAnsi="Times New Roman" w:cs="Times New Roman"/>
              </w:rPr>
            </w:pPr>
          </w:p>
        </w:tc>
        <w:tc>
          <w:tcPr>
            <w:tcW w:w="1095" w:type="dxa"/>
            <w:vMerge w:val="continue"/>
            <w:noWrap w:val="0"/>
            <w:vAlign w:val="top"/>
          </w:tcPr>
          <w:p>
            <w:pPr>
              <w:rPr>
                <w:rFonts w:hint="default" w:ascii="Times New Roman" w:hAnsi="Times New Roman" w:cs="Times New Roman"/>
              </w:rPr>
            </w:pPr>
          </w:p>
        </w:tc>
        <w:tc>
          <w:tcPr>
            <w:tcW w:w="1095" w:type="dxa"/>
            <w:vMerge w:val="continue"/>
            <w:noWrap w:val="0"/>
            <w:vAlign w:val="top"/>
          </w:tcPr>
          <w:p>
            <w:pPr>
              <w:rPr>
                <w:rFonts w:hint="default" w:ascii="Times New Roman" w:hAnsi="Times New Roman" w:cs="Times New Roman"/>
              </w:rPr>
            </w:pPr>
          </w:p>
        </w:tc>
        <w:tc>
          <w:tcPr>
            <w:tcW w:w="1095" w:type="dxa"/>
            <w:vMerge w:val="continue"/>
            <w:noWrap w:val="0"/>
            <w:vAlign w:val="top"/>
          </w:tcPr>
          <w:p>
            <w:pPr>
              <w:rPr>
                <w:rFonts w:hint="default" w:ascii="Times New Roman" w:hAnsi="Times New Roman" w:cs="Times New Roman"/>
              </w:rPr>
            </w:pPr>
          </w:p>
        </w:tc>
        <w:tc>
          <w:tcPr>
            <w:tcW w:w="1095" w:type="dxa"/>
            <w:vMerge w:val="continue"/>
            <w:noWrap w:val="0"/>
            <w:vAlign w:val="top"/>
          </w:tcPr>
          <w:p>
            <w:pPr>
              <w:rPr>
                <w:rFonts w:hint="default" w:ascii="Times New Roman" w:hAnsi="Times New Roman" w:cs="Times New Roman"/>
              </w:rPr>
            </w:pPr>
          </w:p>
        </w:tc>
        <w:tc>
          <w:tcPr>
            <w:tcW w:w="4112"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09"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245"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532"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6</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7</w:t>
            </w:r>
          </w:p>
        </w:tc>
        <w:tc>
          <w:tcPr>
            <w:tcW w:w="4112" w:type="dxa"/>
            <w:noWrap w:val="0"/>
            <w:vAlign w:val="center"/>
          </w:tcPr>
          <w:p>
            <w:pPr>
              <w:pStyle w:val="29"/>
              <w:rPr>
                <w:rFonts w:hint="default" w:ascii="Times New Roman" w:hAnsi="Times New Roman" w:cs="Times New Roman"/>
              </w:rPr>
            </w:pPr>
            <w:r>
              <w:rPr>
                <w:rFonts w:hint="default" w:ascii="Times New Roman" w:hAnsi="Times New Roman"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245" w:type="dxa"/>
            <w:noWrap w:val="0"/>
            <w:vAlign w:val="center"/>
          </w:tcPr>
          <w:p>
            <w:pPr>
              <w:pStyle w:val="15"/>
              <w:rPr>
                <w:rFonts w:hint="default" w:ascii="Times New Roman" w:hAnsi="Times New Roman" w:cs="Times New Roman"/>
              </w:rPr>
            </w:pPr>
          </w:p>
        </w:tc>
        <w:tc>
          <w:tcPr>
            <w:tcW w:w="1532"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1095"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lang w:val="en-US" w:eastAsia="zh-CN"/>
              </w:rPr>
              <w:t>756.13</w:t>
            </w:r>
          </w:p>
        </w:tc>
        <w:tc>
          <w:tcPr>
            <w:tcW w:w="1095"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lang w:val="en-US" w:eastAsia="zh-CN"/>
              </w:rPr>
              <w:t>756.13</w:t>
            </w:r>
          </w:p>
        </w:tc>
        <w:tc>
          <w:tcPr>
            <w:tcW w:w="1095"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lang w:val="en-US" w:eastAsia="zh-CN"/>
              </w:rPr>
              <w:t>756.13</w:t>
            </w:r>
          </w:p>
        </w:tc>
        <w:tc>
          <w:tcPr>
            <w:tcW w:w="1095" w:type="dxa"/>
            <w:noWrap w:val="0"/>
            <w:vAlign w:val="center"/>
          </w:tcPr>
          <w:p>
            <w:pPr>
              <w:pStyle w:val="25"/>
              <w:rPr>
                <w:rFonts w:hint="default" w:ascii="Times New Roman" w:hAnsi="Times New Roman" w:cs="Times New Roman"/>
              </w:rPr>
            </w:pPr>
          </w:p>
        </w:tc>
        <w:tc>
          <w:tcPr>
            <w:tcW w:w="1095" w:type="dxa"/>
            <w:noWrap w:val="0"/>
            <w:vAlign w:val="center"/>
          </w:tcPr>
          <w:p>
            <w:pPr>
              <w:pStyle w:val="25"/>
              <w:rPr>
                <w:rFonts w:hint="default" w:ascii="Times New Roman" w:hAnsi="Times New Roman" w:cs="Times New Roman"/>
              </w:rPr>
            </w:pPr>
          </w:p>
        </w:tc>
        <w:tc>
          <w:tcPr>
            <w:tcW w:w="4112" w:type="dxa"/>
            <w:noWrap w:val="0"/>
            <w:vAlign w:val="center"/>
          </w:tcPr>
          <w:p>
            <w:pPr>
              <w:pStyle w:val="2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201</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一般公共服务支出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095"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115.00</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20103</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政府办公厅（室）及相关机构事务</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2010306</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政务公开审批</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社会保障和就业支出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20805</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行政事业单位养老支出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2080501</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行政单位离退休</w:t>
            </w:r>
          </w:p>
        </w:tc>
        <w:tc>
          <w:tcPr>
            <w:tcW w:w="1095" w:type="dxa"/>
            <w:noWrap w:val="0"/>
            <w:vAlign w:val="center"/>
          </w:tcPr>
          <w:p>
            <w:pPr>
              <w:pStyle w:val="12"/>
              <w:rPr>
                <w:rFonts w:hint="default" w:ascii="Times New Roman" w:hAnsi="Times New Roman" w:cs="Times New Roman"/>
              </w:rPr>
            </w:pPr>
            <w:r>
              <w:rPr>
                <w:rFonts w:hint="default" w:ascii="Times New Roman" w:hAnsi="Times New Roman" w:eastAsia="方正书宋_GBK" w:cs="Times New Roman"/>
              </w:rPr>
              <w:t>1.</w:t>
            </w:r>
            <w:r>
              <w:rPr>
                <w:rFonts w:hint="eastAsia" w:ascii="Times New Roman" w:hAnsi="Times New Roman" w:eastAsia="方正书宋_GBK" w:cs="Times New Roman"/>
                <w:lang w:val="en-US" w:eastAsia="zh-CN"/>
              </w:rPr>
              <w:t>70</w:t>
            </w:r>
          </w:p>
        </w:tc>
        <w:tc>
          <w:tcPr>
            <w:tcW w:w="1095" w:type="dxa"/>
            <w:noWrap w:val="0"/>
            <w:vAlign w:val="center"/>
          </w:tcPr>
          <w:p>
            <w:pPr>
              <w:pStyle w:val="12"/>
              <w:rPr>
                <w:rFonts w:hint="default" w:ascii="Times New Roman" w:hAnsi="Times New Roman" w:cs="Times New Roman"/>
              </w:rPr>
            </w:pPr>
            <w:r>
              <w:rPr>
                <w:rFonts w:hint="default" w:ascii="Times New Roman" w:hAnsi="Times New Roman" w:eastAsia="方正书宋_GBK" w:cs="Times New Roman"/>
              </w:rPr>
              <w:t>1.</w:t>
            </w:r>
            <w:r>
              <w:rPr>
                <w:rFonts w:hint="eastAsia" w:ascii="Times New Roman" w:hAnsi="Times New Roman" w:eastAsia="方正书宋_GBK" w:cs="Times New Roman"/>
                <w:lang w:val="en-US" w:eastAsia="zh-CN"/>
              </w:rPr>
              <w:t>70</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2080505</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机关事业单位基本养老保险缴费支出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2080506</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机关事业单位职业年金缴费支出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210</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卫生健康支出</w:t>
            </w:r>
          </w:p>
        </w:tc>
        <w:tc>
          <w:tcPr>
            <w:tcW w:w="1095"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095"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21011</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行政事业单位医疗</w:t>
            </w:r>
          </w:p>
        </w:tc>
        <w:tc>
          <w:tcPr>
            <w:tcW w:w="1095"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2101101</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行政单位医疗</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221</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住房保障支出</w:t>
            </w:r>
          </w:p>
        </w:tc>
        <w:tc>
          <w:tcPr>
            <w:tcW w:w="1095"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095"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22102</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住房改革支出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2210201</w:t>
            </w:r>
          </w:p>
        </w:tc>
        <w:tc>
          <w:tcPr>
            <w:tcW w:w="1532" w:type="dxa"/>
            <w:noWrap w:val="0"/>
            <w:vAlign w:val="center"/>
          </w:tcPr>
          <w:p>
            <w:pPr>
              <w:pStyle w:val="16"/>
              <w:rPr>
                <w:rFonts w:hint="default" w:ascii="Times New Roman" w:hAnsi="Times New Roman" w:cs="Times New Roman"/>
              </w:rPr>
            </w:pPr>
            <w:r>
              <w:rPr>
                <w:rFonts w:hint="default" w:ascii="Times New Roman" w:hAnsi="Times New Roman" w:cs="Times New Roman"/>
              </w:rPr>
              <w:t>住房公积金</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rPr>
      </w:pPr>
      <w:bookmarkStart w:id="3" w:name="_Toc_2_2_0000000004"/>
      <w:r>
        <w:rPr>
          <w:rFonts w:hint="default" w:ascii="Times New Roman" w:hAnsi="Times New Roman" w:eastAsia="方正小标宋_GBK" w:cs="Times New Roman"/>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1350"/>
        <w:gridCol w:w="1410"/>
        <w:gridCol w:w="2040"/>
        <w:gridCol w:w="930"/>
        <w:gridCol w:w="1011"/>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7"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2040"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4405" w:type="dxa"/>
            <w:gridSpan w:val="4"/>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restart"/>
            <w:noWrap w:val="0"/>
            <w:vAlign w:val="center"/>
          </w:tcPr>
          <w:p>
            <w:pPr>
              <w:pStyle w:val="29"/>
              <w:ind w:left="-960" w:leftChars="-400" w:firstLine="963" w:firstLineChars="457"/>
              <w:rPr>
                <w:rFonts w:hint="default" w:ascii="Times New Roman" w:hAnsi="Times New Roman" w:cs="Times New Roman"/>
              </w:rPr>
            </w:pPr>
            <w:r>
              <w:rPr>
                <w:rFonts w:hint="default" w:ascii="Times New Roman" w:hAnsi="Times New Roman" w:cs="Times New Roman"/>
              </w:rPr>
              <w:t>序号</w:t>
            </w:r>
          </w:p>
        </w:tc>
        <w:tc>
          <w:tcPr>
            <w:tcW w:w="2760"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收入</w:t>
            </w:r>
          </w:p>
        </w:tc>
        <w:tc>
          <w:tcPr>
            <w:tcW w:w="6445" w:type="dxa"/>
            <w:gridSpan w:val="5"/>
            <w:noWrap w:val="0"/>
            <w:vAlign w:val="center"/>
          </w:tcPr>
          <w:p>
            <w:pPr>
              <w:pStyle w:val="29"/>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continue"/>
            <w:noWrap w:val="0"/>
            <w:vAlign w:val="top"/>
          </w:tcPr>
          <w:p>
            <w:pPr>
              <w:rPr>
                <w:rFonts w:hint="default" w:ascii="Times New Roman" w:hAnsi="Times New Roman" w:cs="Times New Roman"/>
              </w:rPr>
            </w:pPr>
          </w:p>
        </w:tc>
        <w:tc>
          <w:tcPr>
            <w:tcW w:w="1350"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1410" w:type="dxa"/>
            <w:noWrap w:val="0"/>
            <w:vAlign w:val="center"/>
          </w:tcPr>
          <w:p>
            <w:pPr>
              <w:pStyle w:val="29"/>
              <w:rPr>
                <w:rFonts w:hint="default" w:ascii="Times New Roman" w:hAnsi="Times New Roman" w:cs="Times New Roman"/>
              </w:rPr>
            </w:pPr>
            <w:r>
              <w:rPr>
                <w:rFonts w:hint="default" w:ascii="Times New Roman" w:hAnsi="Times New Roman" w:cs="Times New Roman"/>
              </w:rPr>
              <w:t>金额</w:t>
            </w:r>
          </w:p>
        </w:tc>
        <w:tc>
          <w:tcPr>
            <w:tcW w:w="2040"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930" w:type="dxa"/>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011" w:type="dxa"/>
            <w:noWrap w:val="0"/>
            <w:vAlign w:val="center"/>
          </w:tcPr>
          <w:p>
            <w:pPr>
              <w:pStyle w:val="29"/>
              <w:rPr>
                <w:rFonts w:hint="default" w:ascii="Times New Roman" w:hAnsi="Times New Roman" w:cs="Times New Roman"/>
              </w:rPr>
            </w:pPr>
            <w:r>
              <w:rPr>
                <w:rFonts w:hint="default" w:ascii="Times New Roman" w:hAnsi="Times New Roman" w:cs="Times New Roman"/>
              </w:rPr>
              <w:t>一般公共预算财政拨款</w:t>
            </w:r>
          </w:p>
        </w:tc>
        <w:tc>
          <w:tcPr>
            <w:tcW w:w="1232" w:type="dxa"/>
            <w:noWrap w:val="0"/>
            <w:vAlign w:val="center"/>
          </w:tcPr>
          <w:p>
            <w:pPr>
              <w:pStyle w:val="29"/>
              <w:rPr>
                <w:rFonts w:hint="default" w:ascii="Times New Roman" w:hAnsi="Times New Roman" w:cs="Times New Roman"/>
              </w:rPr>
            </w:pPr>
            <w:r>
              <w:rPr>
                <w:rFonts w:hint="default" w:ascii="Times New Roman" w:hAnsi="Times New Roman" w:cs="Times New Roman"/>
              </w:rPr>
              <w:t>政府性基金预算财政    拨款</w:t>
            </w:r>
          </w:p>
        </w:tc>
        <w:tc>
          <w:tcPr>
            <w:tcW w:w="1232" w:type="dxa"/>
            <w:noWrap w:val="0"/>
            <w:vAlign w:val="center"/>
          </w:tcPr>
          <w:p>
            <w:pPr>
              <w:pStyle w:val="29"/>
              <w:rPr>
                <w:rFonts w:hint="default" w:ascii="Times New Roman" w:hAnsi="Times New Roman" w:cs="Times New Roman"/>
              </w:rPr>
            </w:pPr>
            <w:r>
              <w:rPr>
                <w:rFonts w:hint="default" w:ascii="Times New Roman" w:hAnsi="Times New Roman"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350"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410"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040"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930"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011"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c>
          <w:tcPr>
            <w:tcW w:w="1232" w:type="dxa"/>
            <w:noWrap w:val="0"/>
            <w:vAlign w:val="center"/>
          </w:tcPr>
          <w:p>
            <w:pPr>
              <w:pStyle w:val="29"/>
              <w:rPr>
                <w:rFonts w:hint="default" w:ascii="Times New Roman" w:hAnsi="Times New Roman" w:cs="Times New Roman"/>
              </w:rPr>
            </w:pPr>
            <w:r>
              <w:rPr>
                <w:rFonts w:hint="default" w:ascii="Times New Roman" w:hAnsi="Times New Roman" w:cs="Times New Roman"/>
              </w:rPr>
              <w:t>6</w:t>
            </w:r>
          </w:p>
        </w:tc>
        <w:tc>
          <w:tcPr>
            <w:tcW w:w="1232" w:type="dxa"/>
            <w:noWrap w:val="0"/>
            <w:vAlign w:val="center"/>
          </w:tcPr>
          <w:p>
            <w:pPr>
              <w:pStyle w:val="29"/>
              <w:rPr>
                <w:rFonts w:hint="default" w:ascii="Times New Roman" w:hAnsi="Times New Roman" w:cs="Times New Roman"/>
              </w:rPr>
            </w:pPr>
            <w:r>
              <w:rPr>
                <w:rFonts w:hint="default" w:ascii="Times New Roman" w:hAnsi="Times New Roman"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一、一般公共预算拨款</w:t>
            </w:r>
          </w:p>
        </w:tc>
        <w:tc>
          <w:tcPr>
            <w:tcW w:w="1410" w:type="dxa"/>
            <w:noWrap w:val="0"/>
            <w:vAlign w:val="center"/>
          </w:tcPr>
          <w:p>
            <w:pPr>
              <w:pStyle w:val="12"/>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12</w:t>
            </w: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一、一般公共服务支出</w:t>
            </w:r>
          </w:p>
        </w:tc>
        <w:tc>
          <w:tcPr>
            <w:tcW w:w="930"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11"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二、政府性基金预算拨款</w:t>
            </w: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二、外交支出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三、国有资本经营预算拨款</w:t>
            </w: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三、国防支出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四、公共安全支出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五、教育支出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六、科学技术支出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七、文化旅游体育与传媒支出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八、社会保障和就业支出</w:t>
            </w:r>
          </w:p>
        </w:tc>
        <w:tc>
          <w:tcPr>
            <w:tcW w:w="930"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11"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九、社会保险基金支出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十、卫生健康支出</w:t>
            </w:r>
          </w:p>
        </w:tc>
        <w:tc>
          <w:tcPr>
            <w:tcW w:w="93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11"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十一、节能环保支出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十二、城乡社区支出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十三、农林水支出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十四、交通运输支出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十五、资源勘探工业信息等支出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16</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十六、商业服务业等支出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17</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十七、金融支出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18</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十八、援助其他地区支出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19</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十九、自然资源海洋气象等支出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20</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二十、住房保障支出</w:t>
            </w:r>
          </w:p>
        </w:tc>
        <w:tc>
          <w:tcPr>
            <w:tcW w:w="930"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011"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21</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二十一、粮油物资储备支出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22</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二十二、国有资本经营预算支出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23</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二十三、灾害防治及应急管理支出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24</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二十四、预备费</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25</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二十五、其他支出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26</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二十六、转移性支出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27</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二十七、债务还本支出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28</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二十八、债务付息支出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29</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二十九、债务发行费用支出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30</w:t>
            </w:r>
          </w:p>
        </w:tc>
        <w:tc>
          <w:tcPr>
            <w:tcW w:w="1350" w:type="dxa"/>
            <w:noWrap w:val="0"/>
            <w:vAlign w:val="center"/>
          </w:tcPr>
          <w:p>
            <w:pPr>
              <w:pStyle w:val="16"/>
              <w:rPr>
                <w:rFonts w:hint="default" w:ascii="Times New Roman" w:hAnsi="Times New Roman" w:cs="Times New Roman"/>
              </w:rPr>
            </w:pP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三十、抗疫特别国债安排的支出</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31</w:t>
            </w:r>
          </w:p>
        </w:tc>
        <w:tc>
          <w:tcPr>
            <w:tcW w:w="1350" w:type="dxa"/>
            <w:noWrap w:val="0"/>
            <w:vAlign w:val="center"/>
          </w:tcPr>
          <w:p>
            <w:pPr>
              <w:pStyle w:val="35"/>
              <w:rPr>
                <w:rFonts w:hint="default" w:ascii="Times New Roman" w:hAnsi="Times New Roman" w:cs="Times New Roman"/>
              </w:rPr>
            </w:pPr>
            <w:r>
              <w:rPr>
                <w:rFonts w:hint="default" w:ascii="Times New Roman" w:hAnsi="Times New Roman" w:cs="Times New Roman"/>
              </w:rPr>
              <w:t>本年收入合计</w:t>
            </w:r>
          </w:p>
        </w:tc>
        <w:tc>
          <w:tcPr>
            <w:tcW w:w="1410"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756.13</w:t>
            </w:r>
          </w:p>
        </w:tc>
        <w:tc>
          <w:tcPr>
            <w:tcW w:w="2040" w:type="dxa"/>
            <w:noWrap w:val="0"/>
            <w:vAlign w:val="center"/>
          </w:tcPr>
          <w:p>
            <w:pPr>
              <w:pStyle w:val="35"/>
              <w:rPr>
                <w:rFonts w:hint="default" w:ascii="Times New Roman" w:hAnsi="Times New Roman" w:cs="Times New Roman"/>
              </w:rPr>
            </w:pPr>
            <w:r>
              <w:rPr>
                <w:rFonts w:hint="default" w:ascii="Times New Roman" w:hAnsi="Times New Roman" w:cs="Times New Roman"/>
              </w:rPr>
              <w:t>本年支出合计</w:t>
            </w:r>
          </w:p>
        </w:tc>
        <w:tc>
          <w:tcPr>
            <w:tcW w:w="930"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756.13</w:t>
            </w:r>
          </w:p>
        </w:tc>
        <w:tc>
          <w:tcPr>
            <w:tcW w:w="1011"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756.13</w:t>
            </w:r>
          </w:p>
        </w:tc>
        <w:tc>
          <w:tcPr>
            <w:tcW w:w="1232" w:type="dxa"/>
            <w:noWrap w:val="0"/>
            <w:vAlign w:val="center"/>
          </w:tcPr>
          <w:p>
            <w:pPr>
              <w:pStyle w:val="25"/>
              <w:rPr>
                <w:rFonts w:hint="default" w:ascii="Times New Roman" w:hAnsi="Times New Roman" w:cs="Times New Roman"/>
              </w:rPr>
            </w:pPr>
          </w:p>
        </w:tc>
        <w:tc>
          <w:tcPr>
            <w:tcW w:w="1232" w:type="dxa"/>
            <w:noWrap w:val="0"/>
            <w:vAlign w:val="center"/>
          </w:tcPr>
          <w:p>
            <w:pPr>
              <w:pStyle w:val="2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32</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年初财政拨款结转和结余</w:t>
            </w: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r>
              <w:rPr>
                <w:rFonts w:hint="default" w:ascii="Times New Roman" w:hAnsi="Times New Roman" w:cs="Times New Roman"/>
              </w:rPr>
              <w:t>年末财政拨款结转和结余</w:t>
            </w: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33</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一、一般公共预算拨款</w:t>
            </w: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34</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二、政府性基金预算拨款</w:t>
            </w: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35</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三、国有资本经营预算拨款</w:t>
            </w:r>
          </w:p>
        </w:tc>
        <w:tc>
          <w:tcPr>
            <w:tcW w:w="1410" w:type="dxa"/>
            <w:noWrap w:val="0"/>
            <w:vAlign w:val="center"/>
          </w:tcPr>
          <w:p>
            <w:pPr>
              <w:pStyle w:val="12"/>
              <w:rPr>
                <w:rFonts w:hint="default" w:ascii="Times New Roman" w:hAnsi="Times New Roman" w:cs="Times New Roman"/>
              </w:rPr>
            </w:pPr>
          </w:p>
        </w:tc>
        <w:tc>
          <w:tcPr>
            <w:tcW w:w="2040" w:type="dxa"/>
            <w:noWrap w:val="0"/>
            <w:vAlign w:val="center"/>
          </w:tcPr>
          <w:p>
            <w:pPr>
              <w:pStyle w:val="16"/>
              <w:rPr>
                <w:rFonts w:hint="default" w:ascii="Times New Roman" w:hAnsi="Times New Roman" w:cs="Times New Roman"/>
              </w:rPr>
            </w:pPr>
          </w:p>
        </w:tc>
        <w:tc>
          <w:tcPr>
            <w:tcW w:w="930"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36</w:t>
            </w:r>
          </w:p>
        </w:tc>
        <w:tc>
          <w:tcPr>
            <w:tcW w:w="1350" w:type="dxa"/>
            <w:noWrap w:val="0"/>
            <w:vAlign w:val="center"/>
          </w:tcPr>
          <w:p>
            <w:pPr>
              <w:pStyle w:val="35"/>
              <w:rPr>
                <w:rFonts w:hint="default" w:ascii="Times New Roman" w:hAnsi="Times New Roman" w:cs="Times New Roman"/>
              </w:rPr>
            </w:pPr>
            <w:r>
              <w:rPr>
                <w:rFonts w:hint="default" w:ascii="Times New Roman" w:hAnsi="Times New Roman" w:cs="Times New Roman"/>
              </w:rPr>
              <w:t>收入总计</w:t>
            </w:r>
          </w:p>
        </w:tc>
        <w:tc>
          <w:tcPr>
            <w:tcW w:w="1410" w:type="dxa"/>
            <w:noWrap w:val="0"/>
            <w:vAlign w:val="center"/>
          </w:tcPr>
          <w:p>
            <w:pPr>
              <w:pStyle w:val="25"/>
              <w:rPr>
                <w:rFonts w:hint="default" w:ascii="Times New Roman" w:hAnsi="Times New Roman" w:cs="Times New Roman"/>
              </w:rPr>
            </w:pPr>
            <w:r>
              <w:rPr>
                <w:rFonts w:hint="eastAsia" w:ascii="Times New Roman" w:hAnsi="Times New Roman" w:cs="Times New Roman"/>
                <w:lang w:val="en-US" w:eastAsia="zh-CN"/>
              </w:rPr>
              <w:t>756.13</w:t>
            </w:r>
          </w:p>
        </w:tc>
        <w:tc>
          <w:tcPr>
            <w:tcW w:w="2040" w:type="dxa"/>
            <w:noWrap w:val="0"/>
            <w:vAlign w:val="center"/>
          </w:tcPr>
          <w:p>
            <w:pPr>
              <w:pStyle w:val="35"/>
              <w:rPr>
                <w:rFonts w:hint="default" w:ascii="Times New Roman" w:hAnsi="Times New Roman" w:cs="Times New Roman"/>
              </w:rPr>
            </w:pPr>
            <w:r>
              <w:rPr>
                <w:rFonts w:hint="default" w:ascii="Times New Roman" w:hAnsi="Times New Roman" w:cs="Times New Roman"/>
              </w:rPr>
              <w:t>支出总计</w:t>
            </w:r>
          </w:p>
        </w:tc>
        <w:tc>
          <w:tcPr>
            <w:tcW w:w="930" w:type="dxa"/>
            <w:noWrap w:val="0"/>
            <w:vAlign w:val="center"/>
          </w:tcPr>
          <w:p>
            <w:pPr>
              <w:pStyle w:val="25"/>
              <w:rPr>
                <w:rFonts w:hint="default" w:ascii="Times New Roman" w:hAnsi="Times New Roman" w:cs="Times New Roman"/>
              </w:rPr>
            </w:pPr>
            <w:r>
              <w:rPr>
                <w:rFonts w:hint="eastAsia" w:ascii="Times New Roman" w:hAnsi="Times New Roman" w:cs="Times New Roman"/>
                <w:lang w:val="en-US" w:eastAsia="zh-CN"/>
              </w:rPr>
              <w:t>756.13</w:t>
            </w:r>
          </w:p>
        </w:tc>
        <w:tc>
          <w:tcPr>
            <w:tcW w:w="1011" w:type="dxa"/>
            <w:noWrap w:val="0"/>
            <w:vAlign w:val="center"/>
          </w:tcPr>
          <w:p>
            <w:pPr>
              <w:pStyle w:val="25"/>
              <w:rPr>
                <w:rFonts w:hint="default" w:ascii="Times New Roman" w:hAnsi="Times New Roman" w:cs="Times New Roman"/>
              </w:rPr>
            </w:pPr>
            <w:r>
              <w:rPr>
                <w:rFonts w:hint="eastAsia" w:ascii="Times New Roman" w:hAnsi="Times New Roman" w:cs="Times New Roman"/>
                <w:lang w:val="en-US" w:eastAsia="zh-CN"/>
              </w:rPr>
              <w:t>756.13</w:t>
            </w:r>
          </w:p>
        </w:tc>
        <w:tc>
          <w:tcPr>
            <w:tcW w:w="1232" w:type="dxa"/>
            <w:noWrap w:val="0"/>
            <w:vAlign w:val="center"/>
          </w:tcPr>
          <w:p>
            <w:pPr>
              <w:pStyle w:val="25"/>
              <w:rPr>
                <w:rFonts w:hint="default" w:ascii="Times New Roman" w:hAnsi="Times New Roman" w:cs="Times New Roman"/>
              </w:rPr>
            </w:pPr>
          </w:p>
        </w:tc>
        <w:tc>
          <w:tcPr>
            <w:tcW w:w="1232" w:type="dxa"/>
            <w:noWrap w:val="0"/>
            <w:vAlign w:val="center"/>
          </w:tcPr>
          <w:p>
            <w:pPr>
              <w:pStyle w:val="25"/>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rPr>
      </w:pPr>
      <w:bookmarkStart w:id="4" w:name="_Toc_2_2_0000000005"/>
      <w:r>
        <w:rPr>
          <w:rFonts w:hint="default" w:ascii="Times New Roman" w:hAnsi="Times New Roman" w:eastAsia="方正小标宋_GBK" w:cs="Times New Roman"/>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290"/>
        <w:gridCol w:w="1395"/>
        <w:gridCol w:w="2055"/>
        <w:gridCol w:w="223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58"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2055" w:type="dxa"/>
            <w:tcBorders>
              <w:top w:val="single" w:color="FFFFFF" w:sz="6" w:space="0"/>
              <w:left w:val="single" w:color="FFFFFF" w:sz="6" w:space="0"/>
              <w:right w:val="single" w:color="FFFFFF" w:sz="6" w:space="0"/>
            </w:tcBorders>
            <w:noWrap w:val="0"/>
            <w:vAlign w:val="center"/>
          </w:tcPr>
          <w:p>
            <w:pPr>
              <w:pStyle w:val="34"/>
              <w:rPr>
                <w:rFonts w:hint="default" w:ascii="Times New Roman" w:hAnsi="Times New Roman" w:cs="Times New Roman"/>
              </w:rPr>
            </w:pPr>
            <w:r>
              <w:rPr>
                <w:rFonts w:hint="default" w:ascii="Times New Roman" w:hAnsi="Times New Roman" w:cs="Times New Roman"/>
              </w:rPr>
              <w:t>预算年度：2022</w:t>
            </w:r>
          </w:p>
        </w:tc>
        <w:tc>
          <w:tcPr>
            <w:tcW w:w="3880"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268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205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2237"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vMerge w:val="continue"/>
            <w:noWrap w:val="0"/>
            <w:vAlign w:val="top"/>
          </w:tcPr>
          <w:p>
            <w:pPr>
              <w:rPr>
                <w:rFonts w:hint="default" w:ascii="Times New Roman" w:hAnsi="Times New Roman" w:cs="Times New Roman"/>
              </w:rPr>
            </w:pPr>
          </w:p>
        </w:tc>
        <w:tc>
          <w:tcPr>
            <w:tcW w:w="1290" w:type="dxa"/>
            <w:noWrap w:val="0"/>
            <w:vAlign w:val="center"/>
          </w:tcPr>
          <w:p>
            <w:pPr>
              <w:pStyle w:val="29"/>
              <w:rPr>
                <w:rFonts w:hint="default" w:ascii="Times New Roman" w:hAnsi="Times New Roman" w:cs="Times New Roman"/>
              </w:rPr>
            </w:pPr>
            <w:r>
              <w:rPr>
                <w:rFonts w:hint="default" w:ascii="Times New Roman" w:hAnsi="Times New Roman" w:cs="Times New Roman"/>
              </w:rPr>
              <w:t>科目编码</w:t>
            </w:r>
          </w:p>
        </w:tc>
        <w:tc>
          <w:tcPr>
            <w:tcW w:w="1395"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2055" w:type="dxa"/>
            <w:vMerge w:val="continue"/>
            <w:noWrap w:val="0"/>
            <w:vAlign w:val="top"/>
          </w:tcPr>
          <w:p>
            <w:pPr>
              <w:rPr>
                <w:rFonts w:hint="default" w:ascii="Times New Roman" w:hAnsi="Times New Roman" w:cs="Times New Roman"/>
              </w:rPr>
            </w:pPr>
          </w:p>
        </w:tc>
        <w:tc>
          <w:tcPr>
            <w:tcW w:w="2237"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290"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395"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055"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2237"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290" w:type="dxa"/>
            <w:noWrap w:val="0"/>
            <w:vAlign w:val="center"/>
          </w:tcPr>
          <w:p>
            <w:pPr>
              <w:pStyle w:val="15"/>
              <w:rPr>
                <w:rFonts w:hint="default" w:ascii="Times New Roman" w:hAnsi="Times New Roman" w:cs="Times New Roman"/>
              </w:rPr>
            </w:pPr>
          </w:p>
        </w:tc>
        <w:tc>
          <w:tcPr>
            <w:tcW w:w="1395"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2055"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b/>
                <w:lang w:val="en-US" w:eastAsia="zh-CN"/>
              </w:rPr>
              <w:t>756.13</w:t>
            </w:r>
          </w:p>
        </w:tc>
        <w:tc>
          <w:tcPr>
            <w:tcW w:w="2237"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b/>
                <w:lang w:val="en-US" w:eastAsia="zh-CN"/>
              </w:rPr>
              <w:t>641.13</w:t>
            </w:r>
          </w:p>
        </w:tc>
        <w:tc>
          <w:tcPr>
            <w:tcW w:w="1643" w:type="dxa"/>
            <w:noWrap w:val="0"/>
            <w:vAlign w:val="center"/>
          </w:tcPr>
          <w:p>
            <w:pPr>
              <w:pStyle w:val="25"/>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一般公共服务支出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20103</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政府办公厅（室）及相关机构事务</w:t>
            </w:r>
          </w:p>
        </w:tc>
        <w:tc>
          <w:tcPr>
            <w:tcW w:w="2055" w:type="dxa"/>
            <w:noWrap w:val="0"/>
            <w:vAlign w:val="center"/>
          </w:tcPr>
          <w:p>
            <w:pPr>
              <w:pStyle w:val="12"/>
              <w:ind w:firstLine="0" w:firstLineChars="0"/>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2237" w:type="dxa"/>
            <w:noWrap w:val="0"/>
            <w:vAlign w:val="center"/>
          </w:tcPr>
          <w:p>
            <w:pPr>
              <w:pStyle w:val="12"/>
              <w:ind w:firstLine="0" w:firstLineChars="0"/>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643" w:type="dxa"/>
            <w:noWrap w:val="0"/>
            <w:vAlign w:val="center"/>
          </w:tcPr>
          <w:p>
            <w:pPr>
              <w:pStyle w:val="12"/>
              <w:ind w:firstLine="0" w:firstLineChars="0"/>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2010306</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政务公开审批</w:t>
            </w:r>
          </w:p>
        </w:tc>
        <w:tc>
          <w:tcPr>
            <w:tcW w:w="2055" w:type="dxa"/>
            <w:noWrap w:val="0"/>
            <w:vAlign w:val="center"/>
          </w:tcPr>
          <w:p>
            <w:pPr>
              <w:pStyle w:val="12"/>
              <w:ind w:firstLine="0" w:firstLineChars="0"/>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2237" w:type="dxa"/>
            <w:noWrap w:val="0"/>
            <w:vAlign w:val="center"/>
          </w:tcPr>
          <w:p>
            <w:pPr>
              <w:pStyle w:val="12"/>
              <w:ind w:firstLine="0" w:firstLineChars="0"/>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643" w:type="dxa"/>
            <w:noWrap w:val="0"/>
            <w:vAlign w:val="center"/>
          </w:tcPr>
          <w:p>
            <w:pPr>
              <w:pStyle w:val="12"/>
              <w:ind w:firstLine="0" w:firstLineChars="0"/>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社会保障和就业支出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20805</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行政事业单位养老支出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2080501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行政单位离退休</w:t>
            </w:r>
          </w:p>
        </w:tc>
        <w:tc>
          <w:tcPr>
            <w:tcW w:w="2055" w:type="dxa"/>
            <w:noWrap w:val="0"/>
            <w:vAlign w:val="center"/>
          </w:tcPr>
          <w:p>
            <w:pPr>
              <w:pStyle w:val="12"/>
              <w:rPr>
                <w:rFonts w:hint="default" w:ascii="Times New Roman" w:hAnsi="Times New Roman" w:cs="Times New Roman"/>
              </w:rPr>
            </w:pPr>
            <w:r>
              <w:rPr>
                <w:rFonts w:hint="default" w:ascii="Times New Roman" w:hAnsi="Times New Roman" w:eastAsia="方正书宋_GBK" w:cs="Times New Roman"/>
              </w:rPr>
              <w:t>1.</w:t>
            </w:r>
            <w:r>
              <w:rPr>
                <w:rFonts w:hint="eastAsia" w:ascii="Times New Roman" w:hAnsi="Times New Roman" w:eastAsia="方正书宋_GBK" w:cs="Times New Roman"/>
                <w:lang w:val="en-US" w:eastAsia="zh-CN"/>
              </w:rPr>
              <w:t>70</w:t>
            </w:r>
          </w:p>
        </w:tc>
        <w:tc>
          <w:tcPr>
            <w:tcW w:w="2237" w:type="dxa"/>
            <w:noWrap w:val="0"/>
            <w:vAlign w:val="center"/>
          </w:tcPr>
          <w:p>
            <w:pPr>
              <w:pStyle w:val="12"/>
              <w:rPr>
                <w:rFonts w:hint="default" w:ascii="Times New Roman" w:hAnsi="Times New Roman" w:cs="Times New Roman"/>
              </w:rPr>
            </w:pPr>
            <w:r>
              <w:rPr>
                <w:rFonts w:hint="default" w:ascii="Times New Roman" w:hAnsi="Times New Roman" w:eastAsia="方正书宋_GBK" w:cs="Times New Roman"/>
              </w:rPr>
              <w:t>1.</w:t>
            </w:r>
            <w:r>
              <w:rPr>
                <w:rFonts w:hint="eastAsia" w:ascii="Times New Roman" w:hAnsi="Times New Roman" w:eastAsia="方正书宋_GBK" w:cs="Times New Roman"/>
                <w:lang w:val="en-US" w:eastAsia="zh-CN"/>
              </w:rPr>
              <w:t>70</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2080505</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机关事业单位基本养老保险缴费支出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2080506</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机关事业单位职业年金缴费支出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210</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卫生健康支出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21011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行政事业单位医疗</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2101101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行政单位医疗</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221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住房保障支出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22102</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住房改革支出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2210201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住房公积金</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1643" w:type="dxa"/>
            <w:noWrap w:val="0"/>
            <w:vAlign w:val="center"/>
          </w:tcPr>
          <w:p>
            <w:pPr>
              <w:pStyle w:val="12"/>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rPr>
      </w:pPr>
      <w:bookmarkStart w:id="5" w:name="_Toc_2_2_0000000006"/>
      <w:r>
        <w:rPr>
          <w:rFonts w:hint="default" w:ascii="Times New Roman" w:hAnsi="Times New Roman" w:eastAsia="方正小标宋_GBK" w:cs="Times New Roman"/>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5"/>
        <w:gridCol w:w="1395"/>
        <w:gridCol w:w="1710"/>
        <w:gridCol w:w="221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0"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2212" w:type="dxa"/>
            <w:tcBorders>
              <w:top w:val="single" w:color="FFFFFF" w:sz="6" w:space="0"/>
              <w:left w:val="single" w:color="FFFFFF" w:sz="6" w:space="0"/>
              <w:right w:val="single" w:color="FFFFFF" w:sz="6" w:space="0"/>
            </w:tcBorders>
            <w:noWrap w:val="0"/>
            <w:vAlign w:val="center"/>
          </w:tcPr>
          <w:p>
            <w:pPr>
              <w:pStyle w:val="34"/>
              <w:jc w:val="left"/>
              <w:rPr>
                <w:rFonts w:hint="default" w:ascii="Times New Roman" w:hAnsi="Times New Roman" w:cs="Times New Roman"/>
              </w:rPr>
            </w:pPr>
            <w:r>
              <w:rPr>
                <w:rFonts w:hint="default" w:ascii="Times New Roman" w:hAnsi="Times New Roman" w:cs="Times New Roman"/>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310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支出部门经济分类科目</w:t>
            </w:r>
          </w:p>
        </w:tc>
        <w:tc>
          <w:tcPr>
            <w:tcW w:w="5498" w:type="dxa"/>
            <w:gridSpan w:val="3"/>
            <w:noWrap w:val="0"/>
            <w:vAlign w:val="center"/>
          </w:tcPr>
          <w:p>
            <w:pPr>
              <w:pStyle w:val="29"/>
              <w:rPr>
                <w:rFonts w:hint="default" w:ascii="Times New Roman" w:hAnsi="Times New Roman" w:cs="Times New Roman"/>
              </w:rPr>
            </w:pPr>
            <w:r>
              <w:rPr>
                <w:rFonts w:hint="default" w:ascii="Times New Roman" w:hAnsi="Times New Roman" w:cs="Times New Roma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continue"/>
            <w:noWrap w:val="0"/>
            <w:vAlign w:val="top"/>
          </w:tcPr>
          <w:p>
            <w:pPr>
              <w:rPr>
                <w:rFonts w:hint="default" w:ascii="Times New Roman" w:hAnsi="Times New Roman" w:cs="Times New Roman"/>
              </w:rPr>
            </w:pPr>
          </w:p>
        </w:tc>
        <w:tc>
          <w:tcPr>
            <w:tcW w:w="1395" w:type="dxa"/>
            <w:noWrap w:val="0"/>
            <w:vAlign w:val="center"/>
          </w:tcPr>
          <w:p>
            <w:pPr>
              <w:pStyle w:val="29"/>
              <w:rPr>
                <w:rFonts w:hint="default" w:ascii="Times New Roman" w:hAnsi="Times New Roman" w:cs="Times New Roman"/>
              </w:rPr>
            </w:pPr>
            <w:r>
              <w:rPr>
                <w:rFonts w:hint="default" w:ascii="Times New Roman" w:hAnsi="Times New Roman" w:cs="Times New Roman"/>
              </w:rPr>
              <w:t>科目编码</w:t>
            </w:r>
          </w:p>
        </w:tc>
        <w:tc>
          <w:tcPr>
            <w:tcW w:w="1710" w:type="dxa"/>
            <w:noWrap w:val="0"/>
            <w:vAlign w:val="center"/>
          </w:tcPr>
          <w:p>
            <w:pPr>
              <w:pStyle w:val="29"/>
              <w:ind w:right="384" w:rightChars="160"/>
              <w:rPr>
                <w:rFonts w:hint="default" w:ascii="Times New Roman" w:hAnsi="Times New Roman" w:cs="Times New Roman"/>
              </w:rPr>
            </w:pPr>
            <w:r>
              <w:rPr>
                <w:rFonts w:hint="default" w:ascii="Times New Roman" w:hAnsi="Times New Roman" w:cs="Times New Roman"/>
              </w:rPr>
              <w:t>科目名称</w:t>
            </w:r>
          </w:p>
        </w:tc>
        <w:tc>
          <w:tcPr>
            <w:tcW w:w="2212" w:type="dxa"/>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人员经费</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395"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710"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212"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395" w:type="dxa"/>
            <w:noWrap w:val="0"/>
            <w:vAlign w:val="center"/>
          </w:tcPr>
          <w:p>
            <w:pPr>
              <w:pStyle w:val="15"/>
              <w:rPr>
                <w:rFonts w:hint="default" w:ascii="Times New Roman" w:hAnsi="Times New Roman" w:cs="Times New Roman"/>
              </w:rPr>
            </w:pPr>
          </w:p>
        </w:tc>
        <w:tc>
          <w:tcPr>
            <w:tcW w:w="1710"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2212"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b/>
                <w:lang w:val="en-US" w:eastAsia="zh-CN"/>
              </w:rPr>
              <w:t>641.13</w:t>
            </w:r>
          </w:p>
        </w:tc>
        <w:tc>
          <w:tcPr>
            <w:tcW w:w="1643"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b/>
                <w:lang w:val="en-US" w:eastAsia="zh-CN"/>
              </w:rPr>
              <w:t>599.25</w:t>
            </w:r>
          </w:p>
        </w:tc>
        <w:tc>
          <w:tcPr>
            <w:tcW w:w="1643"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b/>
                <w:lang w:val="en-US" w:eastAsia="zh-CN"/>
              </w:rPr>
              <w:t>41.88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工资福利支出</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597.66</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597.66</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30101</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基本工资</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116.86</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116.86</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30102</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津贴补贴</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48.01</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48.01</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30103</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奖金</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51.81</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51.81</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30107</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绩效工资</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216.79</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216.79</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30108</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机关事业单位基本养老保险缴费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56.97</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56.97</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30109</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职业年金缴费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4.87</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4.87</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30110</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职工基本医疗保险缴费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55.12</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55.12</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30112</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其他社会保障缴费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4.50</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4.50</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30113</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住房公积金</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42.73</w:t>
            </w: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42.73</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商品和服务支出</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40.36</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30201</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办公费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12.54</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30202</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印刷费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1.52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30211</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差旅费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7.22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16</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30215</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会议费</w:t>
            </w:r>
          </w:p>
        </w:tc>
        <w:tc>
          <w:tcPr>
            <w:tcW w:w="2212" w:type="dxa"/>
            <w:noWrap w:val="0"/>
            <w:vAlign w:val="center"/>
          </w:tcPr>
          <w:p>
            <w:pPr>
              <w:pStyle w:val="12"/>
              <w:outlineLvl w:val="9"/>
              <w:rPr>
                <w:rFonts w:hint="default" w:ascii="Times New Roman" w:hAnsi="Times New Roman" w:cs="Times New Roman"/>
                <w:lang w:val="en-US" w:eastAsia="uk-UA"/>
              </w:rPr>
            </w:pPr>
            <w:r>
              <w:rPr>
                <w:rFonts w:hint="default" w:ascii="Times New Roman" w:hAnsi="Times New Roman" w:cs="Times New Roman"/>
                <w:lang w:val="en-US" w:eastAsia="zh-CN"/>
              </w:rPr>
              <w:t>2.70</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default" w:ascii="Times New Roman" w:hAnsi="Times New Roman" w:cs="Times New Roman"/>
                <w:lang w:val="en-US" w:eastAsia="zh-CN"/>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17</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30216</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培训费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3.56</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18</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30217</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公务接待费</w:t>
            </w:r>
          </w:p>
        </w:tc>
        <w:tc>
          <w:tcPr>
            <w:tcW w:w="2212" w:type="dxa"/>
            <w:noWrap w:val="0"/>
            <w:vAlign w:val="center"/>
          </w:tcPr>
          <w:p>
            <w:pPr>
              <w:pStyle w:val="12"/>
              <w:outlineLvl w:val="9"/>
              <w:rPr>
                <w:rFonts w:hint="default" w:ascii="Times New Roman" w:hAnsi="Times New Roman" w:cs="Times New Roman"/>
                <w:lang w:val="en-US" w:eastAsia="zh-CN"/>
              </w:rPr>
            </w:pPr>
            <w:r>
              <w:rPr>
                <w:rFonts w:hint="default" w:ascii="Times New Roman" w:hAnsi="Times New Roman" w:cs="Times New Roman"/>
                <w:lang w:val="en-US" w:eastAsia="zh-CN"/>
              </w:rPr>
              <w:t>0.4</w:t>
            </w:r>
            <w:r>
              <w:rPr>
                <w:rFonts w:hint="eastAsia" w:ascii="Times New Roman" w:hAnsi="Times New Roman" w:cs="Times New Roman"/>
                <w:lang w:val="en-US" w:eastAsia="zh-CN"/>
              </w:rPr>
              <w:t>5</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default" w:ascii="Times New Roman" w:hAnsi="Times New Roman" w:cs="Times New Roman"/>
                <w:lang w:val="en-US" w:eastAsia="zh-CN"/>
              </w:rPr>
              <w:t>0.4</w:t>
            </w:r>
            <w:r>
              <w:rPr>
                <w:rFonts w:hint="eastAsia" w:ascii="Times New Roman" w:hAnsi="Times New Roman" w:cs="Times New Roman"/>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19</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30228</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工会经费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4.75</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20</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30229</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福利费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3.56</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30231</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公务用车运行维护费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0</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22</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30239</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其他交通费用</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3.84</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23</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30299</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其他商品和服务支出</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0.22</w:t>
            </w:r>
          </w:p>
        </w:tc>
        <w:tc>
          <w:tcPr>
            <w:tcW w:w="1643" w:type="dxa"/>
            <w:noWrap w:val="0"/>
            <w:vAlign w:val="center"/>
          </w:tcPr>
          <w:p>
            <w:pPr>
              <w:pStyle w:val="12"/>
              <w:rPr>
                <w:rFonts w:hint="default" w:ascii="Times New Roman" w:hAnsi="Times New Roman" w:eastAsia="方正书宋_GBK" w:cs="Times New Roman"/>
                <w:lang w:val="en-US" w:eastAsia="zh-C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24</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303</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对个人和家庭的补助</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1.58</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1.58</w:t>
            </w:r>
          </w:p>
        </w:tc>
        <w:tc>
          <w:tcPr>
            <w:tcW w:w="1643" w:type="dxa"/>
            <w:noWrap w:val="0"/>
            <w:vAlign w:val="center"/>
          </w:tcPr>
          <w:p>
            <w:pPr>
              <w:pStyle w:val="12"/>
              <w:outlineLvl w:val="9"/>
              <w:rPr>
                <w:rFonts w:hint="default" w:ascii="Times New Roman" w:hAnsi="Times New Roman" w:cs="Times New Roman"/>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25</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30302</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退休费</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1.48</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1.48</w:t>
            </w:r>
          </w:p>
        </w:tc>
        <w:tc>
          <w:tcPr>
            <w:tcW w:w="1643" w:type="dxa"/>
            <w:noWrap w:val="0"/>
            <w:vAlign w:val="center"/>
          </w:tcPr>
          <w:p>
            <w:pPr>
              <w:pStyle w:val="12"/>
              <w:outlineLvl w:val="9"/>
              <w:rPr>
                <w:rFonts w:hint="default" w:ascii="Times New Roman" w:hAnsi="Times New Roman" w:cs="Times New Roman"/>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26</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30309</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奖励金</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0.11</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0.11</w:t>
            </w:r>
          </w:p>
        </w:tc>
        <w:tc>
          <w:tcPr>
            <w:tcW w:w="1643" w:type="dxa"/>
            <w:noWrap w:val="0"/>
            <w:vAlign w:val="center"/>
          </w:tcPr>
          <w:p>
            <w:pPr>
              <w:pStyle w:val="12"/>
              <w:outlineLvl w:val="9"/>
              <w:rPr>
                <w:rFonts w:hint="default" w:ascii="Times New Roman" w:hAnsi="Times New Roman" w:cs="Times New Roman"/>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27</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310</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资本性支出</w:t>
            </w:r>
          </w:p>
        </w:tc>
        <w:tc>
          <w:tcPr>
            <w:tcW w:w="2212" w:type="dxa"/>
            <w:noWrap w:val="0"/>
            <w:vAlign w:val="center"/>
          </w:tcPr>
          <w:p>
            <w:pPr>
              <w:pStyle w:val="12"/>
              <w:outlineLvl w:val="9"/>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52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noWrap w:val="0"/>
            <w:vAlign w:val="center"/>
          </w:tcPr>
          <w:p>
            <w:pPr>
              <w:pStyle w:val="14"/>
              <w:rPr>
                <w:rFonts w:hint="default" w:ascii="Times New Roman" w:hAnsi="Times New Roman" w:cs="Times New Roman"/>
              </w:rPr>
            </w:pPr>
            <w:r>
              <w:rPr>
                <w:rFonts w:hint="default" w:ascii="Times New Roman" w:hAnsi="Times New Roman" w:cs="Times New Roman"/>
              </w:rPr>
              <w:t>28</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31002</w:t>
            </w:r>
          </w:p>
        </w:tc>
        <w:tc>
          <w:tcPr>
            <w:tcW w:w="1710" w:type="dxa"/>
            <w:noWrap w:val="0"/>
            <w:vAlign w:val="center"/>
          </w:tcPr>
          <w:p>
            <w:pPr>
              <w:pStyle w:val="16"/>
              <w:rPr>
                <w:rFonts w:hint="default" w:ascii="Times New Roman" w:hAnsi="Times New Roman" w:cs="Times New Roman"/>
              </w:rPr>
            </w:pPr>
            <w:r>
              <w:rPr>
                <w:rFonts w:hint="default" w:ascii="Times New Roman" w:hAnsi="Times New Roman" w:cs="Times New Roman"/>
              </w:rPr>
              <w:t>办公设备购置</w:t>
            </w:r>
          </w:p>
        </w:tc>
        <w:tc>
          <w:tcPr>
            <w:tcW w:w="2212"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1.52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outlineLvl w:val="9"/>
              <w:rPr>
                <w:rFonts w:hint="default" w:ascii="Times New Roman" w:hAnsi="Times New Roman" w:cs="Times New Roman"/>
                <w:lang w:val="en-US" w:eastAsia="zh-CN"/>
              </w:rPr>
            </w:pPr>
            <w:r>
              <w:rPr>
                <w:rFonts w:hint="eastAsia" w:ascii="Times New Roman" w:hAnsi="Times New Roman" w:cs="Times New Roman"/>
                <w:lang w:val="en-US" w:eastAsia="zh-CN"/>
              </w:rPr>
              <w:t>1.52</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rPr>
      </w:pPr>
      <w:bookmarkStart w:id="6" w:name="_Toc_2_2_0000000007"/>
      <w:r>
        <w:rPr>
          <w:rFonts w:hint="default" w:ascii="Times New Roman" w:hAnsi="Times New Roman" w:eastAsia="方正小标宋_GBK" w:cs="Times New Roman"/>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560"/>
        <w:gridCol w:w="1425"/>
        <w:gridCol w:w="221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0"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2212" w:type="dxa"/>
            <w:tcBorders>
              <w:top w:val="single" w:color="FFFFFF" w:sz="6" w:space="0"/>
              <w:left w:val="single" w:color="FFFFFF" w:sz="6" w:space="0"/>
              <w:right w:val="single" w:color="FFFFFF" w:sz="6" w:space="0"/>
            </w:tcBorders>
            <w:noWrap w:val="0"/>
            <w:vAlign w:val="center"/>
          </w:tcPr>
          <w:p>
            <w:pPr>
              <w:pStyle w:val="34"/>
              <w:rPr>
                <w:rFonts w:hint="default" w:ascii="Times New Roman" w:hAnsi="Times New Roman" w:cs="Times New Roman"/>
              </w:rPr>
            </w:pPr>
            <w:r>
              <w:rPr>
                <w:rFonts w:hint="default" w:ascii="Times New Roman" w:hAnsi="Times New Roman" w:cs="Times New Roman"/>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298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2212"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vMerge w:val="continue"/>
            <w:noWrap w:val="0"/>
            <w:vAlign w:val="top"/>
          </w:tcPr>
          <w:p>
            <w:pPr>
              <w:rPr>
                <w:rFonts w:hint="default" w:ascii="Times New Roman" w:hAnsi="Times New Roman" w:cs="Times New Roman"/>
              </w:rPr>
            </w:pPr>
          </w:p>
        </w:tc>
        <w:tc>
          <w:tcPr>
            <w:tcW w:w="1560" w:type="dxa"/>
            <w:noWrap w:val="0"/>
            <w:vAlign w:val="center"/>
          </w:tcPr>
          <w:p>
            <w:pPr>
              <w:pStyle w:val="29"/>
              <w:rPr>
                <w:rFonts w:hint="default" w:ascii="Times New Roman" w:hAnsi="Times New Roman" w:cs="Times New Roman"/>
              </w:rPr>
            </w:pPr>
            <w:r>
              <w:rPr>
                <w:rFonts w:hint="default" w:ascii="Times New Roman" w:hAnsi="Times New Roman" w:cs="Times New Roman"/>
              </w:rPr>
              <w:t>科目编码</w:t>
            </w:r>
          </w:p>
        </w:tc>
        <w:tc>
          <w:tcPr>
            <w:tcW w:w="1425"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2212"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560"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425"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212"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noWrap w:val="0"/>
            <w:vAlign w:val="center"/>
          </w:tcPr>
          <w:p>
            <w:pPr>
              <w:pStyle w:val="14"/>
              <w:rPr>
                <w:rFonts w:hint="default" w:ascii="Times New Roman" w:hAnsi="Times New Roman" w:cs="Times New Roman"/>
              </w:rPr>
            </w:pPr>
          </w:p>
        </w:tc>
        <w:tc>
          <w:tcPr>
            <w:tcW w:w="1560" w:type="dxa"/>
            <w:noWrap w:val="0"/>
            <w:vAlign w:val="center"/>
          </w:tcPr>
          <w:p>
            <w:pPr>
              <w:pStyle w:val="16"/>
              <w:rPr>
                <w:rFonts w:hint="default" w:ascii="Times New Roman" w:hAnsi="Times New Roman" w:cs="Times New Roman"/>
              </w:rPr>
            </w:pPr>
          </w:p>
        </w:tc>
        <w:tc>
          <w:tcPr>
            <w:tcW w:w="1425" w:type="dxa"/>
            <w:noWrap w:val="0"/>
            <w:vAlign w:val="center"/>
          </w:tcPr>
          <w:p>
            <w:pPr>
              <w:pStyle w:val="16"/>
              <w:rPr>
                <w:rFonts w:hint="default" w:ascii="Times New Roman" w:hAnsi="Times New Roman" w:cs="Times New Roman"/>
              </w:rPr>
            </w:pPr>
          </w:p>
        </w:tc>
        <w:tc>
          <w:tcPr>
            <w:tcW w:w="2212"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注：无政府基金预算财政拨款预算，空表列示。</w:t>
      </w:r>
    </w:p>
    <w:p>
      <w:pPr>
        <w:spacing w:before="0" w:after="0" w:line="240" w:lineRule="auto"/>
        <w:ind w:firstLine="0"/>
        <w:jc w:val="center"/>
        <w:outlineLvl w:val="1"/>
        <w:rPr>
          <w:rFonts w:hint="default" w:ascii="Times New Roman" w:hAnsi="Times New Roman" w:cs="Times New Roman"/>
        </w:rPr>
      </w:pPr>
      <w:bookmarkStart w:id="7" w:name="_Toc_2_2_0000000008"/>
      <w:r>
        <w:rPr>
          <w:rFonts w:hint="default" w:ascii="Times New Roman" w:hAnsi="Times New Roman" w:eastAsia="方正小标宋_GBK" w:cs="Times New Roman"/>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0"/>
        <w:gridCol w:w="1575"/>
        <w:gridCol w:w="1620"/>
        <w:gridCol w:w="201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55"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2017" w:type="dxa"/>
            <w:tcBorders>
              <w:top w:val="single" w:color="FFFFFF" w:sz="6" w:space="0"/>
              <w:left w:val="single" w:color="FFFFFF" w:sz="6" w:space="0"/>
              <w:right w:val="single" w:color="FFFFFF" w:sz="6" w:space="0"/>
            </w:tcBorders>
            <w:noWrap w:val="0"/>
            <w:vAlign w:val="center"/>
          </w:tcPr>
          <w:p>
            <w:pPr>
              <w:pStyle w:val="34"/>
              <w:rPr>
                <w:rFonts w:hint="default" w:ascii="Times New Roman" w:hAnsi="Times New Roman" w:cs="Times New Roman"/>
              </w:rPr>
            </w:pPr>
            <w:r>
              <w:rPr>
                <w:rFonts w:hint="default" w:ascii="Times New Roman" w:hAnsi="Times New Roman" w:cs="Times New Roman"/>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0"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319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2017"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0" w:type="dxa"/>
            <w:vMerge w:val="continue"/>
            <w:noWrap w:val="0"/>
            <w:vAlign w:val="top"/>
          </w:tcPr>
          <w:p>
            <w:pPr>
              <w:rPr>
                <w:rFonts w:hint="default" w:ascii="Times New Roman" w:hAnsi="Times New Roman" w:cs="Times New Roman"/>
              </w:rPr>
            </w:pPr>
          </w:p>
        </w:tc>
        <w:tc>
          <w:tcPr>
            <w:tcW w:w="1575" w:type="dxa"/>
            <w:noWrap w:val="0"/>
            <w:vAlign w:val="center"/>
          </w:tcPr>
          <w:p>
            <w:pPr>
              <w:pStyle w:val="29"/>
              <w:rPr>
                <w:rFonts w:hint="default" w:ascii="Times New Roman" w:hAnsi="Times New Roman" w:cs="Times New Roman"/>
              </w:rPr>
            </w:pPr>
            <w:r>
              <w:rPr>
                <w:rFonts w:hint="default" w:ascii="Times New Roman" w:hAnsi="Times New Roman" w:cs="Times New Roman"/>
              </w:rPr>
              <w:t>科目编码</w:t>
            </w:r>
          </w:p>
        </w:tc>
        <w:tc>
          <w:tcPr>
            <w:tcW w:w="1620"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2017"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0"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575"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620"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017"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0" w:type="dxa"/>
            <w:noWrap w:val="0"/>
            <w:vAlign w:val="center"/>
          </w:tcPr>
          <w:p>
            <w:pPr>
              <w:pStyle w:val="14"/>
              <w:rPr>
                <w:rFonts w:hint="default" w:ascii="Times New Roman" w:hAnsi="Times New Roman" w:cs="Times New Roman"/>
              </w:rPr>
            </w:pPr>
          </w:p>
        </w:tc>
        <w:tc>
          <w:tcPr>
            <w:tcW w:w="1575" w:type="dxa"/>
            <w:noWrap w:val="0"/>
            <w:vAlign w:val="center"/>
          </w:tcPr>
          <w:p>
            <w:pPr>
              <w:pStyle w:val="16"/>
              <w:rPr>
                <w:rFonts w:hint="default" w:ascii="Times New Roman" w:hAnsi="Times New Roman" w:cs="Times New Roman"/>
              </w:rPr>
            </w:pPr>
          </w:p>
        </w:tc>
        <w:tc>
          <w:tcPr>
            <w:tcW w:w="1620" w:type="dxa"/>
            <w:noWrap w:val="0"/>
            <w:vAlign w:val="center"/>
          </w:tcPr>
          <w:p>
            <w:pPr>
              <w:pStyle w:val="16"/>
              <w:rPr>
                <w:rFonts w:hint="default" w:ascii="Times New Roman" w:hAnsi="Times New Roman" w:cs="Times New Roman"/>
              </w:rPr>
            </w:pPr>
          </w:p>
        </w:tc>
        <w:tc>
          <w:tcPr>
            <w:tcW w:w="2017"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注：无国有资本经营预算财政拨款预算，空表列示。</w:t>
      </w:r>
    </w:p>
    <w:p>
      <w:pPr>
        <w:spacing w:before="0" w:after="0" w:line="240" w:lineRule="auto"/>
        <w:ind w:firstLine="0"/>
        <w:jc w:val="center"/>
        <w:outlineLvl w:val="1"/>
        <w:rPr>
          <w:rFonts w:hint="default" w:ascii="Times New Roman" w:hAnsi="Times New Roman" w:cs="Times New Roman"/>
        </w:rPr>
      </w:pPr>
      <w:bookmarkStart w:id="8" w:name="_Toc_2_2_0000000009"/>
      <w:r>
        <w:rPr>
          <w:rFonts w:hint="default" w:ascii="Times New Roman" w:hAnsi="Times New Roman" w:eastAsia="方正小标宋_GBK" w:cs="Times New Roman"/>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755"/>
        <w:gridCol w:w="1590"/>
        <w:gridCol w:w="200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3"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2004"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8"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175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6880" w:type="dxa"/>
            <w:gridSpan w:val="4"/>
            <w:noWrap w:val="0"/>
            <w:vAlign w:val="center"/>
          </w:tcPr>
          <w:p>
            <w:pPr>
              <w:pStyle w:val="29"/>
              <w:rPr>
                <w:rFonts w:hint="default" w:ascii="Times New Roman" w:hAnsi="Times New Roman" w:cs="Times New Roman"/>
              </w:rPr>
            </w:pPr>
            <w:r>
              <w:rPr>
                <w:rFonts w:hint="default" w:ascii="Times New Roman" w:hAnsi="Times New Roman" w:cs="Times New Roma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78" w:type="dxa"/>
            <w:vMerge w:val="continue"/>
            <w:noWrap w:val="0"/>
            <w:vAlign w:val="top"/>
          </w:tcPr>
          <w:p>
            <w:pPr>
              <w:rPr>
                <w:rFonts w:hint="default" w:ascii="Times New Roman" w:hAnsi="Times New Roman" w:cs="Times New Roman"/>
              </w:rPr>
            </w:pPr>
          </w:p>
        </w:tc>
        <w:tc>
          <w:tcPr>
            <w:tcW w:w="1755" w:type="dxa"/>
            <w:vMerge w:val="continue"/>
            <w:noWrap w:val="0"/>
            <w:vAlign w:val="top"/>
          </w:tcPr>
          <w:p>
            <w:pPr>
              <w:rPr>
                <w:rFonts w:hint="default" w:ascii="Times New Roman" w:hAnsi="Times New Roman" w:cs="Times New Roman"/>
              </w:rPr>
            </w:pPr>
          </w:p>
        </w:tc>
        <w:tc>
          <w:tcPr>
            <w:tcW w:w="1590" w:type="dxa"/>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2004" w:type="dxa"/>
            <w:noWrap w:val="0"/>
            <w:vAlign w:val="center"/>
          </w:tcPr>
          <w:p>
            <w:pPr>
              <w:pStyle w:val="29"/>
              <w:rPr>
                <w:rFonts w:hint="default" w:ascii="Times New Roman" w:hAnsi="Times New Roman" w:cs="Times New Roman"/>
              </w:rPr>
            </w:pPr>
            <w:r>
              <w:rPr>
                <w:rFonts w:hint="default" w:ascii="Times New Roman" w:hAnsi="Times New Roman" w:cs="Times New Roman"/>
              </w:rPr>
              <w:t>一般公共预算              财政拨款</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政府性基金                  预算拨款</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78"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755"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590"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004"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755"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1590"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6.71</w:t>
            </w:r>
          </w:p>
        </w:tc>
        <w:tc>
          <w:tcPr>
            <w:tcW w:w="2004"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6.71</w:t>
            </w:r>
          </w:p>
        </w:tc>
        <w:tc>
          <w:tcPr>
            <w:tcW w:w="1643" w:type="dxa"/>
            <w:noWrap w:val="0"/>
            <w:vAlign w:val="center"/>
          </w:tcPr>
          <w:p>
            <w:pPr>
              <w:pStyle w:val="25"/>
              <w:rPr>
                <w:rFonts w:hint="default" w:ascii="Times New Roman" w:hAnsi="Times New Roman" w:cs="Times New Roman"/>
              </w:rPr>
            </w:pPr>
          </w:p>
        </w:tc>
        <w:tc>
          <w:tcPr>
            <w:tcW w:w="1643" w:type="dxa"/>
            <w:noWrap w:val="0"/>
            <w:vAlign w:val="center"/>
          </w:tcPr>
          <w:p>
            <w:pPr>
              <w:pStyle w:val="2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“三公”经费小计</w:t>
            </w:r>
          </w:p>
        </w:tc>
        <w:tc>
          <w:tcPr>
            <w:tcW w:w="1590"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0.45</w:t>
            </w:r>
          </w:p>
        </w:tc>
        <w:tc>
          <w:tcPr>
            <w:tcW w:w="2004"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0.45</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一、因公出国（境）费</w:t>
            </w:r>
          </w:p>
        </w:tc>
        <w:tc>
          <w:tcPr>
            <w:tcW w:w="1590" w:type="dxa"/>
            <w:noWrap w:val="0"/>
            <w:vAlign w:val="center"/>
          </w:tcPr>
          <w:p>
            <w:pPr>
              <w:pStyle w:val="12"/>
              <w:rPr>
                <w:rFonts w:hint="default" w:ascii="Times New Roman" w:hAnsi="Times New Roman" w:cs="Times New Roman"/>
              </w:rPr>
            </w:pPr>
          </w:p>
        </w:tc>
        <w:tc>
          <w:tcPr>
            <w:tcW w:w="2004"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 xml:space="preserve">    其中：教学科研人员因公出国（境）费</w:t>
            </w:r>
          </w:p>
        </w:tc>
        <w:tc>
          <w:tcPr>
            <w:tcW w:w="1590" w:type="dxa"/>
            <w:noWrap w:val="0"/>
            <w:vAlign w:val="center"/>
          </w:tcPr>
          <w:p>
            <w:pPr>
              <w:pStyle w:val="12"/>
              <w:rPr>
                <w:rFonts w:hint="default" w:ascii="Times New Roman" w:hAnsi="Times New Roman" w:cs="Times New Roman"/>
              </w:rPr>
            </w:pPr>
          </w:p>
        </w:tc>
        <w:tc>
          <w:tcPr>
            <w:tcW w:w="2004"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 xml:space="preserve">          其他因公出国（境）费</w:t>
            </w:r>
          </w:p>
        </w:tc>
        <w:tc>
          <w:tcPr>
            <w:tcW w:w="1590" w:type="dxa"/>
            <w:noWrap w:val="0"/>
            <w:vAlign w:val="center"/>
          </w:tcPr>
          <w:p>
            <w:pPr>
              <w:pStyle w:val="12"/>
              <w:rPr>
                <w:rFonts w:hint="default" w:ascii="Times New Roman" w:hAnsi="Times New Roman" w:cs="Times New Roman"/>
              </w:rPr>
            </w:pPr>
          </w:p>
        </w:tc>
        <w:tc>
          <w:tcPr>
            <w:tcW w:w="2004"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二、公务用车购置及运维费</w:t>
            </w:r>
          </w:p>
        </w:tc>
        <w:tc>
          <w:tcPr>
            <w:tcW w:w="1590" w:type="dxa"/>
            <w:noWrap w:val="0"/>
            <w:vAlign w:val="center"/>
          </w:tcPr>
          <w:p>
            <w:pPr>
              <w:pStyle w:val="12"/>
              <w:rPr>
                <w:rFonts w:hint="default" w:ascii="Times New Roman" w:hAnsi="Times New Roman" w:cs="Times New Roman"/>
              </w:rPr>
            </w:pPr>
          </w:p>
        </w:tc>
        <w:tc>
          <w:tcPr>
            <w:tcW w:w="2004"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 xml:space="preserve">    其中：公务用车购置费</w:t>
            </w:r>
          </w:p>
        </w:tc>
        <w:tc>
          <w:tcPr>
            <w:tcW w:w="1590" w:type="dxa"/>
            <w:noWrap w:val="0"/>
            <w:vAlign w:val="center"/>
          </w:tcPr>
          <w:p>
            <w:pPr>
              <w:pStyle w:val="12"/>
              <w:rPr>
                <w:rFonts w:hint="default" w:ascii="Times New Roman" w:hAnsi="Times New Roman" w:cs="Times New Roman"/>
              </w:rPr>
            </w:pPr>
          </w:p>
        </w:tc>
        <w:tc>
          <w:tcPr>
            <w:tcW w:w="2004"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 xml:space="preserve">          公务用车运行维护费</w:t>
            </w:r>
          </w:p>
        </w:tc>
        <w:tc>
          <w:tcPr>
            <w:tcW w:w="1590" w:type="dxa"/>
            <w:noWrap w:val="0"/>
            <w:vAlign w:val="center"/>
          </w:tcPr>
          <w:p>
            <w:pPr>
              <w:pStyle w:val="12"/>
              <w:rPr>
                <w:rFonts w:hint="default" w:ascii="Times New Roman" w:hAnsi="Times New Roman" w:cs="Times New Roman"/>
              </w:rPr>
            </w:pPr>
          </w:p>
        </w:tc>
        <w:tc>
          <w:tcPr>
            <w:tcW w:w="2004"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三、公务接待费</w:t>
            </w:r>
          </w:p>
        </w:tc>
        <w:tc>
          <w:tcPr>
            <w:tcW w:w="1590" w:type="dxa"/>
            <w:noWrap w:val="0"/>
            <w:vAlign w:val="center"/>
          </w:tcPr>
          <w:p>
            <w:pPr>
              <w:pStyle w:val="12"/>
              <w:rPr>
                <w:rFonts w:hint="eastAsia" w:ascii="Times New Roman" w:hAnsi="Times New Roman" w:eastAsia="方正书宋_GBK" w:cs="Times New Roman"/>
                <w:lang w:eastAsia="zh-CN"/>
              </w:rPr>
            </w:pPr>
            <w:r>
              <w:rPr>
                <w:rFonts w:hint="default" w:ascii="Times New Roman" w:hAnsi="Times New Roman" w:cs="Times New Roman"/>
              </w:rPr>
              <w:t>0.4</w:t>
            </w:r>
            <w:r>
              <w:rPr>
                <w:rFonts w:hint="eastAsia" w:ascii="Times New Roman" w:hAnsi="Times New Roman" w:cs="Times New Roman"/>
                <w:lang w:val="en-US" w:eastAsia="zh-CN"/>
              </w:rPr>
              <w:t>5</w:t>
            </w:r>
          </w:p>
        </w:tc>
        <w:tc>
          <w:tcPr>
            <w:tcW w:w="2004" w:type="dxa"/>
            <w:noWrap w:val="0"/>
            <w:vAlign w:val="center"/>
          </w:tcPr>
          <w:p>
            <w:pPr>
              <w:pStyle w:val="12"/>
              <w:rPr>
                <w:rFonts w:hint="eastAsia" w:ascii="Times New Roman" w:hAnsi="Times New Roman" w:eastAsia="方正书宋_GBK" w:cs="Times New Roman"/>
                <w:lang w:eastAsia="zh-CN"/>
              </w:rPr>
            </w:pPr>
            <w:r>
              <w:rPr>
                <w:rFonts w:hint="default" w:ascii="Times New Roman" w:hAnsi="Times New Roman" w:cs="Times New Roman"/>
              </w:rPr>
              <w:t>0.4</w:t>
            </w:r>
            <w:r>
              <w:rPr>
                <w:rFonts w:hint="eastAsia" w:ascii="Times New Roman" w:hAnsi="Times New Roman" w:cs="Times New Roman"/>
                <w:lang w:val="en-US" w:eastAsia="zh-CN"/>
              </w:rPr>
              <w:t>5</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四、会议费</w:t>
            </w:r>
          </w:p>
        </w:tc>
        <w:tc>
          <w:tcPr>
            <w:tcW w:w="1590" w:type="dxa"/>
            <w:noWrap w:val="0"/>
            <w:vAlign w:val="center"/>
          </w:tcPr>
          <w:p>
            <w:pPr>
              <w:pStyle w:val="12"/>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7</w:t>
            </w:r>
            <w:r>
              <w:rPr>
                <w:rFonts w:hint="default" w:ascii="Times New Roman" w:hAnsi="Times New Roman" w:cs="Times New Roman"/>
              </w:rPr>
              <w:t>0</w:t>
            </w:r>
          </w:p>
        </w:tc>
        <w:tc>
          <w:tcPr>
            <w:tcW w:w="2004" w:type="dxa"/>
            <w:noWrap w:val="0"/>
            <w:vAlign w:val="center"/>
          </w:tcPr>
          <w:p>
            <w:pPr>
              <w:pStyle w:val="12"/>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7</w:t>
            </w:r>
            <w:r>
              <w:rPr>
                <w:rFonts w:hint="default" w:ascii="Times New Roman" w:hAnsi="Times New Roman" w:cs="Times New Roman"/>
              </w:rPr>
              <w:t>0</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8"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755" w:type="dxa"/>
            <w:noWrap w:val="0"/>
            <w:vAlign w:val="center"/>
          </w:tcPr>
          <w:p>
            <w:pPr>
              <w:pStyle w:val="16"/>
              <w:rPr>
                <w:rFonts w:hint="default" w:ascii="Times New Roman" w:hAnsi="Times New Roman" w:cs="Times New Roman"/>
              </w:rPr>
            </w:pPr>
            <w:r>
              <w:rPr>
                <w:rFonts w:hint="default" w:ascii="Times New Roman" w:hAnsi="Times New Roman" w:cs="Times New Roman"/>
              </w:rPr>
              <w:t>五、培训费</w:t>
            </w:r>
          </w:p>
        </w:tc>
        <w:tc>
          <w:tcPr>
            <w:tcW w:w="1590"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3.</w:t>
            </w:r>
            <w:r>
              <w:rPr>
                <w:rFonts w:hint="eastAsia" w:ascii="Times New Roman" w:hAnsi="Times New Roman" w:cs="Times New Roman"/>
                <w:lang w:val="en-US" w:eastAsia="zh-CN"/>
              </w:rPr>
              <w:t>56</w:t>
            </w:r>
          </w:p>
        </w:tc>
        <w:tc>
          <w:tcPr>
            <w:tcW w:w="2004"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3.</w:t>
            </w:r>
            <w:r>
              <w:rPr>
                <w:rFonts w:hint="eastAsia" w:ascii="Times New Roman" w:hAnsi="Times New Roman" w:cs="Times New Roman"/>
                <w:lang w:val="en-US" w:eastAsia="zh-CN"/>
              </w:rPr>
              <w:t>56</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bl>
    <w:p>
      <w:pPr>
        <w:spacing w:before="0" w:after="0" w:line="240" w:lineRule="auto"/>
        <w:ind w:firstLine="0"/>
        <w:jc w:val="center"/>
        <w:outlineLvl w:val="0"/>
        <w:rPr>
          <w:rFonts w:hint="default" w:ascii="Times New Roman" w:hAnsi="Times New Roman" w:cs="Times New Roman"/>
        </w:rPr>
        <w:sectPr>
          <w:pgSz w:w="16840" w:h="11900" w:orient="landscape"/>
          <w:pgMar w:top="1361" w:right="1020" w:bottom="1361" w:left="1020" w:header="720" w:footer="720" w:gutter="0"/>
          <w:cols w:space="720" w:num="1"/>
        </w:sectPr>
      </w:pPr>
      <w:r>
        <w:rPr>
          <w:rFonts w:hint="default" w:ascii="Times New Roman" w:hAnsi="Times New Roman" w:eastAsia="方正书宋_GBK" w:cs="Times New Roman"/>
          <w:color w:val="FFFFFF"/>
          <w:sz w:val="21"/>
        </w:rPr>
        <w:t>第一部分  秦皇岛北戴河新区行政审批局2022年部门预算信息公开情况说明</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秦皇岛北戴河新区行政审批局202</w:t>
      </w:r>
      <w:r>
        <w:rPr>
          <w:rFonts w:hint="eastAsia" w:eastAsia="方正小标宋_GBK" w:cs="Times New Roman"/>
          <w:color w:val="000000"/>
          <w:sz w:val="44"/>
          <w:lang w:val="en-US" w:eastAsia="zh-CN"/>
        </w:rPr>
        <w:t>1</w:t>
      </w:r>
      <w:r>
        <w:rPr>
          <w:rFonts w:hint="default" w:ascii="Times New Roman" w:hAnsi="Times New Roman" w:eastAsia="方正小标宋_GBK" w:cs="Times New Roman"/>
          <w:color w:val="000000"/>
          <w:sz w:val="44"/>
        </w:rPr>
        <w:t>年部门预算信息公开情况说明</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color w:val="000000"/>
          <w:sz w:val="28"/>
        </w:rPr>
        <w:t>按照《预算法》、《地方预决算公开操作规程》和《关于进一步推进预算公开工作的实施意见》规定，现将秦皇岛北戴河新区行政审批局202</w:t>
      </w:r>
      <w:r>
        <w:rPr>
          <w:rFonts w:hint="eastAsia" w:eastAsia="方正仿宋_GBK" w:cs="Times New Roman"/>
          <w:color w:val="000000"/>
          <w:sz w:val="28"/>
          <w:lang w:val="en-US" w:eastAsia="zh-CN"/>
        </w:rPr>
        <w:t>1</w:t>
      </w:r>
      <w:r>
        <w:rPr>
          <w:rFonts w:hint="default" w:ascii="Times New Roman" w:hAnsi="Times New Roman" w:eastAsia="方正仿宋_GBK" w:cs="Times New Roman"/>
          <w:color w:val="000000"/>
          <w:sz w:val="28"/>
        </w:rPr>
        <w:t>年部门预算公开如下：</w:t>
      </w:r>
    </w:p>
    <w:p>
      <w:pPr>
        <w:spacing w:before="10" w:after="10" w:line="360" w:lineRule="auto"/>
        <w:ind w:firstLine="640"/>
        <w:jc w:val="left"/>
        <w:outlineLvl w:val="2"/>
        <w:rPr>
          <w:rFonts w:hint="default" w:ascii="Times New Roman" w:hAnsi="Times New Roman" w:cs="Times New Roman"/>
        </w:rPr>
      </w:pPr>
      <w:bookmarkStart w:id="9" w:name="_Toc_3_3_0000000010"/>
      <w:r>
        <w:rPr>
          <w:rFonts w:hint="default" w:ascii="Times New Roman" w:hAnsi="Times New Roman" w:eastAsia="黑体" w:cs="Times New Roman"/>
          <w:color w:val="000000"/>
          <w:sz w:val="32"/>
        </w:rPr>
        <w:t>一、部门职责及机构设置情况</w:t>
      </w:r>
      <w:bookmarkEnd w:id="9"/>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部门职责：</w:t>
      </w:r>
    </w:p>
    <w:p>
      <w:pPr>
        <w:pStyle w:val="28"/>
        <w:rPr>
          <w:rFonts w:hint="default" w:ascii="Times New Roman" w:hAnsi="Times New Roman" w:cs="Times New Roman"/>
        </w:rPr>
      </w:pPr>
      <w:r>
        <w:rPr>
          <w:rFonts w:hint="default" w:ascii="Times New Roman" w:hAnsi="Times New Roman" w:cs="Times New Roman"/>
        </w:rPr>
        <w:t>（一）贯彻执行党中央、国务院和省委省政府、市委市政府和新区工管委“放管服”改革、行政审批制度改革、政务服务管理、公共资源交易市场管理、社会信用体系建设有关方针政策和法律法规。</w:t>
      </w:r>
    </w:p>
    <w:p>
      <w:pPr>
        <w:pStyle w:val="28"/>
        <w:rPr>
          <w:rFonts w:hint="default" w:ascii="Times New Roman" w:hAnsi="Times New Roman" w:cs="Times New Roman"/>
        </w:rPr>
      </w:pPr>
      <w:r>
        <w:rPr>
          <w:rFonts w:hint="default" w:ascii="Times New Roman" w:hAnsi="Times New Roman" w:cs="Times New Roman"/>
        </w:rPr>
        <w:t>（二）指导协调新区行政审批制度改革工作。推进简政放权，清理和规范各类行政许可、公共服务等管理事项；协调推进行政审批标准化工作；承担新区行政审批制度改革工作领导小组的日常工作。</w:t>
      </w:r>
    </w:p>
    <w:p>
      <w:pPr>
        <w:pStyle w:val="28"/>
        <w:rPr>
          <w:rFonts w:hint="default" w:ascii="Times New Roman" w:hAnsi="Times New Roman" w:cs="Times New Roman"/>
        </w:rPr>
      </w:pPr>
      <w:r>
        <w:rPr>
          <w:rFonts w:hint="default" w:ascii="Times New Roman" w:hAnsi="Times New Roman" w:cs="Times New Roman"/>
        </w:rPr>
        <w:t>（三）指导协调全区政务服务管理工作。负责优化政务服务供给，降低制度性交易成本，提升政务服务效能；负责推进审批服务便民化；指导协调新区有关部门为公民、法人或其他组织提供规范、高效、优质的政务服务。</w:t>
      </w:r>
    </w:p>
    <w:p>
      <w:pPr>
        <w:pStyle w:val="28"/>
        <w:rPr>
          <w:rFonts w:hint="default" w:ascii="Times New Roman" w:hAnsi="Times New Roman" w:cs="Times New Roman"/>
        </w:rPr>
      </w:pPr>
      <w:r>
        <w:rPr>
          <w:rFonts w:hint="default" w:ascii="Times New Roman" w:hAnsi="Times New Roman" w:cs="Times New Roman"/>
        </w:rPr>
        <w:t>（四）负责综合协调和监督管理新区各部门、垂管部门行政审批和公共服务事项的集中统一办理。组织相关部门开展审批服务事项的联合办理和联审会办；负责进驻新区政务服务大厅各服务单位的规范、管理和监督。</w:t>
      </w:r>
    </w:p>
    <w:p>
      <w:pPr>
        <w:pStyle w:val="28"/>
        <w:rPr>
          <w:rFonts w:hint="default" w:ascii="Times New Roman" w:hAnsi="Times New Roman" w:cs="Times New Roman"/>
        </w:rPr>
      </w:pPr>
      <w:r>
        <w:rPr>
          <w:rFonts w:hint="default" w:ascii="Times New Roman" w:hAnsi="Times New Roman" w:cs="Times New Roman"/>
        </w:rPr>
        <w:t>（五）负责新区公共资源交易市场工作。负责管理公共资源交易电子服务系统；负责推进公共资源交易领域信用体系建设；指导新区并监督本级公共资源交易项目进场交易；指导并负责本级公共资源交易项目场内交易活动的监督工作，将违法违规问题移送有关部门处理；协调开展本级公共资源交易活动的联动执法。</w:t>
      </w:r>
    </w:p>
    <w:p>
      <w:pPr>
        <w:pStyle w:val="28"/>
        <w:rPr>
          <w:rFonts w:hint="default" w:ascii="Times New Roman" w:hAnsi="Times New Roman" w:cs="Times New Roman"/>
        </w:rPr>
      </w:pPr>
      <w:r>
        <w:rPr>
          <w:rFonts w:hint="default" w:ascii="Times New Roman" w:hAnsi="Times New Roman" w:cs="Times New Roman"/>
        </w:rPr>
        <w:t>（六）统筹推进本级“互联网+政务服务”工作，构建一体化政务服务平台。推行政务服务事项网上办理，形成管理机构、实体大厅、网上平台“三位一体”的政务服务管理模式；推进电子证照库建设；推进本级政务服务平台规范化、标准化、集约化建设和互联互通、数据共享。</w:t>
      </w:r>
    </w:p>
    <w:p>
      <w:pPr>
        <w:pStyle w:val="28"/>
        <w:rPr>
          <w:rFonts w:hint="default" w:ascii="Times New Roman" w:hAnsi="Times New Roman" w:cs="Times New Roman"/>
        </w:rPr>
      </w:pPr>
      <w:r>
        <w:rPr>
          <w:rFonts w:hint="default" w:ascii="Times New Roman" w:hAnsi="Times New Roman" w:cs="Times New Roman"/>
        </w:rPr>
        <w:t>（七）引导和推动社会信用体系建设。负责本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新区社会信用体系建设领导小组的日常工作。</w:t>
      </w:r>
    </w:p>
    <w:p>
      <w:pPr>
        <w:pStyle w:val="28"/>
        <w:rPr>
          <w:rFonts w:hint="default" w:ascii="Times New Roman" w:hAnsi="Times New Roman" w:cs="Times New Roman"/>
        </w:rPr>
      </w:pPr>
      <w:r>
        <w:rPr>
          <w:rFonts w:hint="default" w:ascii="Times New Roman" w:hAnsi="Times New Roman" w:cs="Times New Roman"/>
        </w:rPr>
        <w:t>（八）建立健全新区政务服务、行政审批服务效能可量化的考核评价制度；对进驻事项的办理情况、办理效能，以及办事人员的服务质量等进行监督。</w:t>
      </w:r>
    </w:p>
    <w:p>
      <w:pPr>
        <w:pStyle w:val="28"/>
        <w:rPr>
          <w:rFonts w:hint="default" w:ascii="Times New Roman" w:hAnsi="Times New Roman" w:cs="Times New Roman"/>
        </w:rPr>
      </w:pPr>
      <w:r>
        <w:rPr>
          <w:rFonts w:hint="default" w:ascii="Times New Roman" w:hAnsi="Times New Roman" w:cs="Times New Roman"/>
        </w:rPr>
        <w:t>（九）负责投资项目、市场服务、社会事务、生态环境、住建城管、食品卫生、文教体卫、农林畜水等方面行政审批事项的办理及相关行政性收费，并承担相应的法律责任。</w:t>
      </w:r>
    </w:p>
    <w:p>
      <w:pPr>
        <w:pStyle w:val="28"/>
        <w:rPr>
          <w:rFonts w:hint="default" w:ascii="Times New Roman" w:hAnsi="Times New Roman" w:cs="Times New Roman"/>
        </w:rPr>
      </w:pPr>
      <w:r>
        <w:rPr>
          <w:rFonts w:hint="default" w:ascii="Times New Roman" w:hAnsi="Times New Roman" w:cs="Times New Roman"/>
        </w:rPr>
        <w:t>（十）负责建立行政审批技术性环节第三方办理工作机制；组织召开相关评审会、听证会，开展专家评审、现场勘验核查等工作；对行政审批、公共服务等涉及专家评审的工作进行管理。</w:t>
      </w:r>
    </w:p>
    <w:p>
      <w:pPr>
        <w:pStyle w:val="28"/>
        <w:rPr>
          <w:rFonts w:hint="default" w:ascii="Times New Roman" w:hAnsi="Times New Roman" w:cs="Times New Roman"/>
        </w:rPr>
      </w:pPr>
      <w:r>
        <w:rPr>
          <w:rFonts w:hint="default" w:ascii="Times New Roman" w:hAnsi="Times New Roman" w:cs="Times New Roman"/>
        </w:rPr>
        <w:t>（十一）承办新区工管委交办的其他事项。</w:t>
      </w:r>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机构设置：</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29"/>
              <w:rPr>
                <w:rFonts w:hint="default" w:ascii="Times New Roman" w:hAnsi="Times New Roman" w:cs="Times New Roman"/>
              </w:rPr>
            </w:pPr>
            <w:r>
              <w:rPr>
                <w:rFonts w:hint="default" w:ascii="Times New Roman" w:hAnsi="Times New Roman" w:cs="Times New Roman"/>
              </w:rPr>
              <w:t>单位名称</w:t>
            </w:r>
          </w:p>
        </w:tc>
        <w:tc>
          <w:tcPr>
            <w:tcW w:w="2464" w:type="dxa"/>
            <w:noWrap w:val="0"/>
            <w:vAlign w:val="center"/>
          </w:tcPr>
          <w:p>
            <w:pPr>
              <w:pStyle w:val="29"/>
              <w:rPr>
                <w:rFonts w:hint="default" w:ascii="Times New Roman" w:hAnsi="Times New Roman" w:cs="Times New Roman"/>
              </w:rPr>
            </w:pPr>
            <w:r>
              <w:rPr>
                <w:rFonts w:hint="default" w:ascii="Times New Roman" w:hAnsi="Times New Roman" w:cs="Times New Roman"/>
              </w:rPr>
              <w:t>单位性质</w:t>
            </w:r>
          </w:p>
        </w:tc>
        <w:tc>
          <w:tcPr>
            <w:tcW w:w="2464" w:type="dxa"/>
            <w:noWrap w:val="0"/>
            <w:vAlign w:val="center"/>
          </w:tcPr>
          <w:p>
            <w:pPr>
              <w:pStyle w:val="29"/>
              <w:rPr>
                <w:rFonts w:hint="default" w:ascii="Times New Roman" w:hAnsi="Times New Roman" w:cs="Times New Roman"/>
              </w:rPr>
            </w:pPr>
            <w:r>
              <w:rPr>
                <w:rFonts w:hint="default" w:ascii="Times New Roman" w:hAnsi="Times New Roman" w:cs="Times New Roman"/>
              </w:rPr>
              <w:t>单位规格</w:t>
            </w:r>
          </w:p>
        </w:tc>
        <w:tc>
          <w:tcPr>
            <w:tcW w:w="2464" w:type="dxa"/>
            <w:noWrap w:val="0"/>
            <w:vAlign w:val="center"/>
          </w:tcPr>
          <w:p>
            <w:pPr>
              <w:pStyle w:val="29"/>
              <w:rPr>
                <w:rFonts w:hint="default" w:ascii="Times New Roman" w:hAnsi="Times New Roman" w:cs="Times New Roman"/>
              </w:rPr>
            </w:pPr>
            <w:r>
              <w:rPr>
                <w:rFonts w:hint="default" w:ascii="Times New Roman" w:hAnsi="Times New Roman" w:cs="Times New Roma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6"/>
              <w:rPr>
                <w:rFonts w:hint="default" w:ascii="Times New Roman" w:hAnsi="Times New Roman" w:cs="Times New Roman"/>
              </w:rPr>
            </w:pPr>
            <w:r>
              <w:rPr>
                <w:rFonts w:hint="default" w:ascii="Times New Roman" w:hAnsi="Times New Roman" w:cs="Times New Roman"/>
              </w:rPr>
              <w:t>秦皇岛北戴河新区行政审批局本级</w:t>
            </w:r>
          </w:p>
        </w:tc>
        <w:tc>
          <w:tcPr>
            <w:tcW w:w="2464" w:type="dxa"/>
            <w:noWrap w:val="0"/>
            <w:vAlign w:val="center"/>
          </w:tcPr>
          <w:p>
            <w:pPr>
              <w:pStyle w:val="14"/>
              <w:rPr>
                <w:rFonts w:hint="default" w:ascii="Times New Roman" w:hAnsi="Times New Roman" w:cs="Times New Roman"/>
              </w:rPr>
            </w:pPr>
            <w:r>
              <w:rPr>
                <w:rFonts w:hint="default" w:ascii="Times New Roman" w:hAnsi="Times New Roman" w:cs="Times New Roman"/>
              </w:rPr>
              <w:t>行政</w:t>
            </w:r>
          </w:p>
        </w:tc>
        <w:tc>
          <w:tcPr>
            <w:tcW w:w="2464" w:type="dxa"/>
            <w:noWrap w:val="0"/>
            <w:vAlign w:val="center"/>
          </w:tcPr>
          <w:p>
            <w:pPr>
              <w:pStyle w:val="14"/>
              <w:rPr>
                <w:rFonts w:hint="default" w:ascii="Times New Roman" w:hAnsi="Times New Roman" w:cs="Times New Roman"/>
              </w:rPr>
            </w:pPr>
            <w:r>
              <w:rPr>
                <w:rFonts w:hint="default" w:ascii="Times New Roman" w:hAnsi="Times New Roman" w:cs="Times New Roman"/>
              </w:rPr>
              <w:t>副处（县）级</w:t>
            </w:r>
          </w:p>
        </w:tc>
        <w:tc>
          <w:tcPr>
            <w:tcW w:w="2464" w:type="dxa"/>
            <w:noWrap w:val="0"/>
            <w:vAlign w:val="center"/>
          </w:tcPr>
          <w:p>
            <w:pPr>
              <w:pStyle w:val="14"/>
              <w:rPr>
                <w:rFonts w:hint="default" w:ascii="Times New Roman" w:hAnsi="Times New Roman" w:cs="Times New Roman"/>
              </w:rPr>
            </w:pPr>
            <w:r>
              <w:rPr>
                <w:rFonts w:hint="default" w:ascii="Times New Roman" w:hAnsi="Times New Roman" w:cs="Times New Roman"/>
              </w:rPr>
              <w:t>财政拨款</w:t>
            </w:r>
          </w:p>
        </w:tc>
      </w:tr>
    </w:tbl>
    <w:p>
      <w:pPr>
        <w:spacing w:before="10" w:after="10" w:line="360" w:lineRule="auto"/>
        <w:ind w:firstLine="640"/>
        <w:jc w:val="left"/>
        <w:outlineLvl w:val="2"/>
        <w:rPr>
          <w:rFonts w:hint="default" w:ascii="Times New Roman" w:hAnsi="Times New Roman" w:cs="Times New Roman"/>
        </w:rPr>
      </w:pPr>
      <w:bookmarkStart w:id="10" w:name="_Toc_3_3_0000000011"/>
      <w:r>
        <w:rPr>
          <w:rFonts w:hint="default" w:ascii="Times New Roman" w:hAnsi="Times New Roman" w:eastAsia="黑体" w:cs="Times New Roman"/>
          <w:color w:val="000000"/>
          <w:sz w:val="32"/>
        </w:rPr>
        <w:t>二、部门预算安排的总体情况</w:t>
      </w:r>
      <w:bookmarkEnd w:id="10"/>
    </w:p>
    <w:p>
      <w:pPr>
        <w:spacing w:before="0" w:after="0" w:line="500" w:lineRule="exact"/>
        <w:ind w:firstLine="560"/>
        <w:jc w:val="left"/>
        <w:outlineLvl w:val="9"/>
        <w:rPr>
          <w:rFonts w:hint="default" w:ascii="Times New Roman" w:hAnsi="Times New Roman" w:eastAsia="方正仿宋_GBK" w:cs="Times New Roman"/>
          <w:b w:val="0"/>
          <w:color w:val="000000"/>
          <w:sz w:val="28"/>
        </w:rPr>
      </w:pPr>
      <w:bookmarkStart w:id="11" w:name="_Toc_3_3_0000000013"/>
      <w:r>
        <w:rPr>
          <w:rFonts w:hint="default"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8"/>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收入说明</w:t>
      </w:r>
    </w:p>
    <w:p>
      <w:pPr>
        <w:pStyle w:val="28"/>
        <w:outlineLvl w:val="9"/>
        <w:rPr>
          <w:rFonts w:hint="default" w:ascii="Times New Roman" w:hAnsi="Times New Roman" w:cs="Times New Roman"/>
        </w:rPr>
      </w:pPr>
      <w:r>
        <w:rPr>
          <w:rFonts w:hint="default" w:ascii="Times New Roman" w:hAnsi="Times New Roman" w:cs="Times New Roman"/>
          <w:lang w:eastAsia="zh-CN"/>
        </w:rPr>
        <w:t>2021年</w:t>
      </w:r>
      <w:r>
        <w:rPr>
          <w:rFonts w:hint="default" w:ascii="Times New Roman" w:hAnsi="Times New Roman" w:cs="Times New Roman"/>
        </w:rPr>
        <w:t>预算收入</w:t>
      </w:r>
      <w:r>
        <w:rPr>
          <w:rFonts w:hint="eastAsia" w:ascii="Times New Roman" w:hAnsi="Times New Roman" w:eastAsia="方正仿宋简体" w:cs="Times New Roman"/>
          <w:color w:val="auto"/>
          <w:kern w:val="0"/>
          <w:sz w:val="32"/>
          <w:szCs w:val="32"/>
          <w:lang w:val="en-US" w:eastAsia="zh-CN"/>
        </w:rPr>
        <w:t xml:space="preserve"> 756.13</w:t>
      </w:r>
      <w:r>
        <w:rPr>
          <w:rFonts w:hint="default" w:ascii="Times New Roman" w:hAnsi="Times New Roman" w:cs="Times New Roman"/>
          <w:lang w:val="en-US" w:eastAsia="zh-CN"/>
        </w:rPr>
        <w:t xml:space="preserve"> </w:t>
      </w:r>
      <w:r>
        <w:rPr>
          <w:rFonts w:hint="default" w:ascii="Times New Roman" w:hAnsi="Times New Roman" w:cs="Times New Roman"/>
        </w:rPr>
        <w:t>万元，一般公共预算拨款</w:t>
      </w:r>
      <w:r>
        <w:rPr>
          <w:rFonts w:hint="eastAsia" w:ascii="Times New Roman" w:hAnsi="Times New Roman" w:eastAsia="方正仿宋简体" w:cs="Times New Roman"/>
          <w:color w:val="auto"/>
          <w:kern w:val="0"/>
          <w:sz w:val="32"/>
          <w:szCs w:val="32"/>
          <w:lang w:val="en-US" w:eastAsia="zh-CN"/>
        </w:rPr>
        <w:t xml:space="preserve"> 756.13</w:t>
      </w:r>
      <w:r>
        <w:rPr>
          <w:rFonts w:hint="default" w:ascii="Times New Roman" w:hAnsi="Times New Roman" w:cs="Times New Roman"/>
        </w:rPr>
        <w:t>万元。</w:t>
      </w:r>
    </w:p>
    <w:p>
      <w:pPr>
        <w:pStyle w:val="28"/>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支出说明</w:t>
      </w:r>
    </w:p>
    <w:p>
      <w:pPr>
        <w:pStyle w:val="28"/>
        <w:outlineLvl w:val="9"/>
        <w:rPr>
          <w:rFonts w:hint="default" w:ascii="Times New Roman" w:hAnsi="Times New Roman" w:cs="Times New Roman"/>
        </w:rPr>
      </w:pPr>
      <w:r>
        <w:rPr>
          <w:rFonts w:hint="default" w:ascii="Times New Roman" w:hAnsi="Times New Roman" w:cs="Times New Roman"/>
          <w:lang w:eastAsia="zh-CN"/>
        </w:rPr>
        <w:t>2021年</w:t>
      </w:r>
      <w:r>
        <w:rPr>
          <w:rFonts w:hint="default" w:ascii="Times New Roman" w:hAnsi="Times New Roman" w:cs="Times New Roman"/>
        </w:rPr>
        <w:t>部门支出预算为</w:t>
      </w:r>
      <w:r>
        <w:rPr>
          <w:rFonts w:hint="eastAsia" w:ascii="Times New Roman" w:hAnsi="Times New Roman" w:eastAsia="方正仿宋简体" w:cs="Times New Roman"/>
          <w:color w:val="auto"/>
          <w:kern w:val="0"/>
          <w:sz w:val="32"/>
          <w:szCs w:val="32"/>
          <w:lang w:val="en-US" w:eastAsia="zh-CN"/>
        </w:rPr>
        <w:t xml:space="preserve"> 756.13</w:t>
      </w:r>
      <w:r>
        <w:rPr>
          <w:rFonts w:hint="default" w:ascii="Times New Roman" w:hAnsi="Times New Roman" w:cs="Times New Roman"/>
        </w:rPr>
        <w:t>万元，其中基本支出</w:t>
      </w:r>
      <w:r>
        <w:rPr>
          <w:rFonts w:hint="eastAsia" w:ascii="Times New Roman" w:hAnsi="Times New Roman" w:eastAsia="方正仿宋简体" w:cs="Times New Roman"/>
          <w:color w:val="auto"/>
          <w:kern w:val="0"/>
          <w:sz w:val="32"/>
          <w:szCs w:val="32"/>
          <w:lang w:val="en-US" w:eastAsia="zh-CN"/>
        </w:rPr>
        <w:t>641.13</w:t>
      </w:r>
      <w:r>
        <w:rPr>
          <w:rFonts w:hint="default" w:ascii="Times New Roman" w:hAnsi="Times New Roman" w:cs="Times New Roman"/>
        </w:rPr>
        <w:t>万元，包括人员经费</w:t>
      </w:r>
      <w:r>
        <w:rPr>
          <w:rFonts w:hint="eastAsia" w:ascii="Times New Roman" w:hAnsi="Times New Roman" w:eastAsia="方正仿宋简体" w:cs="Times New Roman"/>
          <w:color w:val="auto"/>
          <w:kern w:val="0"/>
          <w:sz w:val="32"/>
          <w:szCs w:val="32"/>
          <w:lang w:val="en-US" w:eastAsia="zh-CN"/>
        </w:rPr>
        <w:t>599.25</w:t>
      </w:r>
      <w:r>
        <w:rPr>
          <w:rFonts w:hint="default" w:ascii="Times New Roman" w:hAnsi="Times New Roman" w:cs="Times New Roman"/>
        </w:rPr>
        <w:t>万元和日常公用经费</w:t>
      </w:r>
      <w:r>
        <w:rPr>
          <w:rFonts w:hint="eastAsia" w:ascii="Times New Roman" w:hAnsi="Times New Roman" w:eastAsia="方正仿宋简体" w:cs="Times New Roman"/>
          <w:color w:val="auto"/>
          <w:kern w:val="0"/>
          <w:sz w:val="32"/>
          <w:szCs w:val="32"/>
          <w:lang w:val="en-US" w:eastAsia="zh-CN"/>
        </w:rPr>
        <w:t>41.88</w:t>
      </w:r>
      <w:r>
        <w:rPr>
          <w:rFonts w:hint="default" w:ascii="Times New Roman" w:hAnsi="Times New Roman" w:cs="Times New Roman"/>
        </w:rPr>
        <w:t>万元；项目支出</w:t>
      </w:r>
      <w:r>
        <w:rPr>
          <w:rFonts w:hint="default" w:ascii="Times New Roman" w:hAnsi="Times New Roman" w:cs="Times New Roman"/>
          <w:lang w:val="en-US" w:eastAsia="zh-CN"/>
        </w:rPr>
        <w:t>11</w:t>
      </w:r>
      <w:r>
        <w:rPr>
          <w:rFonts w:hint="eastAsia" w:cs="Times New Roman"/>
          <w:lang w:val="en-US" w:eastAsia="zh-CN"/>
        </w:rPr>
        <w:t>5</w:t>
      </w:r>
      <w:r>
        <w:rPr>
          <w:rFonts w:hint="default" w:ascii="Times New Roman" w:hAnsi="Times New Roman" w:cs="Times New Roman"/>
        </w:rPr>
        <w:t>万元，全部为本级支出。</w:t>
      </w:r>
    </w:p>
    <w:p>
      <w:pPr>
        <w:pStyle w:val="28"/>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比上年增减情况</w:t>
      </w:r>
    </w:p>
    <w:p>
      <w:pPr>
        <w:pStyle w:val="28"/>
        <w:outlineLvl w:val="9"/>
        <w:rPr>
          <w:rFonts w:hint="default" w:ascii="Times New Roman" w:hAnsi="Times New Roman" w:cs="Times New Roman"/>
        </w:rPr>
      </w:pPr>
      <w:r>
        <w:rPr>
          <w:rFonts w:hint="eastAsia" w:ascii="Times New Roman" w:hAnsi="Times New Roman" w:eastAsia="方正仿宋简体" w:cs="Times New Roman"/>
          <w:color w:val="auto"/>
          <w:kern w:val="0"/>
          <w:sz w:val="32"/>
          <w:szCs w:val="32"/>
          <w:lang w:eastAsia="zh-CN"/>
        </w:rPr>
        <w:t>2021</w:t>
      </w:r>
      <w:r>
        <w:rPr>
          <w:rFonts w:hint="eastAsia" w:ascii="Times New Roman" w:hAnsi="Times New Roman" w:cs="Times New Roman"/>
          <w:lang w:val="en-US" w:eastAsia="zh-CN"/>
        </w:rPr>
        <w:t>年</w:t>
      </w:r>
      <w:r>
        <w:rPr>
          <w:rFonts w:hint="default" w:ascii="Times New Roman" w:hAnsi="Times New Roman" w:cs="Times New Roman"/>
          <w:lang w:val="en-US" w:eastAsia="zh-CN"/>
        </w:rPr>
        <w:t>部门预算较20</w:t>
      </w:r>
      <w:r>
        <w:rPr>
          <w:rFonts w:hint="eastAsia" w:ascii="Times New Roman" w:hAnsi="Times New Roman" w:cs="Times New Roman"/>
          <w:lang w:val="en-US" w:eastAsia="zh-CN"/>
        </w:rPr>
        <w:t>20</w:t>
      </w:r>
      <w:r>
        <w:rPr>
          <w:rFonts w:hint="default" w:ascii="Times New Roman" w:hAnsi="Times New Roman" w:cs="Times New Roman"/>
          <w:lang w:val="en-US" w:eastAsia="zh-CN"/>
        </w:rPr>
        <w:t>年</w:t>
      </w:r>
      <w:r>
        <w:rPr>
          <w:rFonts w:hint="eastAsia" w:ascii="Times New Roman" w:hAnsi="Times New Roman" w:cs="Times New Roman"/>
          <w:lang w:val="en-US" w:eastAsia="zh-CN"/>
        </w:rPr>
        <w:t>增加67.52</w:t>
      </w:r>
      <w:r>
        <w:rPr>
          <w:rFonts w:hint="default" w:ascii="Times New Roman" w:hAnsi="Times New Roman" w:cs="Times New Roman"/>
          <w:lang w:val="en-US" w:eastAsia="zh-CN"/>
        </w:rPr>
        <w:t>万元，其中基本支出</w:t>
      </w:r>
      <w:r>
        <w:rPr>
          <w:rFonts w:hint="eastAsia" w:ascii="Times New Roman" w:hAnsi="Times New Roman" w:cs="Times New Roman"/>
          <w:lang w:val="en-US" w:eastAsia="zh-CN"/>
        </w:rPr>
        <w:t>增加37.52</w:t>
      </w:r>
      <w:r>
        <w:rPr>
          <w:rFonts w:hint="default" w:ascii="Times New Roman" w:hAnsi="Times New Roman" w:cs="Times New Roman"/>
          <w:lang w:val="en-US" w:eastAsia="zh-CN"/>
        </w:rPr>
        <w:t>万元；项目支出</w:t>
      </w:r>
      <w:r>
        <w:rPr>
          <w:rFonts w:hint="eastAsia" w:ascii="Times New Roman" w:hAnsi="Times New Roman" w:cs="Times New Roman"/>
          <w:lang w:val="en-US" w:eastAsia="zh-CN"/>
        </w:rPr>
        <w:t>增加30</w:t>
      </w:r>
      <w:r>
        <w:rPr>
          <w:rFonts w:hint="default" w:ascii="Times New Roman" w:hAnsi="Times New Roman" w:cs="Times New Roman"/>
          <w:lang w:val="en-US" w:eastAsia="zh-CN"/>
        </w:rPr>
        <w:t>万元，主要</w:t>
      </w:r>
      <w:r>
        <w:rPr>
          <w:rFonts w:hint="eastAsia" w:ascii="Times New Roman" w:hAnsi="Times New Roman" w:cs="Times New Roman"/>
          <w:lang w:val="en-US" w:eastAsia="zh-CN"/>
        </w:rPr>
        <w:t>是增加行政审批工作经费</w:t>
      </w:r>
      <w:r>
        <w:rPr>
          <w:rFonts w:hint="eastAsia" w:cs="Times New Roman"/>
          <w:lang w:val="en-US" w:eastAsia="zh-CN"/>
        </w:rPr>
        <w:t>。</w:t>
      </w:r>
    </w:p>
    <w:p>
      <w:pPr>
        <w:numPr>
          <w:ilvl w:val="0"/>
          <w:numId w:val="1"/>
        </w:numPr>
        <w:spacing w:before="10" w:after="10" w:line="240" w:lineRule="auto"/>
        <w:ind w:left="80" w:leftChars="0" w:firstLine="640" w:firstLineChars="0"/>
        <w:jc w:val="left"/>
        <w:outlineLvl w:val="5"/>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color w:val="000000"/>
          <w:sz w:val="28"/>
          <w:szCs w:val="24"/>
          <w:lang w:val="en-US" w:eastAsia="zh-CN" w:bidi="ar-SA"/>
        </w:rPr>
      </w:pPr>
      <w:r>
        <w:rPr>
          <w:rFonts w:hint="default" w:ascii="Times New Roman" w:hAnsi="Times New Roman" w:eastAsia="黑体" w:cs="Times New Roman"/>
          <w:color w:val="000000"/>
          <w:sz w:val="32"/>
          <w:lang w:val="en-US" w:eastAsia="zh-CN"/>
        </w:rPr>
        <w:t xml:space="preserve">    </w:t>
      </w:r>
      <w:r>
        <w:rPr>
          <w:rFonts w:hint="default" w:ascii="Times New Roman" w:hAnsi="Times New Roman" w:eastAsia="方正仿宋_GBK" w:cs="Times New Roman"/>
          <w:sz w:val="28"/>
          <w:szCs w:val="24"/>
          <w:lang w:val="en-US" w:eastAsia="zh-CN" w:bidi="ar-SA"/>
        </w:rPr>
        <w:t xml:space="preserve"> </w:t>
      </w:r>
      <w:r>
        <w:rPr>
          <w:rFonts w:hint="default" w:ascii="Times New Roman" w:hAnsi="Times New Roman" w:eastAsia="方正仿宋_GBK" w:cs="Times New Roman"/>
          <w:color w:val="000000"/>
          <w:sz w:val="28"/>
          <w:szCs w:val="24"/>
          <w:lang w:val="en-US" w:eastAsia="zh-CN" w:bidi="ar-SA"/>
        </w:rPr>
        <w:t>机关运行经费共计安排</w:t>
      </w:r>
      <w:r>
        <w:rPr>
          <w:rFonts w:hint="eastAsia" w:ascii="Times New Roman" w:hAnsi="Times New Roman" w:eastAsia="方正仿宋_GBK" w:cs="Times New Roman"/>
          <w:color w:val="000000"/>
          <w:sz w:val="28"/>
          <w:szCs w:val="24"/>
          <w:lang w:val="en-US" w:eastAsia="zh-CN" w:bidi="ar-SA"/>
        </w:rPr>
        <w:t>41.88</w:t>
      </w:r>
      <w:r>
        <w:rPr>
          <w:rFonts w:hint="default" w:ascii="Times New Roman" w:hAnsi="Times New Roman" w:eastAsia="方正仿宋_GBK" w:cs="Times New Roman"/>
          <w:color w:val="000000"/>
          <w:sz w:val="28"/>
          <w:szCs w:val="24"/>
          <w:lang w:val="en-US" w:eastAsia="zh-CN" w:bidi="ar-SA"/>
        </w:rPr>
        <w:t>万元，主要用于保证机关正常运转支的办公费、印刷费、差旅费、会议费、福利费、专用材料及一般设备购置费、办公用房水电费、日常维修费、办公楼物业管理费等支出。</w:t>
      </w:r>
    </w:p>
    <w:p>
      <w:pPr>
        <w:pStyle w:val="21"/>
        <w:outlineLvl w:val="9"/>
        <w:rPr>
          <w:rFonts w:hint="default" w:ascii="Times New Roman" w:hAnsi="Times New Roman" w:cs="Times New Roman"/>
          <w:lang w:val="en-US" w:eastAsia="zh-CN"/>
        </w:rPr>
      </w:pPr>
    </w:p>
    <w:p>
      <w:pPr>
        <w:spacing w:before="10" w:after="10" w:line="360" w:lineRule="auto"/>
        <w:ind w:firstLine="640"/>
        <w:jc w:val="left"/>
        <w:outlineLvl w:val="2"/>
        <w:rPr>
          <w:rFonts w:hint="default" w:ascii="Times New Roman" w:hAnsi="Times New Roman" w:cs="Times New Roman"/>
        </w:rPr>
      </w:pPr>
      <w:r>
        <w:rPr>
          <w:rFonts w:hint="default" w:ascii="Times New Roman" w:hAnsi="Times New Roman" w:eastAsia="黑体" w:cs="Times New Roman"/>
          <w:color w:val="000000"/>
          <w:sz w:val="32"/>
        </w:rPr>
        <w:t>四、财政拨款“三公”经费预算情况及增减变化原因</w:t>
      </w:r>
      <w:bookmarkEnd w:id="11"/>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bookmarkStart w:id="12" w:name="_Toc_3_3_0000000014"/>
      <w:r>
        <w:rPr>
          <w:rFonts w:hint="eastAsia" w:ascii="Times New Roman" w:hAnsi="Times New Roman" w:eastAsia="方正仿宋_GBK" w:cs="Times New Roman"/>
          <w:color w:val="000000"/>
          <w:sz w:val="28"/>
          <w:szCs w:val="24"/>
          <w:lang w:val="en-US" w:eastAsia="zh-CN" w:bidi="ar-SA"/>
        </w:rPr>
        <w:t>2021年</w:t>
      </w:r>
      <w:r>
        <w:rPr>
          <w:rFonts w:hint="default" w:ascii="Times New Roman" w:hAnsi="Times New Roman" w:eastAsia="方正仿宋_GBK" w:cs="Times New Roman"/>
          <w:color w:val="000000"/>
          <w:sz w:val="28"/>
          <w:szCs w:val="24"/>
          <w:lang w:val="en-US" w:eastAsia="zh-CN" w:bidi="ar-SA"/>
        </w:rPr>
        <w:t>，财政拨款“三公”经费预算安排</w:t>
      </w:r>
      <w:r>
        <w:rPr>
          <w:rFonts w:hint="eastAsia" w:ascii="Times New Roman" w:hAnsi="Times New Roman" w:eastAsia="方正仿宋_GBK" w:cs="Times New Roman"/>
          <w:color w:val="000000"/>
          <w:sz w:val="28"/>
          <w:szCs w:val="24"/>
          <w:lang w:val="en-US" w:eastAsia="zh-CN" w:bidi="ar-SA"/>
        </w:rPr>
        <w:t>0.45</w:t>
      </w:r>
      <w:r>
        <w:rPr>
          <w:rFonts w:hint="default" w:ascii="Times New Roman" w:hAnsi="Times New Roman" w:eastAsia="方正仿宋_GBK" w:cs="Times New Roman"/>
          <w:color w:val="000000"/>
          <w:sz w:val="28"/>
          <w:szCs w:val="24"/>
          <w:lang w:val="en-US" w:eastAsia="zh-CN" w:bidi="ar-SA"/>
        </w:rPr>
        <w:t>万元，其中：因公出国（境）费0万元；公务用车购置及运维费</w:t>
      </w:r>
      <w:r>
        <w:rPr>
          <w:rFonts w:hint="eastAsia" w:ascii="Times New Roman" w:hAnsi="Times New Roman" w:eastAsia="方正仿宋_GBK" w:cs="Times New Roman"/>
          <w:color w:val="000000"/>
          <w:sz w:val="28"/>
          <w:szCs w:val="24"/>
          <w:lang w:val="en-US" w:eastAsia="zh-CN" w:bidi="ar-SA"/>
        </w:rPr>
        <w:t>0</w:t>
      </w:r>
      <w:r>
        <w:rPr>
          <w:rFonts w:hint="default" w:ascii="Times New Roman" w:hAnsi="Times New Roman" w:eastAsia="方正仿宋_GBK" w:cs="Times New Roman"/>
          <w:color w:val="000000"/>
          <w:sz w:val="28"/>
          <w:szCs w:val="24"/>
          <w:lang w:val="en-US" w:eastAsia="zh-CN" w:bidi="ar-SA"/>
        </w:rPr>
        <w:t>万元（其中：公务用车运行费</w:t>
      </w:r>
      <w:r>
        <w:rPr>
          <w:rFonts w:hint="eastAsia" w:ascii="Times New Roman" w:hAnsi="Times New Roman" w:eastAsia="方正仿宋_GBK" w:cs="Times New Roman"/>
          <w:color w:val="000000"/>
          <w:sz w:val="28"/>
          <w:szCs w:val="24"/>
          <w:lang w:val="en-US" w:eastAsia="zh-CN" w:bidi="ar-SA"/>
        </w:rPr>
        <w:t>0</w:t>
      </w:r>
      <w:r>
        <w:rPr>
          <w:rFonts w:hint="default" w:ascii="Times New Roman" w:hAnsi="Times New Roman" w:eastAsia="方正仿宋_GBK" w:cs="Times New Roman"/>
          <w:color w:val="000000"/>
          <w:sz w:val="28"/>
          <w:szCs w:val="24"/>
          <w:lang w:val="en-US" w:eastAsia="zh-CN" w:bidi="ar-SA"/>
        </w:rPr>
        <w:t>万元)；公务接待费0.</w:t>
      </w:r>
      <w:r>
        <w:rPr>
          <w:rFonts w:hint="eastAsia" w:ascii="Times New Roman" w:hAnsi="Times New Roman" w:eastAsia="方正仿宋_GBK" w:cs="Times New Roman"/>
          <w:color w:val="000000"/>
          <w:sz w:val="28"/>
          <w:szCs w:val="24"/>
          <w:lang w:val="en-US" w:eastAsia="zh-CN" w:bidi="ar-SA"/>
        </w:rPr>
        <w:t>45</w:t>
      </w:r>
      <w:r>
        <w:rPr>
          <w:rFonts w:hint="default" w:ascii="Times New Roman" w:hAnsi="Times New Roman" w:eastAsia="方正仿宋_GBK" w:cs="Times New Roman"/>
          <w:color w:val="000000"/>
          <w:sz w:val="28"/>
          <w:szCs w:val="24"/>
          <w:lang w:val="en-US" w:eastAsia="zh-CN" w:bidi="ar-SA"/>
        </w:rPr>
        <w:t>万元。“三公”经费较上年下降</w:t>
      </w:r>
      <w:r>
        <w:rPr>
          <w:rFonts w:hint="eastAsia" w:ascii="Times New Roman" w:hAnsi="Times New Roman" w:eastAsia="方正仿宋_GBK" w:cs="Times New Roman"/>
          <w:color w:val="000000"/>
          <w:sz w:val="28"/>
          <w:szCs w:val="24"/>
          <w:lang w:val="en-US" w:eastAsia="zh-CN" w:bidi="ar-SA"/>
        </w:rPr>
        <w:t>84.69</w:t>
      </w:r>
      <w:r>
        <w:rPr>
          <w:rFonts w:hint="default" w:ascii="Times New Roman" w:hAnsi="Times New Roman" w:eastAsia="方正仿宋_GBK" w:cs="Times New Roman"/>
          <w:color w:val="000000"/>
          <w:sz w:val="28"/>
          <w:szCs w:val="24"/>
          <w:lang w:val="en-US" w:eastAsia="zh-CN" w:bidi="ar-SA"/>
        </w:rPr>
        <w:t>%，主要原因是</w:t>
      </w:r>
      <w:r>
        <w:rPr>
          <w:rFonts w:hint="eastAsia" w:ascii="Times New Roman" w:hAnsi="Times New Roman" w:eastAsia="方正仿宋_GBK" w:cs="Times New Roman"/>
          <w:color w:val="000000"/>
          <w:sz w:val="28"/>
          <w:szCs w:val="24"/>
          <w:lang w:val="en-US" w:eastAsia="zh-CN" w:bidi="ar-SA"/>
        </w:rPr>
        <w:t>压减</w:t>
      </w:r>
      <w:r>
        <w:rPr>
          <w:rFonts w:hint="default" w:ascii="Times New Roman" w:hAnsi="Times New Roman" w:eastAsia="方正仿宋_GBK" w:cs="Times New Roman"/>
          <w:color w:val="000000"/>
          <w:sz w:val="28"/>
          <w:szCs w:val="24"/>
          <w:lang w:val="en-US" w:eastAsia="zh-CN" w:bidi="ar-SA"/>
        </w:rPr>
        <w:t>公务接待费</w:t>
      </w:r>
      <w:r>
        <w:rPr>
          <w:rFonts w:hint="eastAsia" w:ascii="Times New Roman" w:hAnsi="Times New Roman" w:eastAsia="方正仿宋_GBK" w:cs="Times New Roman"/>
          <w:color w:val="000000"/>
          <w:sz w:val="28"/>
          <w:szCs w:val="24"/>
          <w:lang w:val="en-US" w:eastAsia="zh-CN" w:bidi="ar-SA"/>
        </w:rPr>
        <w:t>。</w:t>
      </w:r>
    </w:p>
    <w:p>
      <w:pPr>
        <w:spacing w:before="10" w:after="10" w:line="360" w:lineRule="auto"/>
        <w:ind w:firstLine="640"/>
        <w:jc w:val="left"/>
        <w:outlineLvl w:val="2"/>
        <w:rPr>
          <w:rFonts w:hint="default" w:ascii="Times New Roman" w:hAnsi="Times New Roman" w:cs="Times New Roman"/>
        </w:rPr>
      </w:pPr>
      <w:r>
        <w:rPr>
          <w:rFonts w:hint="default" w:ascii="Times New Roman" w:hAnsi="Times New Roman" w:eastAsia="黑体" w:cs="Times New Roman"/>
          <w:color w:val="000000"/>
          <w:sz w:val="32"/>
        </w:rPr>
        <w:t>五、预算绩效信息</w:t>
      </w:r>
      <w:bookmarkEnd w:id="12"/>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第一部分 部门整体绩效目标</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color w:val="000000"/>
          <w:sz w:val="28"/>
        </w:rPr>
        <w:t>（一）总体绩效目标</w:t>
      </w:r>
    </w:p>
    <w:p>
      <w:pPr>
        <w:pStyle w:val="11"/>
        <w:rPr>
          <w:rFonts w:hint="default" w:ascii="Times New Roman" w:hAnsi="Times New Roman" w:cs="Times New Roman"/>
        </w:rPr>
      </w:pPr>
      <w:r>
        <w:rPr>
          <w:rFonts w:hint="default" w:ascii="Times New Roman" w:hAnsi="Times New Roman" w:cs="Times New Roman"/>
        </w:rPr>
        <w:t>贯彻执行党中央、国务院和省委省政府、市委市政府和新区工管委“放管服”改革、行政审批制度改革、政务服务管理、公共资源交易市场管理、社会信用体系建设有关方针政策和法律法规。</w:t>
      </w:r>
    </w:p>
    <w:p>
      <w:pPr>
        <w:pStyle w:val="11"/>
        <w:rPr>
          <w:rFonts w:hint="default" w:ascii="Times New Roman" w:hAnsi="Times New Roman" w:cs="Times New Roman"/>
        </w:rPr>
      </w:pPr>
      <w:r>
        <w:rPr>
          <w:rFonts w:hint="default" w:ascii="Times New Roman" w:hAnsi="Times New Roman" w:cs="Times New Roman"/>
        </w:rPr>
        <w:t>坚持以企业、群众实际需求为导向，创新工作思路、精简办事流程，以努力打造营商环境最优、办事成本最低、服务群众最好、办事效率最高的政务服务环境为目标，努力完成全面深化改革、“三创四建”、优化营商环境、助力企业复工复产等各项工作任务。以群众需求为目标，纵深推进行政审批改革以提供优质服务为基础，着力打造一流营商环境，以提升素质为核心，扎实做好机关党建工作。</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color w:val="000000"/>
          <w:sz w:val="28"/>
        </w:rPr>
        <w:t>（二）分项绩效目标</w:t>
      </w:r>
    </w:p>
    <w:p>
      <w:pPr>
        <w:pStyle w:val="13"/>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完善功能，建设纪律严明、舒适有序的审批大厅。</w:t>
      </w:r>
    </w:p>
    <w:p>
      <w:pPr>
        <w:pStyle w:val="13"/>
        <w:rPr>
          <w:rFonts w:hint="default" w:ascii="Times New Roman" w:hAnsi="Times New Roman" w:cs="Times New Roman"/>
        </w:rPr>
      </w:pPr>
      <w:r>
        <w:rPr>
          <w:rFonts w:hint="default" w:ascii="Times New Roman" w:hAnsi="Times New Roman" w:cs="Times New Roman"/>
        </w:rPr>
        <w:t>绩效目标：保障中心及大厅进驻窗口正常工作、高效运转</w:t>
      </w:r>
    </w:p>
    <w:p>
      <w:pPr>
        <w:pStyle w:val="13"/>
        <w:rPr>
          <w:rFonts w:hint="default" w:ascii="Times New Roman" w:hAnsi="Times New Roman" w:cs="Times New Roman"/>
        </w:rPr>
      </w:pPr>
      <w:r>
        <w:rPr>
          <w:rFonts w:hint="default" w:ascii="Times New Roman" w:hAnsi="Times New Roman" w:cs="Times New Roman"/>
        </w:rPr>
        <w:t>绩效指标：后勤服务保障完成率    100%</w:t>
      </w:r>
    </w:p>
    <w:p>
      <w:pPr>
        <w:pStyle w:val="13"/>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对审批流程进行全面梳理，实现审批工作标准化，规范化</w:t>
      </w:r>
    </w:p>
    <w:p>
      <w:pPr>
        <w:pStyle w:val="13"/>
        <w:rPr>
          <w:rFonts w:hint="default" w:ascii="Times New Roman" w:hAnsi="Times New Roman" w:cs="Times New Roman"/>
        </w:rPr>
      </w:pPr>
      <w:r>
        <w:rPr>
          <w:rFonts w:hint="default" w:ascii="Times New Roman" w:hAnsi="Times New Roman" w:cs="Times New Roman"/>
        </w:rPr>
        <w:t>绩效目标：按规定程序对行政审批事项进行要件审核、技术论证、社会听证、现场踏勘工作，对符合规定条件的行政审批事项进行批准、签章、发文或发件，并将办理结果在规定时限内告知申请人。</w:t>
      </w:r>
    </w:p>
    <w:p>
      <w:pPr>
        <w:pStyle w:val="13"/>
        <w:rPr>
          <w:rFonts w:hint="default" w:ascii="Times New Roman" w:hAnsi="Times New Roman" w:cs="Times New Roman"/>
        </w:rPr>
      </w:pPr>
      <w:r>
        <w:rPr>
          <w:rFonts w:hint="default" w:ascii="Times New Roman" w:hAnsi="Times New Roman" w:cs="Times New Roman"/>
        </w:rPr>
        <w:t>绩效指标：审批业务完结率       100%</w:t>
      </w:r>
    </w:p>
    <w:p>
      <w:pPr>
        <w:pStyle w:val="13"/>
        <w:rPr>
          <w:rFonts w:hint="default" w:ascii="Times New Roman" w:hAnsi="Times New Roman" w:cs="Times New Roman"/>
        </w:rPr>
      </w:pPr>
      <w:r>
        <w:rPr>
          <w:rFonts w:hint="default" w:ascii="Times New Roman" w:hAnsi="Times New Roman" w:cs="Times New Roman"/>
        </w:rPr>
        <w:t>业务审批活动规范性   100%</w:t>
      </w:r>
    </w:p>
    <w:p>
      <w:pPr>
        <w:pStyle w:val="13"/>
        <w:rPr>
          <w:rFonts w:hint="default" w:ascii="Times New Roman" w:hAnsi="Times New Roman" w:cs="Times New Roman"/>
        </w:rPr>
      </w:pPr>
    </w:p>
    <w:p>
      <w:pPr>
        <w:pStyle w:val="13"/>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抓好“互联网+政务服务”建设</w:t>
      </w:r>
    </w:p>
    <w:p>
      <w:pPr>
        <w:pStyle w:val="13"/>
        <w:rPr>
          <w:rFonts w:hint="default" w:ascii="Times New Roman" w:hAnsi="Times New Roman" w:cs="Times New Roman"/>
        </w:rPr>
      </w:pPr>
      <w:r>
        <w:rPr>
          <w:rFonts w:hint="default" w:ascii="Times New Roman" w:hAnsi="Times New Roman" w:cs="Times New Roman"/>
        </w:rPr>
        <w:t>绩效目标：推动政务服务事项“应上尽上”。政务服务事项网上可办结率达到95%</w:t>
      </w:r>
    </w:p>
    <w:p>
      <w:pPr>
        <w:pStyle w:val="13"/>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绩效指标：政务服务事项网上可办率   99%</w:t>
      </w:r>
    </w:p>
    <w:p>
      <w:pPr>
        <w:pStyle w:val="13"/>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“互联网+政务服务”建设 效果明显。</w:t>
      </w:r>
    </w:p>
    <w:p>
      <w:pPr>
        <w:pStyle w:val="13"/>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主动服务，推进公共资源交易规范化运行。</w:t>
      </w:r>
    </w:p>
    <w:p>
      <w:pPr>
        <w:pStyle w:val="13"/>
        <w:rPr>
          <w:rFonts w:hint="default" w:ascii="Times New Roman" w:hAnsi="Times New Roman" w:cs="Times New Roman"/>
        </w:rPr>
      </w:pPr>
      <w:r>
        <w:rPr>
          <w:rFonts w:hint="default" w:ascii="Times New Roman" w:hAnsi="Times New Roman" w:cs="Times New Roman"/>
        </w:rPr>
        <w:t>绩效目标：建立健全交易服务机制，规范优化公共资源交易流程，加强对各类交易活动管理，高质高效做好各项交易活动。</w:t>
      </w:r>
    </w:p>
    <w:p>
      <w:pPr>
        <w:pStyle w:val="13"/>
        <w:rPr>
          <w:rFonts w:hint="default" w:ascii="Times New Roman" w:hAnsi="Times New Roman" w:cs="Times New Roman"/>
        </w:rPr>
      </w:pPr>
      <w:r>
        <w:rPr>
          <w:rFonts w:hint="default" w:ascii="Times New Roman" w:hAnsi="Times New Roman" w:cs="Times New Roman"/>
        </w:rPr>
        <w:t xml:space="preserve">绩效指标：各项交易活动依法依规办理率   100%。 </w:t>
      </w:r>
    </w:p>
    <w:p>
      <w:pPr>
        <w:pStyle w:val="13"/>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切实加强党建工作，提高党员整体素质，扎实推进各项工作。</w:t>
      </w:r>
    </w:p>
    <w:p>
      <w:pPr>
        <w:pStyle w:val="13"/>
        <w:rPr>
          <w:rFonts w:hint="default" w:ascii="Times New Roman" w:hAnsi="Times New Roman" w:cs="Times New Roman"/>
        </w:rPr>
      </w:pPr>
      <w:r>
        <w:rPr>
          <w:rFonts w:hint="default" w:ascii="Times New Roman" w:hAnsi="Times New Roman" w:cs="Times New Roman"/>
        </w:rPr>
        <w:t>绩效目标：通过开展“三亮三比三评”“周五业务大讲堂”等活动，转变学习方式提升学习效果，不断增强党员干部的党性意识、政治意识、规矩意识，提升服务能力、干事能力、发展能力，为建设一流国际化营商环境，开创北戴河新区改革发展新局面提供有力的组织保障。</w:t>
      </w:r>
    </w:p>
    <w:p>
      <w:pPr>
        <w:pStyle w:val="13"/>
        <w:rPr>
          <w:rFonts w:hint="default" w:ascii="Times New Roman" w:hAnsi="Times New Roman" w:cs="Times New Roman"/>
        </w:rPr>
      </w:pPr>
      <w:r>
        <w:rPr>
          <w:rFonts w:hint="default" w:ascii="Times New Roman" w:hAnsi="Times New Roman" w:cs="Times New Roman"/>
        </w:rPr>
        <w:t>绩效指标：认真落实“三会一课”制度，按时完成支部相关工作。服务活动情况  100%达标</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color w:val="000000"/>
          <w:sz w:val="28"/>
        </w:rPr>
        <w:t>（三）工作保障措施</w:t>
      </w:r>
    </w:p>
    <w:p>
      <w:pPr>
        <w:pStyle w:val="26"/>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完善制度建设</w:t>
      </w:r>
    </w:p>
    <w:p>
      <w:pPr>
        <w:pStyle w:val="26"/>
        <w:rPr>
          <w:rFonts w:hint="default" w:ascii="Times New Roman" w:hAnsi="Times New Roman" w:cs="Times New Roman"/>
        </w:rPr>
      </w:pPr>
      <w:r>
        <w:rPr>
          <w:rFonts w:hint="default" w:ascii="Times New Roman" w:hAnsi="Times New Roman" w:cs="Times New Roman"/>
        </w:rP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6"/>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加强支出管理</w:t>
      </w:r>
    </w:p>
    <w:p>
      <w:pPr>
        <w:pStyle w:val="26"/>
        <w:rPr>
          <w:rFonts w:hint="default" w:ascii="Times New Roman" w:hAnsi="Times New Roman" w:cs="Times New Roman"/>
        </w:rPr>
      </w:pPr>
      <w:r>
        <w:rPr>
          <w:rFonts w:hint="default" w:ascii="Times New Roman" w:hAnsi="Times New Roman" w:cs="Times New Roman"/>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6"/>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加强绩效运行监控</w:t>
      </w:r>
    </w:p>
    <w:p>
      <w:pPr>
        <w:pStyle w:val="26"/>
        <w:rPr>
          <w:rFonts w:hint="default" w:ascii="Times New Roman" w:hAnsi="Times New Roman" w:cs="Times New Roman"/>
        </w:rPr>
      </w:pPr>
      <w:r>
        <w:rPr>
          <w:rFonts w:hint="default" w:ascii="Times New Roman" w:hAnsi="Times New Roman" w:cs="Times New Roman"/>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6"/>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做好绩效自评</w:t>
      </w:r>
    </w:p>
    <w:p>
      <w:pPr>
        <w:pStyle w:val="26"/>
        <w:rPr>
          <w:rFonts w:hint="default" w:ascii="Times New Roman" w:hAnsi="Times New Roman" w:cs="Times New Roman"/>
        </w:rPr>
      </w:pPr>
      <w:r>
        <w:rPr>
          <w:rFonts w:hint="default" w:ascii="Times New Roman" w:hAnsi="Times New Roman" w:cs="Times New Roman"/>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6"/>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规范财务资产管理</w:t>
      </w:r>
    </w:p>
    <w:p>
      <w:pPr>
        <w:pStyle w:val="26"/>
        <w:rPr>
          <w:rFonts w:hint="default" w:ascii="Times New Roman" w:hAnsi="Times New Roman" w:cs="Times New Roman"/>
        </w:rPr>
      </w:pPr>
      <w:r>
        <w:rPr>
          <w:rFonts w:hint="default" w:ascii="Times New Roman" w:hAnsi="Times New Roman" w:cs="Times New Roman"/>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6"/>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加强内部监督</w:t>
      </w:r>
    </w:p>
    <w:p>
      <w:pPr>
        <w:pStyle w:val="26"/>
        <w:rPr>
          <w:rFonts w:hint="default" w:ascii="Times New Roman" w:hAnsi="Times New Roman" w:cs="Times New Roman"/>
        </w:rPr>
      </w:pPr>
      <w:r>
        <w:rPr>
          <w:rFonts w:hint="default" w:ascii="Times New Roman" w:hAnsi="Times New Roman" w:cs="Times New Roman"/>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6"/>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加强宣传培训调研等</w:t>
      </w:r>
    </w:p>
    <w:p>
      <w:pPr>
        <w:pStyle w:val="26"/>
        <w:rPr>
          <w:rFonts w:hint="default" w:ascii="Times New Roman" w:hAnsi="Times New Roman" w:cs="Times New Roman"/>
        </w:rPr>
      </w:pPr>
      <w:r>
        <w:rPr>
          <w:rFonts w:hint="default" w:ascii="Times New Roman" w:hAnsi="Times New Roman" w:cs="Times New Roman"/>
        </w:rPr>
        <w:t>强化信息宣传，营造良好氛围。进一步加大信息宣传工作力度，扩大宣传范围，创新宣传方式，让各项制度简单明了、人人掌握，确保业务工作顺利进行。</w:t>
      </w:r>
    </w:p>
    <w:p>
      <w:pPr>
        <w:pStyle w:val="20"/>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第</w:t>
      </w:r>
      <w:r>
        <w:rPr>
          <w:rFonts w:hint="default" w:ascii="Times New Roman" w:hAnsi="Times New Roman" w:eastAsia="方正楷体_GBK" w:cs="Times New Roman"/>
          <w:b/>
          <w:color w:val="000000"/>
          <w:sz w:val="32"/>
          <w:lang w:eastAsia="zh-CN"/>
        </w:rPr>
        <w:t>二</w:t>
      </w:r>
      <w:r>
        <w:rPr>
          <w:rFonts w:hint="default" w:ascii="Times New Roman" w:hAnsi="Times New Roman" w:eastAsia="方正楷体_GBK" w:cs="Times New Roman"/>
          <w:b/>
          <w:color w:val="000000"/>
          <w:sz w:val="32"/>
        </w:rPr>
        <w:t>部分  预算项目绩效目标</w:t>
      </w:r>
    </w:p>
    <w:p>
      <w:pPr>
        <w:pStyle w:val="20"/>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1、行政审批工作经费绩效目标表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31"/>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noWrap w:val="0"/>
            <w:vAlign w:val="center"/>
          </w:tcPr>
          <w:p>
            <w:pPr>
              <w:pStyle w:val="21"/>
              <w:rPr>
                <w:rFonts w:hint="default" w:ascii="Times New Roman" w:hAnsi="Times New Roman" w:cs="Times New Roman"/>
              </w:rPr>
            </w:pPr>
            <w:r>
              <w:rPr>
                <w:rFonts w:hint="default" w:ascii="Times New Roman" w:hAnsi="Times New Roman" w:cs="Times New Roman"/>
              </w:rPr>
              <w:t>1.保障审批大厅各方面设备设施安全正常运行以保证业务审批正常运行</w:t>
            </w:r>
          </w:p>
          <w:p>
            <w:pPr>
              <w:pStyle w:val="21"/>
              <w:rPr>
                <w:rFonts w:hint="default" w:ascii="Times New Roman" w:hAnsi="Times New Roman" w:cs="Times New Roman"/>
              </w:rPr>
            </w:pPr>
            <w:r>
              <w:rPr>
                <w:rFonts w:hint="default" w:ascii="Times New Roman" w:hAnsi="Times New Roman" w:cs="Times New Roman"/>
              </w:rPr>
              <w:t>2.保障办公用品及耗材供应，为审批业务开展提供保障</w:t>
            </w:r>
          </w:p>
        </w:tc>
      </w:tr>
    </w:tbl>
    <w:p>
      <w:pPr>
        <w:pStyle w:val="20"/>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一级指标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二级指标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三级指标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绩效指标描述</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指标值</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32"/>
              <w:rPr>
                <w:rFonts w:hint="default" w:ascii="Times New Roman" w:hAnsi="Times New Roman" w:cs="Times New Roman"/>
              </w:rPr>
            </w:pPr>
            <w:r>
              <w:rPr>
                <w:rFonts w:hint="default" w:ascii="Times New Roman" w:hAnsi="Times New Roman" w:cs="Times New Roman"/>
              </w:rPr>
              <w:t>产出指标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需要专家评审项目数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根据审批业务类型及相关文件规定组织需聘请专家评审的项目数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≥64个</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刻制印章数量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反映为首次注册企业，刻章印制数量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≥426个</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系统安全运行天数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环保专网、“好差评”系统等设备正常运行，无故障的天数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≥360天</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刻制印章数量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反映为首次注册企业，刻章印制数量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≥426个</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聘请的专家数量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根据审批业务类型及相关文件规定需聘请专家数量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≥375位</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需测绘服务的楼栋数量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根据验收项目中建筑物基础埋深在2.7(含）米以上需要测绘的楼栋数量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≥140栋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验收项目数量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项目数量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审批人防技术方面项目数量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≥50个</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评审验收合格率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专家评审项目评审验收合格率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≥99%</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系统故障率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因系统故障影响不能办理业务的天数比率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≤2%</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审批业务情况</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大厅各类审批业务运行情况</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≥98%</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复核结果有法律效用</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为建设单位提供建筑物基础埋深的检测报告复核结果的法律效用</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实测报告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维修反应速度</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综合系统技术支持维修反应速度</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≤2小时</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证照、耗材等办公项目保障时效</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所有与审批业务相关的证照印刷、办公用品、耗材等保障时效</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≤365天</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建设项目验收保障时效</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为建设单位提供的咨询服务的合法合规性</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大于等于98%</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成本指标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成本控制预算数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实际支出金额小于预算控制数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≤84万元</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32"/>
              <w:rPr>
                <w:rFonts w:hint="default" w:ascii="Times New Roman" w:hAnsi="Times New Roman" w:cs="Times New Roman"/>
              </w:rPr>
            </w:pPr>
            <w:r>
              <w:rPr>
                <w:rFonts w:hint="default" w:ascii="Times New Roman" w:hAnsi="Times New Roman" w:cs="Times New Roman"/>
              </w:rPr>
              <w:t>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提升办事便利性</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提供高效便利、公开透明在线办理渠道</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保持工作稳定、持续开展</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有效保障业务工作顺利开展</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32"/>
              <w:rPr>
                <w:rFonts w:hint="default" w:ascii="Times New Roman" w:hAnsi="Times New Roman" w:cs="Times New Roman"/>
              </w:rPr>
            </w:pPr>
            <w:r>
              <w:rPr>
                <w:rFonts w:hint="default" w:ascii="Times New Roman" w:hAnsi="Times New Roman" w:cs="Times New Roman"/>
              </w:rPr>
              <w:t>满意度指标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服务对象满意度指标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办理业务的人员满意度</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通过抽查问卷的方式，满意和较满意对象占全部调研对象的比例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≥98%</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部门职责和工作计划</w:t>
            </w:r>
          </w:p>
        </w:tc>
      </w:tr>
    </w:tbl>
    <w:p>
      <w:pPr>
        <w:pStyle w:val="20"/>
        <w:rPr>
          <w:rFonts w:hint="default" w:ascii="Times New Roman" w:hAnsi="Times New Roman" w:cs="Times New Roman"/>
        </w:rPr>
      </w:pPr>
    </w:p>
    <w:p>
      <w:pPr>
        <w:pStyle w:val="20"/>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2、政务中心服务窗口管理工作经费绩效目标表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31"/>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noWrap w:val="0"/>
            <w:vAlign w:val="center"/>
          </w:tcPr>
          <w:p>
            <w:pPr>
              <w:pStyle w:val="21"/>
              <w:rPr>
                <w:rFonts w:hint="default" w:ascii="Times New Roman" w:hAnsi="Times New Roman" w:cs="Times New Roman"/>
              </w:rPr>
            </w:pPr>
            <w:r>
              <w:rPr>
                <w:rFonts w:hint="default" w:ascii="Times New Roman" w:hAnsi="Times New Roman" w:cs="Times New Roman"/>
              </w:rPr>
              <w:t>1.保障办公用品及耗材供应，为业务开展提供保障；为企业和群众审批事项提供更好的服务</w:t>
            </w:r>
          </w:p>
          <w:p>
            <w:pPr>
              <w:pStyle w:val="21"/>
              <w:rPr>
                <w:rFonts w:hint="default" w:ascii="Times New Roman" w:hAnsi="Times New Roman" w:cs="Times New Roman"/>
              </w:rPr>
            </w:pPr>
            <w:r>
              <w:rPr>
                <w:rFonts w:hint="default" w:ascii="Times New Roman" w:hAnsi="Times New Roman" w:cs="Times New Roman"/>
              </w:rPr>
              <w:t>2.为政务大厅和窗口日常管理提供高效优质服务</w:t>
            </w:r>
          </w:p>
        </w:tc>
      </w:tr>
    </w:tbl>
    <w:p>
      <w:pPr>
        <w:pStyle w:val="20"/>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一级指标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二级指标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三级指标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绩效指标描述</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指标值</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32"/>
              <w:rPr>
                <w:rFonts w:hint="default" w:ascii="Times New Roman" w:hAnsi="Times New Roman" w:cs="Times New Roman"/>
              </w:rPr>
            </w:pPr>
            <w:r>
              <w:rPr>
                <w:rFonts w:hint="default" w:ascii="Times New Roman" w:hAnsi="Times New Roman" w:cs="Times New Roman"/>
              </w:rPr>
              <w:t>产出指标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购买办公用品次数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每年购买办公用品次数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≥12次</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维修任务完成率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反映日常运行过程中，需维修设备、机器等固定资产维修任务完成率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审批业务完成率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反映政务中心服务窗口审批业务完成比率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审批业务规范性</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审批业务符合文件规定流程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维修验收合格率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反映日常运行过程中，需维修设备、机器等固定资产维修验收合格率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及时率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反映日常运行过程中，需维修设备、机器等固定资产维修及时率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及时率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审批业务完成及时率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成本指标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成本控制数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实际支出金额小于预算控制数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≤35万元</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32"/>
              <w:rPr>
                <w:rFonts w:hint="default" w:ascii="Times New Roman" w:hAnsi="Times New Roman" w:cs="Times New Roman"/>
              </w:rPr>
            </w:pPr>
            <w:r>
              <w:rPr>
                <w:rFonts w:hint="default" w:ascii="Times New Roman" w:hAnsi="Times New Roman" w:cs="Times New Roman"/>
              </w:rPr>
              <w:t>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提升办事便利性</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提供高效便利、公开透明在线办理渠道</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行政审批业务正常办理</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保障办事群众顺利完成审批流程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32"/>
              <w:rPr>
                <w:rFonts w:hint="default" w:ascii="Times New Roman" w:hAnsi="Times New Roman" w:cs="Times New Roman"/>
              </w:rPr>
            </w:pPr>
            <w:r>
              <w:rPr>
                <w:rFonts w:hint="default" w:ascii="Times New Roman" w:hAnsi="Times New Roman" w:cs="Times New Roman"/>
              </w:rPr>
              <w:t>满意度指标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服务对象满意度指标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办理业务审批的人员满意度</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通过抽查问卷的方式，满意和较满意对象占全部调研对象的比例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调查反馈</w:t>
            </w:r>
          </w:p>
        </w:tc>
      </w:tr>
    </w:tbl>
    <w:p>
      <w:pPr>
        <w:pStyle w:val="20"/>
        <w:rPr>
          <w:rFonts w:hint="default" w:ascii="Times New Roman" w:hAnsi="Times New Roman" w:cs="Times New Roman"/>
        </w:rPr>
        <w:sectPr>
          <w:pgSz w:w="16840" w:h="11900" w:orient="landscape"/>
          <w:pgMar w:top="1361" w:right="1020" w:bottom="1361" w:left="1020" w:header="720" w:footer="720" w:gutter="0"/>
          <w:cols w:space="720" w:num="1"/>
        </w:sectPr>
      </w:pPr>
    </w:p>
    <w:p>
      <w:pPr>
        <w:spacing w:before="10" w:after="10" w:line="240" w:lineRule="auto"/>
        <w:ind w:firstLine="640"/>
        <w:jc w:val="left"/>
        <w:outlineLvl w:val="2"/>
        <w:rPr>
          <w:rFonts w:hint="default" w:ascii="Times New Roman" w:hAnsi="Times New Roman" w:cs="Times New Roman"/>
        </w:rPr>
      </w:pPr>
      <w:bookmarkStart w:id="13" w:name="_Toc_3_3_0000000015"/>
      <w:r>
        <w:rPr>
          <w:rFonts w:hint="default" w:ascii="Times New Roman" w:hAnsi="Times New Roman" w:eastAsia="黑体" w:cs="Times New Roman"/>
          <w:color w:val="000000"/>
          <w:sz w:val="32"/>
        </w:rPr>
        <w:t>六、政府采购预算情况</w:t>
      </w:r>
      <w:bookmarkEnd w:id="13"/>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hint="default" w:ascii="Times New Roman" w:hAnsi="Times New Roman" w:eastAsia="方正仿宋_GBK" w:cs="Times New Roman"/>
          <w:b w:val="0"/>
          <w:color w:val="000000"/>
          <w:sz w:val="28"/>
        </w:rPr>
        <w:t>年，秦皇岛北戴河新区行政审批局安排政府采购预算0.00万元。具体内容见下表。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8316" w:type="dxa"/>
            <w:gridSpan w:val="9"/>
            <w:tcBorders>
              <w:top w:val="single" w:color="FFFFFF" w:sz="6" w:space="0"/>
              <w:left w:val="single" w:color="FFFFFF" w:sz="6" w:space="0"/>
              <w:right w:val="single" w:color="FFFFFF" w:sz="6" w:space="0"/>
            </w:tcBorders>
            <w:noWrap w:val="0"/>
            <w:vAlign w:val="center"/>
          </w:tcPr>
          <w:p>
            <w:pPr>
              <w:pStyle w:val="1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政府采购项目来源</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采购物品名称</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政府采购目录序号</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计量  单位</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数量</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单价</w:t>
            </w:r>
          </w:p>
        </w:tc>
        <w:tc>
          <w:tcPr>
            <w:tcW w:w="7392" w:type="dxa"/>
            <w:gridSpan w:val="8"/>
            <w:noWrap w:val="0"/>
            <w:vAlign w:val="center"/>
          </w:tcPr>
          <w:p>
            <w:pPr>
              <w:pStyle w:val="29"/>
              <w:rPr>
                <w:rFonts w:hint="default" w:ascii="Times New Roman" w:hAnsi="Times New Roman" w:cs="Times New Roman"/>
              </w:rPr>
            </w:pPr>
            <w:r>
              <w:rPr>
                <w:rFonts w:hint="default" w:ascii="Times New Roman" w:hAnsi="Times New Roman" w:cs="Times New Roman"/>
              </w:rPr>
              <w:t>政府采购金额（当年部门预算安排资金）</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项目名称</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预算    资金</w:t>
            </w: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一般公共预算拨款</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基金预算拨款</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国有资本经营预算拨款</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财政专户核拨</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单位    资金</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财政拨    款结转</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非财政    拨款结    转结余</w:t>
            </w:r>
          </w:p>
        </w:tc>
        <w:tc>
          <w:tcPr>
            <w:tcW w:w="924"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6"/>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6"/>
              <w:rPr>
                <w:rFonts w:hint="default" w:ascii="Times New Roman" w:hAnsi="Times New Roman" w:cs="Times New Roman"/>
              </w:rPr>
            </w:pPr>
          </w:p>
        </w:tc>
        <w:tc>
          <w:tcPr>
            <w:tcW w:w="924" w:type="dxa"/>
            <w:noWrap w:val="0"/>
            <w:vAlign w:val="center"/>
          </w:tcPr>
          <w:p>
            <w:pPr>
              <w:pStyle w:val="16"/>
              <w:rPr>
                <w:rFonts w:hint="default" w:ascii="Times New Roman" w:hAnsi="Times New Roman" w:cs="Times New Roman"/>
              </w:rPr>
            </w:pPr>
          </w:p>
        </w:tc>
        <w:tc>
          <w:tcPr>
            <w:tcW w:w="924" w:type="dxa"/>
            <w:noWrap w:val="0"/>
            <w:vAlign w:val="center"/>
          </w:tcPr>
          <w:p>
            <w:pPr>
              <w:pStyle w:val="14"/>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r>
    </w:tbl>
    <w:p>
      <w:pPr>
        <w:spacing w:before="0" w:after="0" w:line="500" w:lineRule="exact"/>
        <w:ind w:firstLine="420"/>
        <w:jc w:val="left"/>
        <w:outlineLvl w:val="9"/>
        <w:rPr>
          <w:rFonts w:hint="default" w:ascii="Times New Roman" w:hAnsi="Times New Roman" w:cs="Times New Roman"/>
        </w:rPr>
      </w:pPr>
      <w:r>
        <w:rPr>
          <w:rFonts w:hint="default" w:ascii="Times New Roman" w:hAnsi="Times New Roman" w:eastAsia="方正书宋_GBK" w:cs="Times New Roman"/>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default" w:ascii="Times New Roman" w:hAnsi="Times New Roman" w:cs="Times New Roman"/>
        </w:rPr>
      </w:pPr>
      <w:r>
        <w:rPr>
          <w:rFonts w:hint="default" w:ascii="Times New Roman" w:hAnsi="Times New Roman" w:eastAsia="方正书宋_GBK" w:cs="Times New Roman"/>
          <w:color w:val="000000"/>
          <w:sz w:val="21"/>
        </w:rPr>
        <w:t>注：无政府采购预算，空表列示。</w:t>
      </w:r>
    </w:p>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default" w:ascii="Times New Roman" w:hAnsi="Times New Roman" w:cs="Times New Roman"/>
        </w:rPr>
      </w:pPr>
      <w:bookmarkStart w:id="14" w:name="_Toc_3_3_0000000016"/>
      <w:r>
        <w:rPr>
          <w:rFonts w:hint="default" w:ascii="Times New Roman" w:hAnsi="Times New Roman" w:eastAsia="黑体" w:cs="Times New Roman"/>
          <w:color w:val="000000"/>
          <w:sz w:val="32"/>
        </w:rPr>
        <w:t>七、国有资产信息</w:t>
      </w:r>
      <w:bookmarkEnd w:id="14"/>
    </w:p>
    <w:p>
      <w:pPr>
        <w:spacing w:before="0" w:after="0" w:line="240" w:lineRule="auto"/>
        <w:ind w:firstLine="0"/>
        <w:jc w:val="center"/>
        <w:outlineLvl w:val="9"/>
        <w:rPr>
          <w:rFonts w:hint="default" w:ascii="Times New Roman" w:hAnsi="Times New Roman" w:eastAsia="方正小标宋_GBK" w:cs="Times New Roman"/>
          <w:color w:val="000000"/>
          <w:sz w:val="36"/>
        </w:rPr>
      </w:pPr>
      <w:r>
        <w:rPr>
          <w:rFonts w:hint="default" w:ascii="Times New Roman" w:hAnsi="Times New Roman" w:eastAsia="方正仿宋_GBK" w:cs="Times New Roman"/>
          <w:b w:val="0"/>
          <w:color w:val="000000"/>
          <w:sz w:val="28"/>
        </w:rPr>
        <w:t>秦皇岛北戴河新区行政审批局（含所属单位）上年末固定资产金额为</w:t>
      </w:r>
      <w:r>
        <w:rPr>
          <w:rFonts w:hint="eastAsia" w:eastAsia="方正仿宋_GBK" w:cs="Times New Roman"/>
          <w:b w:val="0"/>
          <w:color w:val="000000"/>
          <w:sz w:val="28"/>
          <w:lang w:val="en-US" w:eastAsia="zh-CN"/>
        </w:rPr>
        <w:t>54.83</w:t>
      </w:r>
      <w:r>
        <w:rPr>
          <w:rFonts w:hint="default" w:ascii="Times New Roman" w:hAnsi="Times New Roman" w:eastAsia="方正仿宋_GBK" w:cs="Times New Roman"/>
          <w:b w:val="0"/>
          <w:color w:val="000000"/>
          <w:sz w:val="28"/>
        </w:rPr>
        <w:t>万元（详见下表）</w:t>
      </w:r>
      <w:r>
        <w:rPr>
          <w:rFonts w:hint="default" w:ascii="Times New Roman" w:hAnsi="Times New Roman" w:eastAsia="方正仿宋_GBK" w:cs="Times New Roman"/>
          <w:b w:val="0"/>
          <w:color w:val="000000"/>
          <w:sz w:val="28"/>
          <w:lang w:eastAsia="zh-CN"/>
        </w:rPr>
        <w:t>。</w:t>
      </w:r>
    </w:p>
    <w:p>
      <w:pPr>
        <w:spacing w:before="0" w:after="0" w:line="240" w:lineRule="auto"/>
        <w:ind w:firstLine="0"/>
        <w:jc w:val="center"/>
        <w:outlineLvl w:val="9"/>
        <w:rPr>
          <w:rFonts w:hint="default" w:ascii="Times New Roman" w:hAnsi="Times New Roman" w:eastAsia="方正小标宋_GBK" w:cs="Times New Roman"/>
          <w:color w:val="000000"/>
          <w:sz w:val="36"/>
        </w:rPr>
      </w:pPr>
      <w:r>
        <w:rPr>
          <w:rFonts w:hint="default" w:ascii="Times New Roman" w:hAnsi="Times New Roman" w:eastAsia="方正小标宋_GBK" w:cs="Times New Roman"/>
          <w:color w:val="000000"/>
          <w:sz w:val="36"/>
        </w:rPr>
        <w:t>部门固定资产占用情况表</w:t>
      </w:r>
    </w:p>
    <w:p>
      <w:pPr>
        <w:spacing w:before="0" w:after="0" w:line="240" w:lineRule="auto"/>
        <w:ind w:firstLine="0"/>
        <w:jc w:val="center"/>
        <w:outlineLvl w:val="9"/>
        <w:rPr>
          <w:rFonts w:hint="default" w:ascii="Times New Roman" w:hAnsi="Times New Roman" w:eastAsia="方正小标宋_GBK" w:cs="Times New Roman"/>
          <w:color w:val="000000"/>
          <w:sz w:val="36"/>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316秦皇岛北戴河新区行政审批局</w:t>
            </w:r>
          </w:p>
        </w:tc>
        <w:tc>
          <w:tcPr>
            <w:tcW w:w="986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截止时间：202</w:t>
            </w:r>
            <w:r>
              <w:rPr>
                <w:rFonts w:hint="eastAsia" w:ascii="Times New Roman" w:hAnsi="Times New Roman" w:cs="Times New Roman"/>
                <w:lang w:val="en-US" w:eastAsia="zh-CN"/>
              </w:rPr>
              <w:t>0</w:t>
            </w:r>
            <w:r>
              <w:rPr>
                <w:rFonts w:hint="default" w:ascii="Times New Roman" w:hAnsi="Times New Roman" w:cs="Times New Roman"/>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33"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4933" w:type="dxa"/>
            <w:noWrap w:val="0"/>
            <w:vAlign w:val="center"/>
          </w:tcPr>
          <w:p>
            <w:pPr>
              <w:pStyle w:val="29"/>
              <w:rPr>
                <w:rFonts w:hint="default" w:ascii="Times New Roman" w:hAnsi="Times New Roman" w:cs="Times New Roman"/>
              </w:rPr>
            </w:pPr>
            <w:r>
              <w:rPr>
                <w:rFonts w:hint="default" w:ascii="Times New Roman" w:hAnsi="Times New Roman" w:cs="Times New Roman"/>
              </w:rPr>
              <w:t>数量</w:t>
            </w:r>
          </w:p>
        </w:tc>
        <w:tc>
          <w:tcPr>
            <w:tcW w:w="4933" w:type="dxa"/>
            <w:noWrap w:val="0"/>
            <w:vAlign w:val="center"/>
          </w:tcPr>
          <w:p>
            <w:pPr>
              <w:pStyle w:val="29"/>
              <w:rPr>
                <w:rFonts w:hint="default" w:ascii="Times New Roman" w:hAnsi="Times New Roman" w:cs="Times New Roman"/>
              </w:rPr>
            </w:pPr>
            <w:r>
              <w:rPr>
                <w:rFonts w:hint="default" w:ascii="Times New Roman" w:hAnsi="Times New Roman"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6"/>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1、房屋</w:t>
            </w:r>
          </w:p>
        </w:tc>
        <w:tc>
          <w:tcPr>
            <w:tcW w:w="4933" w:type="dxa"/>
            <w:noWrap w:val="0"/>
            <w:vAlign w:val="center"/>
          </w:tcPr>
          <w:p>
            <w:pPr>
              <w:pStyle w:val="14"/>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c>
          <w:tcPr>
            <w:tcW w:w="4933"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6"/>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2、车辆（台、辆）</w:t>
            </w:r>
          </w:p>
        </w:tc>
        <w:tc>
          <w:tcPr>
            <w:tcW w:w="4933" w:type="dxa"/>
            <w:noWrap w:val="0"/>
            <w:vAlign w:val="center"/>
          </w:tcPr>
          <w:p>
            <w:pPr>
              <w:pStyle w:val="14"/>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w:t>
            </w:r>
          </w:p>
        </w:tc>
        <w:tc>
          <w:tcPr>
            <w:tcW w:w="493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6"/>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3、其他固定资产</w:t>
            </w:r>
          </w:p>
        </w:tc>
        <w:tc>
          <w:tcPr>
            <w:tcW w:w="4933" w:type="dxa"/>
            <w:noWrap w:val="0"/>
            <w:vAlign w:val="center"/>
          </w:tcPr>
          <w:p>
            <w:pPr>
              <w:pStyle w:val="14"/>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496</w:t>
            </w:r>
          </w:p>
        </w:tc>
        <w:tc>
          <w:tcPr>
            <w:tcW w:w="493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6"/>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4、无形资产</w:t>
            </w:r>
          </w:p>
        </w:tc>
        <w:tc>
          <w:tcPr>
            <w:tcW w:w="4933" w:type="dxa"/>
            <w:noWrap w:val="0"/>
            <w:vAlign w:val="center"/>
          </w:tcPr>
          <w:p>
            <w:pPr>
              <w:pStyle w:val="14"/>
              <w:rPr>
                <w:rFonts w:hint="eastAsia" w:ascii="Times New Roman" w:hAnsi="Times New Roman" w:eastAsia="方正书宋_GBK" w:cs="Times New Roman"/>
                <w:lang w:val="en-US" w:eastAsia="zh-CN"/>
              </w:rPr>
            </w:pPr>
            <w:r>
              <w:rPr>
                <w:rFonts w:hint="eastAsia" w:ascii="Times New Roman" w:hAnsi="Times New Roman" w:cs="Times New Roman"/>
                <w:lang w:val="en-US" w:eastAsia="zh-CN"/>
              </w:rPr>
              <w:t>1</w:t>
            </w:r>
          </w:p>
        </w:tc>
        <w:tc>
          <w:tcPr>
            <w:tcW w:w="493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1.60</w:t>
            </w:r>
          </w:p>
        </w:tc>
      </w:tr>
    </w:tbl>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snapToGrid/>
        <w:spacing w:before="10" w:after="10" w:line="500" w:lineRule="exact"/>
        <w:ind w:firstLine="640"/>
        <w:jc w:val="left"/>
        <w:textAlignment w:val="auto"/>
        <w:outlineLvl w:val="2"/>
        <w:rPr>
          <w:rFonts w:hint="default" w:ascii="Times New Roman" w:hAnsi="Times New Roman" w:cs="Times New Roman"/>
        </w:rPr>
      </w:pPr>
      <w:bookmarkStart w:id="15" w:name="_Toc_3_3_0000000017"/>
      <w:r>
        <w:rPr>
          <w:rFonts w:hint="default" w:ascii="Times New Roman" w:hAnsi="Times New Roman" w:eastAsia="黑体" w:cs="Times New Roman"/>
          <w:color w:val="000000"/>
          <w:sz w:val="32"/>
        </w:rPr>
        <w:t>八、名词解释</w:t>
      </w:r>
      <w:bookmarkEnd w:id="15"/>
    </w:p>
    <w:p>
      <w:pPr>
        <w:keepNext w:val="0"/>
        <w:keepLines w:val="0"/>
        <w:pageBreakBefore w:val="0"/>
        <w:widowControl/>
        <w:kinsoku/>
        <w:wordWrap/>
        <w:overflowPunct/>
        <w:topLinePunct w:val="0"/>
        <w:autoSpaceDE/>
        <w:autoSpaceDN/>
        <w:bidi w:val="0"/>
        <w:adjustRightInd w:val="0"/>
        <w:snapToGrid/>
        <w:spacing w:line="500" w:lineRule="exact"/>
        <w:ind w:firstLine="560" w:firstLineChars="200"/>
        <w:textAlignment w:val="auto"/>
        <w:rPr>
          <w:rFonts w:hint="default" w:ascii="Times New Roman" w:hAnsi="Times New Roman" w:cs="Times New Roman"/>
        </w:rPr>
      </w:pPr>
      <w:r>
        <w:rPr>
          <w:rFonts w:hint="default" w:ascii="Times New Roman" w:hAnsi="Times New Roman" w:eastAsia="方正仿宋_GBK" w:cs="Times New Roman"/>
          <w:b w:val="0"/>
          <w:color w:val="000000"/>
          <w:sz w:val="28"/>
        </w:rPr>
        <w:t>1、</w:t>
      </w:r>
      <w:r>
        <w:rPr>
          <w:rFonts w:hint="default" w:ascii="Times New Roman" w:hAnsi="Times New Roman" w:eastAsia="方正仿宋_GBK" w:cs="Times New Roman"/>
          <w:b/>
          <w:color w:val="000000"/>
          <w:sz w:val="28"/>
        </w:rPr>
        <w:t>一般公共预算拨款收入：</w:t>
      </w:r>
      <w:r>
        <w:rPr>
          <w:rFonts w:hint="default"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省</w:t>
      </w:r>
      <w:r>
        <w:rPr>
          <w:rFonts w:hint="default" w:ascii="Times New Roman" w:hAnsi="Times New Roman" w:eastAsia="方正仿宋_GBK" w:cs="Times New Roman"/>
          <w:b w:val="0"/>
          <w:color w:val="000000"/>
          <w:sz w:val="28"/>
        </w:rPr>
        <w:t>级财政当年拨付的资金</w:t>
      </w:r>
      <w:r>
        <w:rPr>
          <w:rFonts w:hint="default" w:ascii="Times New Roman" w:hAnsi="Times New Roman" w:eastAsia="方正仿宋简体" w:cs="Times New Roman"/>
          <w:kern w:val="0"/>
          <w:sz w:val="32"/>
          <w:szCs w:val="32"/>
        </w:rPr>
        <w:t>。</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w:t>
      </w:r>
      <w:r>
        <w:rPr>
          <w:rFonts w:hint="default" w:ascii="Times New Roman" w:hAnsi="Times New Roman" w:eastAsia="方正仿宋_GBK" w:cs="Times New Roman"/>
          <w:b/>
          <w:color w:val="000000"/>
          <w:sz w:val="28"/>
        </w:rPr>
        <w:t>事业收入：</w:t>
      </w:r>
      <w:r>
        <w:rPr>
          <w:rFonts w:hint="default"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3、</w:t>
      </w:r>
      <w:r>
        <w:rPr>
          <w:rFonts w:hint="default" w:ascii="Times New Roman" w:hAnsi="Times New Roman" w:eastAsia="方正仿宋_GBK" w:cs="Times New Roman"/>
          <w:b/>
          <w:color w:val="000000"/>
          <w:sz w:val="28"/>
        </w:rPr>
        <w:t>其他收入：</w:t>
      </w:r>
      <w:r>
        <w:rPr>
          <w:rFonts w:hint="default"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4、</w:t>
      </w:r>
      <w:r>
        <w:rPr>
          <w:rFonts w:hint="default" w:ascii="Times New Roman" w:hAnsi="Times New Roman" w:eastAsia="方正仿宋_GBK" w:cs="Times New Roman"/>
          <w:b/>
          <w:color w:val="000000"/>
          <w:sz w:val="28"/>
        </w:rPr>
        <w:t>基本支出：</w:t>
      </w:r>
      <w:r>
        <w:rPr>
          <w:rFonts w:hint="default"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5、</w:t>
      </w:r>
      <w:r>
        <w:rPr>
          <w:rFonts w:hint="default" w:ascii="Times New Roman" w:hAnsi="Times New Roman" w:eastAsia="方正仿宋_GBK" w:cs="Times New Roman"/>
          <w:b/>
          <w:color w:val="000000"/>
          <w:sz w:val="28"/>
        </w:rPr>
        <w:t>项目支出：</w:t>
      </w:r>
      <w:r>
        <w:rPr>
          <w:rFonts w:hint="default"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6、</w:t>
      </w:r>
      <w:r>
        <w:rPr>
          <w:rFonts w:hint="default" w:ascii="Times New Roman" w:hAnsi="Times New Roman" w:eastAsia="方正仿宋_GBK" w:cs="Times New Roman"/>
          <w:b/>
          <w:color w:val="000000"/>
          <w:sz w:val="28"/>
        </w:rPr>
        <w:t>上缴上级支出：</w:t>
      </w:r>
      <w:r>
        <w:rPr>
          <w:rFonts w:hint="default"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7、</w:t>
      </w:r>
      <w:r>
        <w:rPr>
          <w:rFonts w:hint="default" w:ascii="Times New Roman" w:hAnsi="Times New Roman" w:eastAsia="方正仿宋_GBK" w:cs="Times New Roman"/>
          <w:b/>
          <w:color w:val="000000"/>
          <w:sz w:val="28"/>
        </w:rPr>
        <w:t>“三公”经费：</w:t>
      </w:r>
      <w:r>
        <w:rPr>
          <w:rFonts w:hint="default" w:ascii="Times New Roman" w:hAnsi="Times New Roman" w:eastAsia="方正仿宋_GBK" w:cs="Times New Roman"/>
          <w:b w:val="0"/>
          <w:color w:val="000000"/>
          <w:sz w:val="28"/>
        </w:rPr>
        <w:t>纳入</w:t>
      </w:r>
      <w:r>
        <w:rPr>
          <w:rFonts w:hint="default" w:ascii="Times New Roman" w:hAnsi="Times New Roman" w:eastAsia="方正仿宋_GBK" w:cs="Times New Roman"/>
          <w:b w:val="0"/>
          <w:color w:val="000000"/>
          <w:sz w:val="28"/>
          <w:lang w:eastAsia="zh-CN"/>
        </w:rPr>
        <w:t>区</w:t>
      </w:r>
      <w:r>
        <w:rPr>
          <w:rFonts w:hint="default" w:ascii="Times New Roman" w:hAnsi="Times New Roman" w:eastAsia="方正仿宋_GBK" w:cs="Times New Roman"/>
          <w:b w:val="0"/>
          <w:color w:val="000000"/>
          <w:sz w:val="28"/>
        </w:rPr>
        <w:t>级财政预算管理的“三公”经费，是指</w:t>
      </w:r>
      <w:r>
        <w:rPr>
          <w:rFonts w:hint="default" w:ascii="Times New Roman" w:hAnsi="Times New Roman" w:eastAsia="方正仿宋_GBK" w:cs="Times New Roman"/>
          <w:b w:val="0"/>
          <w:color w:val="000000"/>
          <w:sz w:val="28"/>
          <w:lang w:eastAsia="zh-CN"/>
        </w:rPr>
        <w:t>区</w:t>
      </w:r>
      <w:r>
        <w:rPr>
          <w:rFonts w:hint="default"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spacing w:val="-20"/>
        </w:rPr>
      </w:pPr>
      <w:r>
        <w:rPr>
          <w:rFonts w:hint="default" w:ascii="Times New Roman" w:hAnsi="Times New Roman" w:eastAsia="方正仿宋_GBK" w:cs="Times New Roman"/>
          <w:b w:val="0"/>
          <w:color w:val="000000"/>
          <w:spacing w:val="-20"/>
          <w:sz w:val="28"/>
        </w:rPr>
        <w:t>8、</w:t>
      </w:r>
      <w:r>
        <w:rPr>
          <w:rFonts w:hint="default" w:ascii="Times New Roman" w:hAnsi="Times New Roman" w:eastAsia="方正仿宋_GBK" w:cs="Times New Roman"/>
          <w:b/>
          <w:color w:val="000000"/>
          <w:spacing w:val="-20"/>
          <w:sz w:val="28"/>
        </w:rPr>
        <w:t>机关运行费：</w:t>
      </w:r>
      <w:r>
        <w:rPr>
          <w:rFonts w:hint="default" w:ascii="Times New Roman" w:hAnsi="Times New Roman" w:eastAsia="方正仿宋_GBK" w:cs="Times New Roman"/>
          <w:b w:val="0"/>
          <w:color w:val="000000"/>
          <w:spacing w:val="-2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9、</w:t>
      </w:r>
      <w:r>
        <w:rPr>
          <w:rFonts w:hint="default" w:ascii="Times New Roman" w:hAnsi="Times New Roman" w:eastAsia="方正仿宋_GBK" w:cs="Times New Roman"/>
          <w:b/>
          <w:color w:val="000000"/>
          <w:sz w:val="28"/>
        </w:rPr>
        <w:t>上年结转：</w:t>
      </w:r>
      <w:r>
        <w:rPr>
          <w:rFonts w:hint="default"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10、</w:t>
      </w:r>
      <w:r>
        <w:rPr>
          <w:rFonts w:hint="default" w:ascii="Times New Roman" w:hAnsi="Times New Roman" w:eastAsia="方正仿宋_GBK" w:cs="Times New Roman"/>
          <w:b/>
          <w:color w:val="000000"/>
          <w:sz w:val="28"/>
        </w:rPr>
        <w:t>事业单位经营支出：</w:t>
      </w:r>
      <w:r>
        <w:rPr>
          <w:rFonts w:hint="default"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snapToGrid/>
        <w:spacing w:before="10" w:after="10" w:line="500" w:lineRule="exact"/>
        <w:ind w:firstLine="640"/>
        <w:jc w:val="left"/>
        <w:textAlignment w:val="auto"/>
        <w:outlineLvl w:val="2"/>
        <w:rPr>
          <w:rFonts w:hint="default" w:ascii="Times New Roman" w:hAnsi="Times New Roman" w:cs="Times New Roman"/>
        </w:rPr>
      </w:pPr>
      <w:bookmarkStart w:id="16" w:name="_Toc_3_3_0000000018"/>
      <w:r>
        <w:rPr>
          <w:rFonts w:hint="default" w:ascii="Times New Roman" w:hAnsi="Times New Roman" w:eastAsia="黑体" w:cs="Times New Roman"/>
          <w:color w:val="000000"/>
          <w:sz w:val="32"/>
        </w:rPr>
        <w:t>九、其他需要说明的事项</w:t>
      </w:r>
      <w:bookmarkEnd w:id="16"/>
    </w:p>
    <w:p>
      <w:pPr>
        <w:keepNext w:val="0"/>
        <w:keepLines w:val="0"/>
        <w:pageBreakBefore w:val="0"/>
        <w:widowControl/>
        <w:kinsoku/>
        <w:wordWrap/>
        <w:overflowPunct/>
        <w:topLinePunct w:val="0"/>
        <w:autoSpaceDE/>
        <w:autoSpaceDN/>
        <w:bidi w:val="0"/>
        <w:snapToGrid/>
        <w:spacing w:before="0" w:after="0" w:line="500" w:lineRule="exact"/>
        <w:ind w:firstLine="560"/>
        <w:jc w:val="left"/>
        <w:textAlignment w:val="auto"/>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0"/>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小标宋_GBK" w:cs="Times New Roman"/>
          <w:color w:val="000000"/>
          <w:sz w:val="72"/>
        </w:rPr>
        <w:t>第二部分  部门所属单位预算</w:t>
      </w:r>
    </w:p>
    <w:p>
      <w:pPr>
        <w:spacing w:before="0" w:after="0"/>
        <w:ind w:firstLine="0"/>
        <w:jc w:val="center"/>
        <w:outlineLvl w:val="3"/>
        <w:rPr>
          <w:rFonts w:hint="default" w:ascii="Times New Roman" w:hAnsi="Times New Roman" w:cs="Times New Roman"/>
        </w:rPr>
      </w:pPr>
      <w:bookmarkStart w:id="17" w:name="_Toc_4_4_0000000019"/>
      <w:r>
        <w:rPr>
          <w:rFonts w:hint="default" w:ascii="Times New Roman" w:hAnsi="Times New Roman" w:eastAsia="方正小标宋_GBK" w:cs="Times New Roman"/>
          <w:b w:val="0"/>
          <w:color w:val="000000"/>
          <w:sz w:val="44"/>
        </w:rPr>
        <w:t>一、秦皇岛北戴河新区行政审批局本级收支预算</w:t>
      </w:r>
      <w:bookmarkEnd w:id="17"/>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959"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5918"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5918"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收入</w:t>
            </w:r>
          </w:p>
        </w:tc>
        <w:tc>
          <w:tcPr>
            <w:tcW w:w="5918"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pPr>
              <w:rPr>
                <w:rFonts w:hint="default" w:ascii="Times New Roman" w:hAnsi="Times New Roman" w:cs="Times New Roman"/>
              </w:rPr>
            </w:pPr>
          </w:p>
        </w:tc>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预算数</w:t>
            </w:r>
          </w:p>
        </w:tc>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2959"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一、一般公共预算拨款收入</w:t>
            </w:r>
          </w:p>
        </w:tc>
        <w:tc>
          <w:tcPr>
            <w:tcW w:w="2959" w:type="dxa"/>
            <w:noWrap w:val="0"/>
            <w:vAlign w:val="center"/>
          </w:tcPr>
          <w:p>
            <w:pPr>
              <w:pStyle w:val="12"/>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一、一般公共服务支出</w:t>
            </w:r>
          </w:p>
        </w:tc>
        <w:tc>
          <w:tcPr>
            <w:tcW w:w="2959"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二、政府性基金预算拨款收入</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二、外交支出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三、国有资本经营预算拨款收入</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三、国防支出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四、财政专户管理资金收入</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四、公共安全支出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五、事业收入</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五、教育支出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六、事业单位经营收入</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六、科学技术支出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七、上级补助收入</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七、文化旅游体育与传媒支出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八、附属单位上缴收入</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八、社会保障和就业支出</w:t>
            </w:r>
          </w:p>
        </w:tc>
        <w:tc>
          <w:tcPr>
            <w:tcW w:w="2959"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九、其他收入</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九、社会保险基金支出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十、卫生健康支出</w:t>
            </w:r>
          </w:p>
        </w:tc>
        <w:tc>
          <w:tcPr>
            <w:tcW w:w="2959" w:type="dxa"/>
            <w:noWrap w:val="0"/>
            <w:vAlign w:val="center"/>
          </w:tcPr>
          <w:p>
            <w:pPr>
              <w:pStyle w:val="12"/>
              <w:rPr>
                <w:rFonts w:hint="default" w:ascii="Times New Roman" w:hAnsi="Times New Roman" w:cs="Times New Roman"/>
              </w:rPr>
            </w:pPr>
            <w:r>
              <w:rPr>
                <w:rFonts w:hint="default" w:ascii="Times New Roman" w:hAnsi="Times New Roman" w:cs="Times New Roman"/>
              </w:rPr>
              <w:t>55</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十一、节能环保支出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十二、城乡社区支出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十三、农林水支出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十四、交通运输支出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十五、资源勘探工业信息等支出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16</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十六、商业服务业等支出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17</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十七、金融支出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18</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十八、援助其他地区支出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19</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十九、自然资源海洋气象等支出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20</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二十、住房保障支出</w:t>
            </w:r>
          </w:p>
        </w:tc>
        <w:tc>
          <w:tcPr>
            <w:tcW w:w="2959" w:type="dxa"/>
            <w:noWrap w:val="0"/>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21</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二十一、粮油物资储备支出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22</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二十二、国有资本经营预算支出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23</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二十三、灾害防治及应急管理支出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24</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二十四、预备费</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25</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二十五、其他支出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26</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二十六、转移性支出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27</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二十七、债务还本支出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28</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二十八、债务付息支出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29</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二十九、债务发行费用支出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30</w:t>
            </w:r>
          </w:p>
        </w:tc>
        <w:tc>
          <w:tcPr>
            <w:tcW w:w="2959" w:type="dxa"/>
            <w:noWrap w:val="0"/>
            <w:vAlign w:val="center"/>
          </w:tcPr>
          <w:p>
            <w:pPr>
              <w:pStyle w:val="16"/>
              <w:rPr>
                <w:rFonts w:hint="default" w:ascii="Times New Roman" w:hAnsi="Times New Roman" w:cs="Times New Roman"/>
              </w:rPr>
            </w:pP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三十、抗疫特别国债安排的支出</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31</w:t>
            </w:r>
          </w:p>
        </w:tc>
        <w:tc>
          <w:tcPr>
            <w:tcW w:w="2959" w:type="dxa"/>
            <w:noWrap w:val="0"/>
            <w:vAlign w:val="center"/>
          </w:tcPr>
          <w:p>
            <w:pPr>
              <w:pStyle w:val="35"/>
              <w:rPr>
                <w:rFonts w:hint="default" w:ascii="Times New Roman" w:hAnsi="Times New Roman" w:cs="Times New Roman"/>
              </w:rPr>
            </w:pPr>
            <w:r>
              <w:rPr>
                <w:rFonts w:hint="default" w:ascii="Times New Roman" w:hAnsi="Times New Roman" w:cs="Times New Roman"/>
              </w:rPr>
              <w:t>本年收入合计</w:t>
            </w:r>
          </w:p>
        </w:tc>
        <w:tc>
          <w:tcPr>
            <w:tcW w:w="2959"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c>
          <w:tcPr>
            <w:tcW w:w="2959" w:type="dxa"/>
            <w:noWrap w:val="0"/>
            <w:vAlign w:val="center"/>
          </w:tcPr>
          <w:p>
            <w:pPr>
              <w:pStyle w:val="35"/>
              <w:rPr>
                <w:rFonts w:hint="default" w:ascii="Times New Roman" w:hAnsi="Times New Roman" w:cs="Times New Roman"/>
              </w:rPr>
            </w:pPr>
            <w:r>
              <w:rPr>
                <w:rFonts w:hint="default" w:ascii="Times New Roman" w:hAnsi="Times New Roman" w:cs="Times New Roman"/>
              </w:rPr>
              <w:t>本年支出合计</w:t>
            </w:r>
          </w:p>
        </w:tc>
        <w:tc>
          <w:tcPr>
            <w:tcW w:w="2959"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32</w:t>
            </w: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上年结转结余</w:t>
            </w:r>
          </w:p>
        </w:tc>
        <w:tc>
          <w:tcPr>
            <w:tcW w:w="2959" w:type="dxa"/>
            <w:noWrap w:val="0"/>
            <w:vAlign w:val="center"/>
          </w:tcPr>
          <w:p>
            <w:pPr>
              <w:pStyle w:val="12"/>
              <w:rPr>
                <w:rFonts w:hint="default" w:ascii="Times New Roman" w:hAnsi="Times New Roman" w:cs="Times New Roman"/>
              </w:rPr>
            </w:pPr>
          </w:p>
        </w:tc>
        <w:tc>
          <w:tcPr>
            <w:tcW w:w="2959" w:type="dxa"/>
            <w:noWrap w:val="0"/>
            <w:vAlign w:val="center"/>
          </w:tcPr>
          <w:p>
            <w:pPr>
              <w:pStyle w:val="16"/>
              <w:rPr>
                <w:rFonts w:hint="default" w:ascii="Times New Roman" w:hAnsi="Times New Roman" w:cs="Times New Roman"/>
              </w:rPr>
            </w:pPr>
            <w:r>
              <w:rPr>
                <w:rFonts w:hint="default" w:ascii="Times New Roman" w:hAnsi="Times New Roman" w:cs="Times New Roman"/>
              </w:rPr>
              <w:t>年终结转结余</w:t>
            </w:r>
          </w:p>
        </w:tc>
        <w:tc>
          <w:tcPr>
            <w:tcW w:w="2959"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4"/>
              <w:rPr>
                <w:rFonts w:hint="default" w:ascii="Times New Roman" w:hAnsi="Times New Roman" w:cs="Times New Roman"/>
              </w:rPr>
            </w:pPr>
            <w:r>
              <w:rPr>
                <w:rFonts w:hint="default" w:ascii="Times New Roman" w:hAnsi="Times New Roman" w:cs="Times New Roman"/>
              </w:rPr>
              <w:t>33</w:t>
            </w:r>
          </w:p>
        </w:tc>
        <w:tc>
          <w:tcPr>
            <w:tcW w:w="2959" w:type="dxa"/>
            <w:noWrap w:val="0"/>
            <w:vAlign w:val="center"/>
          </w:tcPr>
          <w:p>
            <w:pPr>
              <w:pStyle w:val="35"/>
              <w:rPr>
                <w:rFonts w:hint="default" w:ascii="Times New Roman" w:hAnsi="Times New Roman" w:cs="Times New Roman"/>
              </w:rPr>
            </w:pPr>
            <w:r>
              <w:rPr>
                <w:rFonts w:hint="default" w:ascii="Times New Roman" w:hAnsi="Times New Roman" w:cs="Times New Roman"/>
              </w:rPr>
              <w:t>收入总计</w:t>
            </w:r>
          </w:p>
        </w:tc>
        <w:tc>
          <w:tcPr>
            <w:tcW w:w="2959"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c>
          <w:tcPr>
            <w:tcW w:w="2959" w:type="dxa"/>
            <w:noWrap w:val="0"/>
            <w:vAlign w:val="center"/>
          </w:tcPr>
          <w:p>
            <w:pPr>
              <w:pStyle w:val="35"/>
              <w:rPr>
                <w:rFonts w:hint="default" w:ascii="Times New Roman" w:hAnsi="Times New Roman" w:cs="Times New Roman"/>
              </w:rPr>
            </w:pPr>
            <w:r>
              <w:rPr>
                <w:rFonts w:hint="default" w:ascii="Times New Roman" w:hAnsi="Times New Roman" w:cs="Times New Roman"/>
              </w:rPr>
              <w:t>支出总计</w:t>
            </w:r>
          </w:p>
        </w:tc>
        <w:tc>
          <w:tcPr>
            <w:tcW w:w="2959" w:type="dxa"/>
            <w:noWrap w:val="0"/>
            <w:vAlign w:val="center"/>
          </w:tcPr>
          <w:p>
            <w:pPr>
              <w:pStyle w:val="25"/>
              <w:rPr>
                <w:rFonts w:hint="default" w:ascii="Times New Roman" w:hAnsi="Times New Roman" w:cs="Times New Roma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eastAsia="方正小标宋_GBK" w:cs="Times New Roman"/>
          <w:color w:val="000000"/>
          <w:sz w:val="36"/>
        </w:rPr>
      </w:pPr>
      <w:r>
        <w:rPr>
          <w:rFonts w:hint="default" w:ascii="Times New Roman" w:hAnsi="Times New Roman" w:eastAsia="方正小标宋_GBK" w:cs="Times New Roman"/>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1140"/>
        <w:gridCol w:w="1425"/>
        <w:gridCol w:w="1095"/>
        <w:gridCol w:w="1065"/>
        <w:gridCol w:w="1080"/>
        <w:gridCol w:w="810"/>
        <w:gridCol w:w="1125"/>
        <w:gridCol w:w="1110"/>
        <w:gridCol w:w="1170"/>
        <w:gridCol w:w="1170"/>
        <w:gridCol w:w="810"/>
        <w:gridCol w:w="9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7" w:type="dxa"/>
            <w:gridSpan w:val="5"/>
            <w:tcBorders>
              <w:top w:val="single" w:color="FFFFFF" w:sz="6" w:space="0"/>
              <w:left w:val="single" w:color="FFFFFF" w:sz="6" w:space="0"/>
              <w:right w:val="single" w:color="FFFFFF" w:sz="6" w:space="0"/>
            </w:tcBorders>
            <w:noWrap w:val="0"/>
            <w:vAlign w:val="center"/>
          </w:tcPr>
          <w:p>
            <w:pPr>
              <w:pStyle w:val="30"/>
              <w:rPr>
                <w:rFonts w:hint="eastAsia" w:ascii="Times New Roman" w:hAnsi="Times New Roman" w:eastAsia="方正小标宋_GBK" w:cs="Times New Roman"/>
                <w:lang w:eastAsia="zh-CN"/>
              </w:rPr>
            </w:pPr>
            <w:r>
              <w:rPr>
                <w:rFonts w:hint="default" w:ascii="Times New Roman" w:hAnsi="Times New Roman" w:cs="Times New Roman"/>
              </w:rPr>
              <w:t>316</w:t>
            </w:r>
            <w:r>
              <w:rPr>
                <w:rFonts w:hint="eastAsia" w:ascii="Times New Roman" w:hAnsi="Times New Roman" w:cs="Times New Roman"/>
                <w:lang w:val="en-US" w:eastAsia="zh-CN"/>
              </w:rPr>
              <w:t>001</w:t>
            </w:r>
            <w:r>
              <w:rPr>
                <w:rFonts w:hint="default" w:ascii="Times New Roman" w:hAnsi="Times New Roman" w:cs="Times New Roman"/>
              </w:rPr>
              <w:t>秦皇岛北戴河新区行政审批局</w:t>
            </w:r>
            <w:r>
              <w:rPr>
                <w:rFonts w:hint="eastAsia" w:ascii="Times New Roman" w:hAnsi="Times New Roman" w:cs="Times New Roman"/>
                <w:lang w:eastAsia="zh-CN"/>
              </w:rPr>
              <w:t>本级</w:t>
            </w:r>
          </w:p>
        </w:tc>
        <w:tc>
          <w:tcPr>
            <w:tcW w:w="3015" w:type="dxa"/>
            <w:gridSpan w:val="3"/>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5170" w:type="dxa"/>
            <w:gridSpan w:val="5"/>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256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8340" w:type="dxa"/>
            <w:gridSpan w:val="8"/>
            <w:noWrap w:val="0"/>
            <w:vAlign w:val="center"/>
          </w:tcPr>
          <w:p>
            <w:pPr>
              <w:pStyle w:val="29"/>
              <w:rPr>
                <w:rFonts w:hint="default" w:ascii="Times New Roman" w:hAnsi="Times New Roman" w:cs="Times New Roman"/>
              </w:rPr>
            </w:pPr>
            <w:r>
              <w:rPr>
                <w:rFonts w:hint="default" w:ascii="Times New Roman" w:hAnsi="Times New Roman" w:cs="Times New Roman"/>
              </w:rPr>
              <w:t>本年收入</w:t>
            </w:r>
          </w:p>
        </w:tc>
        <w:tc>
          <w:tcPr>
            <w:tcW w:w="910"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tblHeader/>
          <w:jc w:val="center"/>
        </w:trPr>
        <w:tc>
          <w:tcPr>
            <w:tcW w:w="682" w:type="dxa"/>
            <w:vMerge w:val="continue"/>
            <w:noWrap w:val="0"/>
            <w:vAlign w:val="top"/>
          </w:tcPr>
          <w:p>
            <w:pPr>
              <w:rPr>
                <w:rFonts w:hint="default" w:ascii="Times New Roman" w:hAnsi="Times New Roman" w:cs="Times New Roman"/>
              </w:rPr>
            </w:pPr>
          </w:p>
        </w:tc>
        <w:tc>
          <w:tcPr>
            <w:tcW w:w="1140" w:type="dxa"/>
            <w:noWrap w:val="0"/>
            <w:vAlign w:val="center"/>
          </w:tcPr>
          <w:p>
            <w:pPr>
              <w:pStyle w:val="29"/>
              <w:rPr>
                <w:rFonts w:hint="default" w:ascii="Times New Roman" w:hAnsi="Times New Roman" w:cs="Times New Roman"/>
              </w:rPr>
            </w:pPr>
            <w:r>
              <w:rPr>
                <w:rFonts w:hint="default" w:ascii="Times New Roman" w:hAnsi="Times New Roman" w:cs="Times New Roman"/>
              </w:rPr>
              <w:t>科目 编码</w:t>
            </w:r>
          </w:p>
        </w:tc>
        <w:tc>
          <w:tcPr>
            <w:tcW w:w="1425"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1095" w:type="dxa"/>
            <w:vMerge w:val="continue"/>
            <w:noWrap w:val="0"/>
            <w:vAlign w:val="top"/>
          </w:tcPr>
          <w:p>
            <w:pPr>
              <w:rPr>
                <w:rFonts w:hint="default" w:ascii="Times New Roman" w:hAnsi="Times New Roman" w:cs="Times New Roman"/>
              </w:rPr>
            </w:pPr>
          </w:p>
        </w:tc>
        <w:tc>
          <w:tcPr>
            <w:tcW w:w="1065" w:type="dxa"/>
            <w:noWrap w:val="0"/>
            <w:vAlign w:val="center"/>
          </w:tcPr>
          <w:p>
            <w:pPr>
              <w:pStyle w:val="29"/>
              <w:rPr>
                <w:rFonts w:hint="default" w:ascii="Times New Roman" w:hAnsi="Times New Roman" w:cs="Times New Roman"/>
              </w:rPr>
            </w:pPr>
            <w:r>
              <w:rPr>
                <w:rFonts w:hint="default" w:ascii="Times New Roman" w:hAnsi="Times New Roman" w:cs="Times New Roman"/>
              </w:rPr>
              <w:t>小计</w:t>
            </w:r>
          </w:p>
        </w:tc>
        <w:tc>
          <w:tcPr>
            <w:tcW w:w="1080" w:type="dxa"/>
            <w:noWrap w:val="0"/>
            <w:vAlign w:val="center"/>
          </w:tcPr>
          <w:p>
            <w:pPr>
              <w:pStyle w:val="29"/>
              <w:rPr>
                <w:rFonts w:hint="default" w:ascii="Times New Roman" w:hAnsi="Times New Roman" w:cs="Times New Roman"/>
              </w:rPr>
            </w:pPr>
            <w:r>
              <w:rPr>
                <w:rFonts w:hint="default" w:ascii="Times New Roman" w:hAnsi="Times New Roman" w:cs="Times New Roman"/>
              </w:rPr>
              <w:t>财政拨款 收入</w:t>
            </w:r>
          </w:p>
        </w:tc>
        <w:tc>
          <w:tcPr>
            <w:tcW w:w="810" w:type="dxa"/>
            <w:noWrap w:val="0"/>
            <w:vAlign w:val="center"/>
          </w:tcPr>
          <w:p>
            <w:pPr>
              <w:pStyle w:val="29"/>
              <w:rPr>
                <w:rFonts w:hint="default" w:ascii="Times New Roman" w:hAnsi="Times New Roman" w:cs="Times New Roman"/>
              </w:rPr>
            </w:pPr>
            <w:r>
              <w:rPr>
                <w:rFonts w:hint="default" w:ascii="Times New Roman" w:hAnsi="Times New Roman" w:cs="Times New Roman"/>
              </w:rPr>
              <w:t>财政专户 收入</w:t>
            </w:r>
          </w:p>
        </w:tc>
        <w:tc>
          <w:tcPr>
            <w:tcW w:w="1125" w:type="dxa"/>
            <w:noWrap w:val="0"/>
            <w:vAlign w:val="center"/>
          </w:tcPr>
          <w:p>
            <w:pPr>
              <w:pStyle w:val="29"/>
              <w:rPr>
                <w:rFonts w:hint="default" w:ascii="Times New Roman" w:hAnsi="Times New Roman" w:cs="Times New Roman"/>
              </w:rPr>
            </w:pPr>
            <w:r>
              <w:rPr>
                <w:rFonts w:hint="default" w:ascii="Times New Roman" w:hAnsi="Times New Roman" w:cs="Times New Roman"/>
              </w:rPr>
              <w:t>事业收入</w:t>
            </w:r>
          </w:p>
        </w:tc>
        <w:tc>
          <w:tcPr>
            <w:tcW w:w="1110" w:type="dxa"/>
            <w:noWrap w:val="0"/>
            <w:vAlign w:val="center"/>
          </w:tcPr>
          <w:p>
            <w:pPr>
              <w:pStyle w:val="29"/>
              <w:rPr>
                <w:rFonts w:hint="default" w:ascii="Times New Roman" w:hAnsi="Times New Roman" w:cs="Times New Roman"/>
              </w:rPr>
            </w:pPr>
            <w:r>
              <w:rPr>
                <w:rFonts w:hint="default" w:ascii="Times New Roman" w:hAnsi="Times New Roman" w:cs="Times New Roman"/>
              </w:rPr>
              <w:t>经营收入</w:t>
            </w:r>
          </w:p>
        </w:tc>
        <w:tc>
          <w:tcPr>
            <w:tcW w:w="1170" w:type="dxa"/>
            <w:noWrap w:val="0"/>
            <w:vAlign w:val="center"/>
          </w:tcPr>
          <w:p>
            <w:pPr>
              <w:pStyle w:val="29"/>
              <w:rPr>
                <w:rFonts w:hint="default" w:ascii="Times New Roman" w:hAnsi="Times New Roman" w:cs="Times New Roman"/>
              </w:rPr>
            </w:pPr>
            <w:r>
              <w:rPr>
                <w:rFonts w:hint="default" w:ascii="Times New Roman" w:hAnsi="Times New Roman" w:cs="Times New Roman"/>
              </w:rPr>
              <w:t>上级补助收入</w:t>
            </w:r>
          </w:p>
        </w:tc>
        <w:tc>
          <w:tcPr>
            <w:tcW w:w="1170" w:type="dxa"/>
            <w:noWrap w:val="0"/>
            <w:vAlign w:val="center"/>
          </w:tcPr>
          <w:p>
            <w:pPr>
              <w:pStyle w:val="29"/>
              <w:rPr>
                <w:rFonts w:hint="default" w:ascii="Times New Roman" w:hAnsi="Times New Roman" w:cs="Times New Roman"/>
              </w:rPr>
            </w:pPr>
            <w:r>
              <w:rPr>
                <w:rFonts w:hint="default" w:ascii="Times New Roman" w:hAnsi="Times New Roman" w:cs="Times New Roman"/>
              </w:rPr>
              <w:t>附属单位上缴收入</w:t>
            </w:r>
          </w:p>
        </w:tc>
        <w:tc>
          <w:tcPr>
            <w:tcW w:w="810" w:type="dxa"/>
            <w:noWrap w:val="0"/>
            <w:vAlign w:val="center"/>
          </w:tcPr>
          <w:p>
            <w:pPr>
              <w:pStyle w:val="29"/>
              <w:rPr>
                <w:rFonts w:hint="default" w:ascii="Times New Roman" w:hAnsi="Times New Roman" w:cs="Times New Roman"/>
              </w:rPr>
            </w:pPr>
            <w:r>
              <w:rPr>
                <w:rFonts w:hint="default" w:ascii="Times New Roman" w:hAnsi="Times New Roman" w:cs="Times New Roman"/>
              </w:rPr>
              <w:t>其他收入</w:t>
            </w:r>
          </w:p>
        </w:tc>
        <w:tc>
          <w:tcPr>
            <w:tcW w:w="910"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140"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425"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065"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080"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c>
          <w:tcPr>
            <w:tcW w:w="810" w:type="dxa"/>
            <w:noWrap w:val="0"/>
            <w:vAlign w:val="center"/>
          </w:tcPr>
          <w:p>
            <w:pPr>
              <w:pStyle w:val="29"/>
              <w:rPr>
                <w:rFonts w:hint="default" w:ascii="Times New Roman" w:hAnsi="Times New Roman" w:cs="Times New Roman"/>
              </w:rPr>
            </w:pPr>
            <w:r>
              <w:rPr>
                <w:rFonts w:hint="default" w:ascii="Times New Roman" w:hAnsi="Times New Roman" w:cs="Times New Roman"/>
              </w:rPr>
              <w:t>6</w:t>
            </w:r>
          </w:p>
        </w:tc>
        <w:tc>
          <w:tcPr>
            <w:tcW w:w="1125" w:type="dxa"/>
            <w:noWrap w:val="0"/>
            <w:vAlign w:val="center"/>
          </w:tcPr>
          <w:p>
            <w:pPr>
              <w:pStyle w:val="29"/>
              <w:rPr>
                <w:rFonts w:hint="default" w:ascii="Times New Roman" w:hAnsi="Times New Roman" w:cs="Times New Roman"/>
              </w:rPr>
            </w:pPr>
            <w:r>
              <w:rPr>
                <w:rFonts w:hint="default" w:ascii="Times New Roman" w:hAnsi="Times New Roman" w:cs="Times New Roman"/>
              </w:rPr>
              <w:t>7</w:t>
            </w:r>
          </w:p>
        </w:tc>
        <w:tc>
          <w:tcPr>
            <w:tcW w:w="1110" w:type="dxa"/>
            <w:noWrap w:val="0"/>
            <w:vAlign w:val="center"/>
          </w:tcPr>
          <w:p>
            <w:pPr>
              <w:pStyle w:val="29"/>
              <w:rPr>
                <w:rFonts w:hint="default" w:ascii="Times New Roman" w:hAnsi="Times New Roman" w:cs="Times New Roman"/>
              </w:rPr>
            </w:pPr>
            <w:r>
              <w:rPr>
                <w:rFonts w:hint="default" w:ascii="Times New Roman" w:hAnsi="Times New Roman" w:cs="Times New Roman"/>
              </w:rPr>
              <w:t>8</w:t>
            </w:r>
          </w:p>
        </w:tc>
        <w:tc>
          <w:tcPr>
            <w:tcW w:w="1170" w:type="dxa"/>
            <w:noWrap w:val="0"/>
            <w:vAlign w:val="center"/>
          </w:tcPr>
          <w:p>
            <w:pPr>
              <w:pStyle w:val="29"/>
              <w:rPr>
                <w:rFonts w:hint="default" w:ascii="Times New Roman" w:hAnsi="Times New Roman" w:cs="Times New Roman"/>
              </w:rPr>
            </w:pPr>
            <w:r>
              <w:rPr>
                <w:rFonts w:hint="default" w:ascii="Times New Roman" w:hAnsi="Times New Roman" w:cs="Times New Roman"/>
              </w:rPr>
              <w:t>9</w:t>
            </w:r>
          </w:p>
        </w:tc>
        <w:tc>
          <w:tcPr>
            <w:tcW w:w="1170" w:type="dxa"/>
            <w:noWrap w:val="0"/>
            <w:vAlign w:val="center"/>
          </w:tcPr>
          <w:p>
            <w:pPr>
              <w:pStyle w:val="29"/>
              <w:rPr>
                <w:rFonts w:hint="default" w:ascii="Times New Roman" w:hAnsi="Times New Roman" w:cs="Times New Roman"/>
              </w:rPr>
            </w:pPr>
            <w:r>
              <w:rPr>
                <w:rFonts w:hint="default" w:ascii="Times New Roman" w:hAnsi="Times New Roman" w:cs="Times New Roman"/>
              </w:rPr>
              <w:t>10</w:t>
            </w:r>
          </w:p>
        </w:tc>
        <w:tc>
          <w:tcPr>
            <w:tcW w:w="810" w:type="dxa"/>
            <w:noWrap w:val="0"/>
            <w:vAlign w:val="center"/>
          </w:tcPr>
          <w:p>
            <w:pPr>
              <w:pStyle w:val="29"/>
              <w:rPr>
                <w:rFonts w:hint="default" w:ascii="Times New Roman" w:hAnsi="Times New Roman" w:cs="Times New Roman"/>
              </w:rPr>
            </w:pPr>
            <w:r>
              <w:rPr>
                <w:rFonts w:hint="default" w:ascii="Times New Roman" w:hAnsi="Times New Roman" w:cs="Times New Roman"/>
              </w:rPr>
              <w:t>11</w:t>
            </w:r>
          </w:p>
        </w:tc>
        <w:tc>
          <w:tcPr>
            <w:tcW w:w="910" w:type="dxa"/>
            <w:noWrap w:val="0"/>
            <w:vAlign w:val="center"/>
          </w:tcPr>
          <w:p>
            <w:pPr>
              <w:pStyle w:val="29"/>
              <w:rPr>
                <w:rFonts w:hint="default" w:ascii="Times New Roman" w:hAnsi="Times New Roman" w:cs="Times New Roman"/>
              </w:rPr>
            </w:pPr>
            <w:r>
              <w:rPr>
                <w:rFonts w:hint="default"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140" w:type="dxa"/>
            <w:noWrap w:val="0"/>
            <w:vAlign w:val="center"/>
          </w:tcPr>
          <w:p>
            <w:pPr>
              <w:pStyle w:val="15"/>
              <w:rPr>
                <w:rFonts w:hint="default" w:ascii="Times New Roman" w:hAnsi="Times New Roman" w:cs="Times New Roman"/>
              </w:rPr>
            </w:pPr>
          </w:p>
        </w:tc>
        <w:tc>
          <w:tcPr>
            <w:tcW w:w="1425"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1095" w:type="dxa"/>
            <w:noWrap w:val="0"/>
            <w:vAlign w:val="center"/>
          </w:tcPr>
          <w:p>
            <w:pPr>
              <w:pStyle w:val="25"/>
              <w:rPr>
                <w:rFonts w:hint="eastAsia" w:ascii="Times New Roman" w:hAnsi="Times New Roman" w:eastAsia="方正书宋_GBK" w:cs="Times New Roman"/>
                <w:lang w:val="en-US" w:eastAsia="zh-C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c>
          <w:tcPr>
            <w:tcW w:w="1065" w:type="dxa"/>
            <w:noWrap w:val="0"/>
            <w:vAlign w:val="center"/>
          </w:tcPr>
          <w:p>
            <w:pPr>
              <w:pStyle w:val="25"/>
              <w:rPr>
                <w:rFonts w:hint="eastAsia" w:ascii="Times New Roman" w:hAnsi="Times New Roman" w:eastAsia="方正书宋_GBK" w:cs="Times New Roman"/>
                <w:lang w:val="en-US" w:eastAsia="zh-C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c>
          <w:tcPr>
            <w:tcW w:w="1080" w:type="dxa"/>
            <w:noWrap w:val="0"/>
            <w:vAlign w:val="center"/>
          </w:tcPr>
          <w:p>
            <w:pPr>
              <w:pStyle w:val="25"/>
              <w:rPr>
                <w:rFonts w:hint="eastAsia" w:ascii="Times New Roman" w:hAnsi="Times New Roman" w:eastAsia="方正书宋_GBK" w:cs="Times New Roman"/>
                <w:lang w:val="en-US" w:eastAsia="zh-C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c>
          <w:tcPr>
            <w:tcW w:w="810" w:type="dxa"/>
            <w:noWrap w:val="0"/>
            <w:vAlign w:val="center"/>
          </w:tcPr>
          <w:p>
            <w:pPr>
              <w:pStyle w:val="25"/>
              <w:rPr>
                <w:rFonts w:hint="default" w:ascii="Times New Roman" w:hAnsi="Times New Roman" w:cs="Times New Roman"/>
              </w:rPr>
            </w:pPr>
          </w:p>
        </w:tc>
        <w:tc>
          <w:tcPr>
            <w:tcW w:w="1125" w:type="dxa"/>
            <w:noWrap w:val="0"/>
            <w:vAlign w:val="center"/>
          </w:tcPr>
          <w:p>
            <w:pPr>
              <w:pStyle w:val="25"/>
              <w:rPr>
                <w:rFonts w:hint="default" w:ascii="Times New Roman" w:hAnsi="Times New Roman" w:cs="Times New Roman"/>
              </w:rPr>
            </w:pPr>
          </w:p>
        </w:tc>
        <w:tc>
          <w:tcPr>
            <w:tcW w:w="1110" w:type="dxa"/>
            <w:noWrap w:val="0"/>
            <w:vAlign w:val="center"/>
          </w:tcPr>
          <w:p>
            <w:pPr>
              <w:pStyle w:val="25"/>
              <w:rPr>
                <w:rFonts w:hint="default" w:ascii="Times New Roman" w:hAnsi="Times New Roman" w:cs="Times New Roman"/>
              </w:rPr>
            </w:pPr>
          </w:p>
        </w:tc>
        <w:tc>
          <w:tcPr>
            <w:tcW w:w="1170" w:type="dxa"/>
            <w:noWrap w:val="0"/>
            <w:vAlign w:val="center"/>
          </w:tcPr>
          <w:p>
            <w:pPr>
              <w:pStyle w:val="25"/>
              <w:rPr>
                <w:rFonts w:hint="default" w:ascii="Times New Roman" w:hAnsi="Times New Roman" w:cs="Times New Roman"/>
              </w:rPr>
            </w:pPr>
          </w:p>
        </w:tc>
        <w:tc>
          <w:tcPr>
            <w:tcW w:w="1170" w:type="dxa"/>
            <w:noWrap w:val="0"/>
            <w:vAlign w:val="center"/>
          </w:tcPr>
          <w:p>
            <w:pPr>
              <w:pStyle w:val="25"/>
              <w:rPr>
                <w:rFonts w:hint="default" w:ascii="Times New Roman" w:hAnsi="Times New Roman" w:cs="Times New Roman"/>
              </w:rPr>
            </w:pPr>
          </w:p>
        </w:tc>
        <w:tc>
          <w:tcPr>
            <w:tcW w:w="810" w:type="dxa"/>
            <w:noWrap w:val="0"/>
            <w:vAlign w:val="center"/>
          </w:tcPr>
          <w:p>
            <w:pPr>
              <w:pStyle w:val="25"/>
              <w:rPr>
                <w:rFonts w:hint="default" w:ascii="Times New Roman" w:hAnsi="Times New Roman" w:cs="Times New Roman"/>
              </w:rPr>
            </w:pPr>
          </w:p>
        </w:tc>
        <w:tc>
          <w:tcPr>
            <w:tcW w:w="910" w:type="dxa"/>
            <w:noWrap w:val="0"/>
            <w:vAlign w:val="center"/>
          </w:tcPr>
          <w:p>
            <w:pPr>
              <w:pStyle w:val="2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一般公共服务支出</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0"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20103</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政府办公厅（室）及相关机构事务</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2010306</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政务公开审批</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社会保障和就业支出</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20805</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行政事业单位养老支出</w:t>
            </w:r>
          </w:p>
        </w:tc>
        <w:tc>
          <w:tcPr>
            <w:tcW w:w="1095"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65"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80"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5"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2080501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行政单位离退休</w:t>
            </w:r>
          </w:p>
        </w:tc>
        <w:tc>
          <w:tcPr>
            <w:tcW w:w="1095"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1.7</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1.7</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1.7</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2080505</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机关事业单位基本养老保险缴费支出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2080506</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机关事业单位职业年金缴费支出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210</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卫生健康支出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21011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行政事业单位医疗</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2101101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行政单位医疗</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221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住房保障支出</w:t>
            </w:r>
          </w:p>
        </w:tc>
        <w:tc>
          <w:tcPr>
            <w:tcW w:w="1095" w:type="dxa"/>
            <w:noWrap w:val="0"/>
            <w:vAlign w:val="center"/>
          </w:tcPr>
          <w:p>
            <w:pPr>
              <w:pStyle w:val="12"/>
              <w:rPr>
                <w:rFonts w:hint="default" w:ascii="Times New Roman" w:hAnsi="Times New Roman" w:cs="Times New Roman"/>
                <w:lang w:val="en-US"/>
              </w:rPr>
            </w:pPr>
            <w:r>
              <w:rPr>
                <w:rFonts w:hint="eastAsia" w:ascii="Times New Roman" w:hAnsi="Times New Roman" w:cs="Times New Roman"/>
                <w:lang w:val="en-US" w:eastAsia="zh-CN"/>
              </w:rPr>
              <w:t>42.73</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22102</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住房改革支出</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140" w:type="dxa"/>
            <w:noWrap w:val="0"/>
            <w:vAlign w:val="center"/>
          </w:tcPr>
          <w:p>
            <w:pPr>
              <w:pStyle w:val="16"/>
              <w:rPr>
                <w:rFonts w:hint="default" w:ascii="Times New Roman" w:hAnsi="Times New Roman" w:cs="Times New Roman"/>
              </w:rPr>
            </w:pPr>
            <w:r>
              <w:rPr>
                <w:rFonts w:hint="default" w:ascii="Times New Roman" w:hAnsi="Times New Roman" w:cs="Times New Roman"/>
              </w:rPr>
              <w:t>2210201</w:t>
            </w:r>
          </w:p>
        </w:tc>
        <w:tc>
          <w:tcPr>
            <w:tcW w:w="1425" w:type="dxa"/>
            <w:noWrap w:val="0"/>
            <w:vAlign w:val="center"/>
          </w:tcPr>
          <w:p>
            <w:pPr>
              <w:pStyle w:val="16"/>
              <w:rPr>
                <w:rFonts w:hint="default" w:ascii="Times New Roman" w:hAnsi="Times New Roman" w:cs="Times New Roman"/>
              </w:rPr>
            </w:pPr>
            <w:r>
              <w:rPr>
                <w:rFonts w:hint="default" w:ascii="Times New Roman" w:hAnsi="Times New Roman" w:cs="Times New Roman"/>
              </w:rPr>
              <w:t>住房公积金</w:t>
            </w:r>
          </w:p>
        </w:tc>
        <w:tc>
          <w:tcPr>
            <w:tcW w:w="109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6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08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810" w:type="dxa"/>
            <w:noWrap w:val="0"/>
            <w:vAlign w:val="center"/>
          </w:tcPr>
          <w:p>
            <w:pPr>
              <w:pStyle w:val="12"/>
              <w:rPr>
                <w:rFonts w:hint="default" w:ascii="Times New Roman" w:hAnsi="Times New Roman" w:cs="Times New Roman"/>
              </w:rPr>
            </w:pPr>
          </w:p>
        </w:tc>
        <w:tc>
          <w:tcPr>
            <w:tcW w:w="1125" w:type="dxa"/>
            <w:noWrap w:val="0"/>
            <w:vAlign w:val="center"/>
          </w:tcPr>
          <w:p>
            <w:pPr>
              <w:pStyle w:val="12"/>
              <w:rPr>
                <w:rFonts w:hint="default" w:ascii="Times New Roman" w:hAnsi="Times New Roman" w:cs="Times New Roman"/>
              </w:rPr>
            </w:pPr>
          </w:p>
        </w:tc>
        <w:tc>
          <w:tcPr>
            <w:tcW w:w="111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1170" w:type="dxa"/>
            <w:noWrap w:val="0"/>
            <w:vAlign w:val="center"/>
          </w:tcPr>
          <w:p>
            <w:pPr>
              <w:pStyle w:val="12"/>
              <w:rPr>
                <w:rFonts w:hint="default" w:ascii="Times New Roman" w:hAnsi="Times New Roman" w:cs="Times New Roman"/>
              </w:rPr>
            </w:pPr>
          </w:p>
        </w:tc>
        <w:tc>
          <w:tcPr>
            <w:tcW w:w="810" w:type="dxa"/>
            <w:noWrap w:val="0"/>
            <w:vAlign w:val="center"/>
          </w:tcPr>
          <w:p>
            <w:pPr>
              <w:pStyle w:val="12"/>
              <w:rPr>
                <w:rFonts w:hint="default" w:ascii="Times New Roman" w:hAnsi="Times New Roman" w:cs="Times New Roman"/>
              </w:rPr>
            </w:pPr>
          </w:p>
        </w:tc>
        <w:tc>
          <w:tcPr>
            <w:tcW w:w="910" w:type="dxa"/>
            <w:noWrap w:val="0"/>
            <w:vAlign w:val="center"/>
          </w:tcPr>
          <w:p>
            <w:pPr>
              <w:pStyle w:val="12"/>
              <w:rPr>
                <w:rFonts w:hint="default" w:ascii="Times New Roman" w:hAnsi="Times New Roman" w:cs="Times New Roman"/>
              </w:rPr>
            </w:pPr>
          </w:p>
        </w:tc>
      </w:tr>
    </w:tbl>
    <w:p>
      <w:pPr>
        <w:spacing w:before="0" w:after="0" w:line="240" w:lineRule="auto"/>
        <w:ind w:firstLine="0"/>
        <w:jc w:val="center"/>
        <w:outlineLvl w:val="4"/>
        <w:rPr>
          <w:rFonts w:hint="default" w:ascii="Times New Roman" w:hAnsi="Times New Roman" w:eastAsia="方正小标宋_GBK" w:cs="Times New Roman"/>
          <w:color w:val="000000"/>
          <w:sz w:val="36"/>
        </w:rPr>
      </w:pPr>
    </w:p>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eastAsia="方正小标宋_GBK" w:cs="Times New Roman"/>
          <w:color w:val="000000"/>
          <w:sz w:val="36"/>
        </w:rPr>
      </w:pPr>
      <w:r>
        <w:rPr>
          <w:rFonts w:hint="default" w:ascii="Times New Roman" w:hAnsi="Times New Roman" w:eastAsia="方正小标宋_GBK" w:cs="Times New Roman"/>
          <w:color w:val="000000"/>
          <w:sz w:val="36"/>
        </w:rPr>
        <w:t>单位预算支出总表</w:t>
      </w:r>
    </w:p>
    <w:tbl>
      <w:tblPr>
        <w:tblStyle w:val="8"/>
        <w:tblpPr w:leftFromText="180" w:rightFromText="180" w:vertAnchor="text" w:horzAnchor="page" w:tblpX="1689" w:tblpY="63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9"/>
        <w:gridCol w:w="1245"/>
        <w:gridCol w:w="2089"/>
        <w:gridCol w:w="885"/>
        <w:gridCol w:w="1140"/>
        <w:gridCol w:w="703"/>
        <w:gridCol w:w="1095"/>
        <w:gridCol w:w="1095"/>
        <w:gridCol w:w="4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643" w:type="dxa"/>
            <w:gridSpan w:val="3"/>
            <w:tcBorders>
              <w:top w:val="single" w:color="FFFFFF" w:sz="6" w:space="0"/>
              <w:left w:val="single" w:color="FFFFFF" w:sz="6" w:space="0"/>
              <w:right w:val="single" w:color="FFFFFF" w:sz="6" w:space="0"/>
            </w:tcBorders>
            <w:noWrap w:val="0"/>
            <w:vAlign w:val="center"/>
          </w:tcPr>
          <w:p>
            <w:pPr>
              <w:pStyle w:val="30"/>
              <w:rPr>
                <w:rFonts w:hint="eastAsia" w:ascii="Times New Roman" w:hAnsi="Times New Roman" w:eastAsia="方正小标宋_GBK" w:cs="Times New Roman"/>
                <w:lang w:eastAsia="zh-CN"/>
              </w:rPr>
            </w:pPr>
            <w:r>
              <w:rPr>
                <w:rFonts w:hint="default" w:ascii="Times New Roman" w:hAnsi="Times New Roman" w:cs="Times New Roman"/>
              </w:rPr>
              <w:t>316</w:t>
            </w:r>
            <w:r>
              <w:rPr>
                <w:rFonts w:hint="eastAsia" w:ascii="Times New Roman" w:hAnsi="Times New Roman" w:cs="Times New Roman"/>
                <w:lang w:val="en-US" w:eastAsia="zh-CN"/>
              </w:rPr>
              <w:t>001</w:t>
            </w:r>
            <w:r>
              <w:rPr>
                <w:rFonts w:hint="default" w:ascii="Times New Roman" w:hAnsi="Times New Roman" w:cs="Times New Roman"/>
              </w:rPr>
              <w:t>秦皇岛北戴河新区行政审批局</w:t>
            </w:r>
            <w:r>
              <w:rPr>
                <w:rFonts w:hint="eastAsia" w:ascii="Times New Roman" w:hAnsi="Times New Roman" w:cs="Times New Roman"/>
                <w:lang w:eastAsia="zh-CN"/>
              </w:rPr>
              <w:t>本级</w:t>
            </w:r>
          </w:p>
        </w:tc>
        <w:tc>
          <w:tcPr>
            <w:tcW w:w="2025" w:type="dxa"/>
            <w:gridSpan w:val="2"/>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7005" w:type="dxa"/>
            <w:gridSpan w:val="4"/>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09"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3334"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88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140"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基本支出</w:t>
            </w:r>
          </w:p>
        </w:tc>
        <w:tc>
          <w:tcPr>
            <w:tcW w:w="70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项目支出</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经营支出</w:t>
            </w:r>
          </w:p>
        </w:tc>
        <w:tc>
          <w:tcPr>
            <w:tcW w:w="109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上解上级     支出</w:t>
            </w:r>
          </w:p>
        </w:tc>
        <w:tc>
          <w:tcPr>
            <w:tcW w:w="4112"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09" w:type="dxa"/>
            <w:vMerge w:val="continue"/>
            <w:noWrap w:val="0"/>
            <w:vAlign w:val="top"/>
          </w:tcPr>
          <w:p>
            <w:pPr>
              <w:rPr>
                <w:rFonts w:hint="default" w:ascii="Times New Roman" w:hAnsi="Times New Roman" w:cs="Times New Roman"/>
              </w:rPr>
            </w:pPr>
          </w:p>
        </w:tc>
        <w:tc>
          <w:tcPr>
            <w:tcW w:w="1245" w:type="dxa"/>
            <w:noWrap w:val="0"/>
            <w:vAlign w:val="center"/>
          </w:tcPr>
          <w:p>
            <w:pPr>
              <w:pStyle w:val="29"/>
              <w:rPr>
                <w:rFonts w:hint="default" w:ascii="Times New Roman" w:hAnsi="Times New Roman" w:cs="Times New Roman"/>
              </w:rPr>
            </w:pPr>
            <w:r>
              <w:rPr>
                <w:rFonts w:hint="default" w:ascii="Times New Roman" w:hAnsi="Times New Roman" w:cs="Times New Roman"/>
              </w:rPr>
              <w:t>科目    编码</w:t>
            </w:r>
          </w:p>
        </w:tc>
        <w:tc>
          <w:tcPr>
            <w:tcW w:w="2089"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885" w:type="dxa"/>
            <w:vMerge w:val="continue"/>
            <w:noWrap w:val="0"/>
            <w:vAlign w:val="top"/>
          </w:tcPr>
          <w:p>
            <w:pPr>
              <w:rPr>
                <w:rFonts w:hint="default" w:ascii="Times New Roman" w:hAnsi="Times New Roman" w:cs="Times New Roman"/>
              </w:rPr>
            </w:pPr>
          </w:p>
        </w:tc>
        <w:tc>
          <w:tcPr>
            <w:tcW w:w="1140" w:type="dxa"/>
            <w:vMerge w:val="continue"/>
            <w:noWrap w:val="0"/>
            <w:vAlign w:val="top"/>
          </w:tcPr>
          <w:p>
            <w:pPr>
              <w:rPr>
                <w:rFonts w:hint="default" w:ascii="Times New Roman" w:hAnsi="Times New Roman" w:cs="Times New Roman"/>
              </w:rPr>
            </w:pPr>
          </w:p>
        </w:tc>
        <w:tc>
          <w:tcPr>
            <w:tcW w:w="703" w:type="dxa"/>
            <w:vMerge w:val="continue"/>
            <w:noWrap w:val="0"/>
            <w:vAlign w:val="top"/>
          </w:tcPr>
          <w:p>
            <w:pPr>
              <w:rPr>
                <w:rFonts w:hint="default" w:ascii="Times New Roman" w:hAnsi="Times New Roman" w:cs="Times New Roman"/>
              </w:rPr>
            </w:pPr>
          </w:p>
        </w:tc>
        <w:tc>
          <w:tcPr>
            <w:tcW w:w="1095" w:type="dxa"/>
            <w:vMerge w:val="continue"/>
            <w:noWrap w:val="0"/>
            <w:vAlign w:val="top"/>
          </w:tcPr>
          <w:p>
            <w:pPr>
              <w:rPr>
                <w:rFonts w:hint="default" w:ascii="Times New Roman" w:hAnsi="Times New Roman" w:cs="Times New Roman"/>
              </w:rPr>
            </w:pPr>
          </w:p>
        </w:tc>
        <w:tc>
          <w:tcPr>
            <w:tcW w:w="1095" w:type="dxa"/>
            <w:vMerge w:val="continue"/>
            <w:noWrap w:val="0"/>
            <w:vAlign w:val="top"/>
          </w:tcPr>
          <w:p>
            <w:pPr>
              <w:rPr>
                <w:rFonts w:hint="default" w:ascii="Times New Roman" w:hAnsi="Times New Roman" w:cs="Times New Roman"/>
              </w:rPr>
            </w:pPr>
          </w:p>
        </w:tc>
        <w:tc>
          <w:tcPr>
            <w:tcW w:w="4112"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09"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245"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2089"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885"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140"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70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6</w:t>
            </w:r>
          </w:p>
        </w:tc>
        <w:tc>
          <w:tcPr>
            <w:tcW w:w="1095" w:type="dxa"/>
            <w:noWrap w:val="0"/>
            <w:vAlign w:val="center"/>
          </w:tcPr>
          <w:p>
            <w:pPr>
              <w:pStyle w:val="29"/>
              <w:rPr>
                <w:rFonts w:hint="default" w:ascii="Times New Roman" w:hAnsi="Times New Roman" w:cs="Times New Roman"/>
              </w:rPr>
            </w:pPr>
            <w:r>
              <w:rPr>
                <w:rFonts w:hint="default" w:ascii="Times New Roman" w:hAnsi="Times New Roman" w:cs="Times New Roman"/>
              </w:rPr>
              <w:t>7</w:t>
            </w:r>
          </w:p>
        </w:tc>
        <w:tc>
          <w:tcPr>
            <w:tcW w:w="4112" w:type="dxa"/>
            <w:noWrap w:val="0"/>
            <w:vAlign w:val="center"/>
          </w:tcPr>
          <w:p>
            <w:pPr>
              <w:pStyle w:val="29"/>
              <w:rPr>
                <w:rFonts w:hint="default" w:ascii="Times New Roman" w:hAnsi="Times New Roman" w:cs="Times New Roman"/>
              </w:rPr>
            </w:pPr>
            <w:r>
              <w:rPr>
                <w:rFonts w:hint="default" w:ascii="Times New Roman" w:hAnsi="Times New Roman"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245" w:type="dxa"/>
            <w:noWrap w:val="0"/>
            <w:vAlign w:val="center"/>
          </w:tcPr>
          <w:p>
            <w:pPr>
              <w:pStyle w:val="15"/>
              <w:rPr>
                <w:rFonts w:hint="default" w:ascii="Times New Roman" w:hAnsi="Times New Roman" w:cs="Times New Roman"/>
              </w:rPr>
            </w:pPr>
          </w:p>
        </w:tc>
        <w:tc>
          <w:tcPr>
            <w:tcW w:w="2089"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885"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lang w:val="en-US" w:eastAsia="zh-CN"/>
              </w:rPr>
              <w:t>756.13</w:t>
            </w:r>
          </w:p>
        </w:tc>
        <w:tc>
          <w:tcPr>
            <w:tcW w:w="1140"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lang w:val="en-US" w:eastAsia="zh-CN"/>
              </w:rPr>
              <w:t>756.13</w:t>
            </w:r>
          </w:p>
        </w:tc>
        <w:tc>
          <w:tcPr>
            <w:tcW w:w="703"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lang w:val="en-US" w:eastAsia="zh-CN"/>
              </w:rPr>
              <w:t>756.13</w:t>
            </w:r>
          </w:p>
        </w:tc>
        <w:tc>
          <w:tcPr>
            <w:tcW w:w="1095" w:type="dxa"/>
            <w:noWrap w:val="0"/>
            <w:vAlign w:val="center"/>
          </w:tcPr>
          <w:p>
            <w:pPr>
              <w:pStyle w:val="25"/>
              <w:rPr>
                <w:rFonts w:hint="default" w:ascii="Times New Roman" w:hAnsi="Times New Roman" w:cs="Times New Roman"/>
              </w:rPr>
            </w:pPr>
          </w:p>
        </w:tc>
        <w:tc>
          <w:tcPr>
            <w:tcW w:w="1095" w:type="dxa"/>
            <w:noWrap w:val="0"/>
            <w:vAlign w:val="center"/>
          </w:tcPr>
          <w:p>
            <w:pPr>
              <w:pStyle w:val="25"/>
              <w:rPr>
                <w:rFonts w:hint="default" w:ascii="Times New Roman" w:hAnsi="Times New Roman" w:cs="Times New Roman"/>
              </w:rPr>
            </w:pPr>
          </w:p>
        </w:tc>
        <w:tc>
          <w:tcPr>
            <w:tcW w:w="4112" w:type="dxa"/>
            <w:noWrap w:val="0"/>
            <w:vAlign w:val="center"/>
          </w:tcPr>
          <w:p>
            <w:pPr>
              <w:pStyle w:val="2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201</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一般公共服务支出</w:t>
            </w:r>
          </w:p>
        </w:tc>
        <w:tc>
          <w:tcPr>
            <w:tcW w:w="88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70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115.00</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20103</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政府办公厅（室）及相关机构事务</w:t>
            </w:r>
          </w:p>
        </w:tc>
        <w:tc>
          <w:tcPr>
            <w:tcW w:w="88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703" w:type="dxa"/>
            <w:noWrap w:val="0"/>
            <w:vAlign w:val="center"/>
          </w:tcPr>
          <w:p>
            <w:pPr>
              <w:pStyle w:val="12"/>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2010306</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政务公开审批</w:t>
            </w:r>
          </w:p>
        </w:tc>
        <w:tc>
          <w:tcPr>
            <w:tcW w:w="88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703" w:type="dxa"/>
            <w:noWrap w:val="0"/>
            <w:vAlign w:val="center"/>
          </w:tcPr>
          <w:p>
            <w:pPr>
              <w:pStyle w:val="12"/>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社会保障和就业支出</w:t>
            </w:r>
          </w:p>
        </w:tc>
        <w:tc>
          <w:tcPr>
            <w:tcW w:w="88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20805</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行政事业单位养老支出</w:t>
            </w:r>
          </w:p>
        </w:tc>
        <w:tc>
          <w:tcPr>
            <w:tcW w:w="88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2080501</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行政单位离退休</w:t>
            </w:r>
          </w:p>
        </w:tc>
        <w:tc>
          <w:tcPr>
            <w:tcW w:w="885" w:type="dxa"/>
            <w:noWrap w:val="0"/>
            <w:vAlign w:val="center"/>
          </w:tcPr>
          <w:p>
            <w:pPr>
              <w:pStyle w:val="12"/>
              <w:rPr>
                <w:rFonts w:hint="default" w:ascii="Times New Roman" w:hAnsi="Times New Roman" w:cs="Times New Roman"/>
              </w:rPr>
            </w:pPr>
            <w:r>
              <w:rPr>
                <w:rFonts w:hint="default" w:ascii="Times New Roman" w:hAnsi="Times New Roman" w:eastAsia="方正书宋_GBK" w:cs="Times New Roman"/>
              </w:rPr>
              <w:t>1.</w:t>
            </w:r>
            <w:r>
              <w:rPr>
                <w:rFonts w:hint="eastAsia" w:ascii="Times New Roman" w:hAnsi="Times New Roman" w:eastAsia="方正书宋_GBK" w:cs="Times New Roman"/>
                <w:lang w:val="en-US" w:eastAsia="zh-CN"/>
              </w:rPr>
              <w:t>70</w:t>
            </w:r>
          </w:p>
        </w:tc>
        <w:tc>
          <w:tcPr>
            <w:tcW w:w="1140" w:type="dxa"/>
            <w:noWrap w:val="0"/>
            <w:vAlign w:val="center"/>
          </w:tcPr>
          <w:p>
            <w:pPr>
              <w:pStyle w:val="12"/>
              <w:rPr>
                <w:rFonts w:hint="default" w:ascii="Times New Roman" w:hAnsi="Times New Roman" w:cs="Times New Roman"/>
              </w:rPr>
            </w:pPr>
            <w:r>
              <w:rPr>
                <w:rFonts w:hint="default" w:ascii="Times New Roman" w:hAnsi="Times New Roman" w:eastAsia="方正书宋_GBK" w:cs="Times New Roman"/>
              </w:rPr>
              <w:t>1.</w:t>
            </w:r>
            <w:r>
              <w:rPr>
                <w:rFonts w:hint="eastAsia" w:ascii="Times New Roman" w:hAnsi="Times New Roman" w:eastAsia="方正书宋_GBK" w:cs="Times New Roman"/>
                <w:lang w:val="en-US" w:eastAsia="zh-CN"/>
              </w:rPr>
              <w:t>70</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2080505</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机关事业单位基本养老保险缴费支出</w:t>
            </w:r>
          </w:p>
        </w:tc>
        <w:tc>
          <w:tcPr>
            <w:tcW w:w="88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2080506</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机关事业单位职业年金缴费支出</w:t>
            </w:r>
          </w:p>
        </w:tc>
        <w:tc>
          <w:tcPr>
            <w:tcW w:w="88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210</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卫生健康支出</w:t>
            </w:r>
          </w:p>
        </w:tc>
        <w:tc>
          <w:tcPr>
            <w:tcW w:w="885"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140"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21011</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行政事业单位医疗</w:t>
            </w:r>
          </w:p>
        </w:tc>
        <w:tc>
          <w:tcPr>
            <w:tcW w:w="885"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140" w:type="dxa"/>
            <w:noWrap w:val="0"/>
            <w:vAlign w:val="center"/>
          </w:tcPr>
          <w:p>
            <w:pPr>
              <w:pStyle w:val="12"/>
              <w:rPr>
                <w:rFonts w:hint="default" w:ascii="Times New Roman" w:hAnsi="Times New Roman" w:cs="Times New Roma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2101101</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行政单位医疗</w:t>
            </w:r>
          </w:p>
        </w:tc>
        <w:tc>
          <w:tcPr>
            <w:tcW w:w="885" w:type="dxa"/>
            <w:noWrap w:val="0"/>
            <w:vAlign w:val="center"/>
          </w:tcPr>
          <w:p>
            <w:pPr>
              <w:pStyle w:val="12"/>
              <w:rPr>
                <w:rFonts w:hint="default" w:ascii="Times New Roman" w:hAnsi="Times New Roman" w:cs="Times New Roma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140" w:type="dxa"/>
            <w:noWrap w:val="0"/>
            <w:vAlign w:val="center"/>
          </w:tcPr>
          <w:p>
            <w:pPr>
              <w:pStyle w:val="12"/>
              <w:rPr>
                <w:rFonts w:hint="default" w:ascii="Times New Roman" w:hAnsi="Times New Roman" w:cs="Times New Roma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221</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住房保障支出</w:t>
            </w:r>
          </w:p>
        </w:tc>
        <w:tc>
          <w:tcPr>
            <w:tcW w:w="885"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140"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22102</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住房改革支出</w:t>
            </w:r>
          </w:p>
        </w:tc>
        <w:tc>
          <w:tcPr>
            <w:tcW w:w="88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09"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245" w:type="dxa"/>
            <w:noWrap w:val="0"/>
            <w:vAlign w:val="center"/>
          </w:tcPr>
          <w:p>
            <w:pPr>
              <w:pStyle w:val="16"/>
              <w:rPr>
                <w:rFonts w:hint="default" w:ascii="Times New Roman" w:hAnsi="Times New Roman" w:cs="Times New Roman"/>
              </w:rPr>
            </w:pPr>
            <w:r>
              <w:rPr>
                <w:rFonts w:hint="default" w:ascii="Times New Roman" w:hAnsi="Times New Roman" w:cs="Times New Roman"/>
              </w:rPr>
              <w:t>2210201</w:t>
            </w:r>
          </w:p>
        </w:tc>
        <w:tc>
          <w:tcPr>
            <w:tcW w:w="2089" w:type="dxa"/>
            <w:noWrap w:val="0"/>
            <w:vAlign w:val="center"/>
          </w:tcPr>
          <w:p>
            <w:pPr>
              <w:pStyle w:val="16"/>
              <w:rPr>
                <w:rFonts w:hint="default" w:ascii="Times New Roman" w:hAnsi="Times New Roman" w:cs="Times New Roman"/>
              </w:rPr>
            </w:pPr>
            <w:r>
              <w:rPr>
                <w:rFonts w:hint="default" w:ascii="Times New Roman" w:hAnsi="Times New Roman" w:cs="Times New Roman"/>
              </w:rPr>
              <w:t>住房公积金</w:t>
            </w:r>
          </w:p>
        </w:tc>
        <w:tc>
          <w:tcPr>
            <w:tcW w:w="885"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1140"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42.73</w:t>
            </w:r>
          </w:p>
        </w:tc>
        <w:tc>
          <w:tcPr>
            <w:tcW w:w="703"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1095" w:type="dxa"/>
            <w:noWrap w:val="0"/>
            <w:vAlign w:val="center"/>
          </w:tcPr>
          <w:p>
            <w:pPr>
              <w:pStyle w:val="12"/>
              <w:rPr>
                <w:rFonts w:hint="default" w:ascii="Times New Roman" w:hAnsi="Times New Roman" w:cs="Times New Roman"/>
              </w:rPr>
            </w:pPr>
          </w:p>
        </w:tc>
        <w:tc>
          <w:tcPr>
            <w:tcW w:w="4112" w:type="dxa"/>
            <w:noWrap w:val="0"/>
            <w:vAlign w:val="center"/>
          </w:tcPr>
          <w:p>
            <w:pPr>
              <w:pStyle w:val="12"/>
              <w:rPr>
                <w:rFonts w:hint="default" w:ascii="Times New Roman" w:hAnsi="Times New Roman" w:cs="Times New Roman"/>
              </w:rPr>
            </w:pPr>
          </w:p>
        </w:tc>
      </w:tr>
    </w:tbl>
    <w:p>
      <w:pPr>
        <w:spacing w:before="0" w:after="0" w:line="240" w:lineRule="auto"/>
        <w:ind w:firstLine="0"/>
        <w:jc w:val="center"/>
        <w:outlineLvl w:val="4"/>
        <w:rPr>
          <w:rFonts w:hint="default" w:ascii="Times New Roman" w:hAnsi="Times New Roman" w:eastAsia="方正小标宋_GBK" w:cs="Times New Roman"/>
          <w:color w:val="000000"/>
          <w:sz w:val="36"/>
        </w:rPr>
      </w:pPr>
    </w:p>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eastAsia="方正小标宋_GBK" w:cs="Times New Roman"/>
          <w:color w:val="000000"/>
          <w:sz w:val="36"/>
        </w:rPr>
      </w:pPr>
      <w:r>
        <w:rPr>
          <w:rFonts w:hint="default" w:ascii="Times New Roman" w:hAnsi="Times New Roman" w:eastAsia="方正小标宋_GBK" w:cs="Times New Roman"/>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1350"/>
        <w:gridCol w:w="1972"/>
        <w:gridCol w:w="1650"/>
        <w:gridCol w:w="758"/>
        <w:gridCol w:w="1011"/>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9" w:type="dxa"/>
            <w:gridSpan w:val="3"/>
            <w:tcBorders>
              <w:top w:val="single" w:color="FFFFFF" w:sz="6" w:space="0"/>
              <w:left w:val="single" w:color="FFFFFF" w:sz="6" w:space="0"/>
              <w:right w:val="single" w:color="FFFFFF" w:sz="6" w:space="0"/>
            </w:tcBorders>
            <w:noWrap w:val="0"/>
            <w:vAlign w:val="center"/>
          </w:tcPr>
          <w:p>
            <w:pPr>
              <w:pStyle w:val="30"/>
              <w:rPr>
                <w:rFonts w:hint="eastAsia" w:ascii="Times New Roman" w:hAnsi="Times New Roman" w:eastAsia="方正小标宋_GBK" w:cs="Times New Roman"/>
                <w:lang w:eastAsia="zh-CN"/>
              </w:rPr>
            </w:pPr>
            <w:r>
              <w:rPr>
                <w:rFonts w:hint="default" w:ascii="Times New Roman" w:hAnsi="Times New Roman" w:cs="Times New Roman"/>
              </w:rPr>
              <w:t>316</w:t>
            </w:r>
            <w:r>
              <w:rPr>
                <w:rFonts w:hint="eastAsia" w:ascii="Times New Roman" w:hAnsi="Times New Roman" w:cs="Times New Roman"/>
                <w:lang w:val="en-US" w:eastAsia="zh-CN"/>
              </w:rPr>
              <w:t>001</w:t>
            </w:r>
            <w:r>
              <w:rPr>
                <w:rFonts w:hint="default" w:ascii="Times New Roman" w:hAnsi="Times New Roman" w:cs="Times New Roman"/>
              </w:rPr>
              <w:t>秦皇岛北戴河新区行政审批局</w:t>
            </w:r>
            <w:r>
              <w:rPr>
                <w:rFonts w:hint="eastAsia" w:ascii="Times New Roman" w:hAnsi="Times New Roman" w:cs="Times New Roman"/>
                <w:lang w:eastAsia="zh-CN"/>
              </w:rPr>
              <w:t>本级</w:t>
            </w:r>
          </w:p>
        </w:tc>
        <w:tc>
          <w:tcPr>
            <w:tcW w:w="1650"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4233" w:type="dxa"/>
            <w:gridSpan w:val="4"/>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restart"/>
            <w:noWrap w:val="0"/>
            <w:vAlign w:val="center"/>
          </w:tcPr>
          <w:p>
            <w:pPr>
              <w:pStyle w:val="29"/>
              <w:ind w:left="-960" w:leftChars="-400" w:firstLine="963" w:firstLineChars="457"/>
              <w:rPr>
                <w:rFonts w:hint="default" w:ascii="Times New Roman" w:hAnsi="Times New Roman" w:cs="Times New Roman"/>
              </w:rPr>
            </w:pPr>
            <w:r>
              <w:rPr>
                <w:rFonts w:hint="default" w:ascii="Times New Roman" w:hAnsi="Times New Roman" w:cs="Times New Roman"/>
              </w:rPr>
              <w:t>序号</w:t>
            </w:r>
          </w:p>
        </w:tc>
        <w:tc>
          <w:tcPr>
            <w:tcW w:w="3322"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收入</w:t>
            </w:r>
          </w:p>
        </w:tc>
        <w:tc>
          <w:tcPr>
            <w:tcW w:w="5883" w:type="dxa"/>
            <w:gridSpan w:val="5"/>
            <w:noWrap w:val="0"/>
            <w:vAlign w:val="center"/>
          </w:tcPr>
          <w:p>
            <w:pPr>
              <w:pStyle w:val="29"/>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continue"/>
            <w:noWrap w:val="0"/>
            <w:vAlign w:val="top"/>
          </w:tcPr>
          <w:p>
            <w:pPr>
              <w:rPr>
                <w:rFonts w:hint="default" w:ascii="Times New Roman" w:hAnsi="Times New Roman" w:cs="Times New Roman"/>
              </w:rPr>
            </w:pPr>
          </w:p>
        </w:tc>
        <w:tc>
          <w:tcPr>
            <w:tcW w:w="1350"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1972" w:type="dxa"/>
            <w:noWrap w:val="0"/>
            <w:vAlign w:val="center"/>
          </w:tcPr>
          <w:p>
            <w:pPr>
              <w:pStyle w:val="29"/>
              <w:rPr>
                <w:rFonts w:hint="default" w:ascii="Times New Roman" w:hAnsi="Times New Roman" w:cs="Times New Roman"/>
              </w:rPr>
            </w:pPr>
            <w:r>
              <w:rPr>
                <w:rFonts w:hint="default" w:ascii="Times New Roman" w:hAnsi="Times New Roman" w:cs="Times New Roman"/>
              </w:rPr>
              <w:t>金额</w:t>
            </w:r>
          </w:p>
        </w:tc>
        <w:tc>
          <w:tcPr>
            <w:tcW w:w="1650"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758" w:type="dxa"/>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011" w:type="dxa"/>
            <w:noWrap w:val="0"/>
            <w:vAlign w:val="center"/>
          </w:tcPr>
          <w:p>
            <w:pPr>
              <w:pStyle w:val="29"/>
              <w:rPr>
                <w:rFonts w:hint="default" w:ascii="Times New Roman" w:hAnsi="Times New Roman" w:cs="Times New Roman"/>
              </w:rPr>
            </w:pPr>
            <w:r>
              <w:rPr>
                <w:rFonts w:hint="default" w:ascii="Times New Roman" w:hAnsi="Times New Roman" w:cs="Times New Roman"/>
              </w:rPr>
              <w:t>一般公共预算财政拨款</w:t>
            </w:r>
          </w:p>
        </w:tc>
        <w:tc>
          <w:tcPr>
            <w:tcW w:w="1232" w:type="dxa"/>
            <w:noWrap w:val="0"/>
            <w:vAlign w:val="center"/>
          </w:tcPr>
          <w:p>
            <w:pPr>
              <w:pStyle w:val="29"/>
              <w:rPr>
                <w:rFonts w:hint="default" w:ascii="Times New Roman" w:hAnsi="Times New Roman" w:cs="Times New Roman"/>
              </w:rPr>
            </w:pPr>
            <w:r>
              <w:rPr>
                <w:rFonts w:hint="default" w:ascii="Times New Roman" w:hAnsi="Times New Roman" w:cs="Times New Roman"/>
              </w:rPr>
              <w:t>政府性基金预算财政    拨款</w:t>
            </w:r>
          </w:p>
        </w:tc>
        <w:tc>
          <w:tcPr>
            <w:tcW w:w="1232" w:type="dxa"/>
            <w:noWrap w:val="0"/>
            <w:vAlign w:val="center"/>
          </w:tcPr>
          <w:p>
            <w:pPr>
              <w:pStyle w:val="29"/>
              <w:rPr>
                <w:rFonts w:hint="default" w:ascii="Times New Roman" w:hAnsi="Times New Roman" w:cs="Times New Roman"/>
              </w:rPr>
            </w:pPr>
            <w:r>
              <w:rPr>
                <w:rFonts w:hint="default" w:ascii="Times New Roman" w:hAnsi="Times New Roman"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350"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972"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1650"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758"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011"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c>
          <w:tcPr>
            <w:tcW w:w="1232" w:type="dxa"/>
            <w:noWrap w:val="0"/>
            <w:vAlign w:val="center"/>
          </w:tcPr>
          <w:p>
            <w:pPr>
              <w:pStyle w:val="29"/>
              <w:rPr>
                <w:rFonts w:hint="default" w:ascii="Times New Roman" w:hAnsi="Times New Roman" w:cs="Times New Roman"/>
              </w:rPr>
            </w:pPr>
            <w:r>
              <w:rPr>
                <w:rFonts w:hint="default" w:ascii="Times New Roman" w:hAnsi="Times New Roman" w:cs="Times New Roman"/>
              </w:rPr>
              <w:t>6</w:t>
            </w:r>
          </w:p>
        </w:tc>
        <w:tc>
          <w:tcPr>
            <w:tcW w:w="1232" w:type="dxa"/>
            <w:noWrap w:val="0"/>
            <w:vAlign w:val="center"/>
          </w:tcPr>
          <w:p>
            <w:pPr>
              <w:pStyle w:val="29"/>
              <w:rPr>
                <w:rFonts w:hint="default" w:ascii="Times New Roman" w:hAnsi="Times New Roman" w:cs="Times New Roman"/>
              </w:rPr>
            </w:pPr>
            <w:r>
              <w:rPr>
                <w:rFonts w:hint="default" w:ascii="Times New Roman" w:hAnsi="Times New Roman"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一、一般公共预算拨款</w:t>
            </w:r>
          </w:p>
        </w:tc>
        <w:tc>
          <w:tcPr>
            <w:tcW w:w="1972" w:type="dxa"/>
            <w:noWrap w:val="0"/>
            <w:vAlign w:val="center"/>
          </w:tcPr>
          <w:p>
            <w:pPr>
              <w:pStyle w:val="12"/>
              <w:rPr>
                <w:rFonts w:hint="eastAsia" w:ascii="Times New Roman" w:hAnsi="Times New Roman" w:eastAsia="方正书宋_GBK" w:cs="Times New Roman"/>
                <w:lang w:val="en-US" w:eastAsia="zh-CN"/>
              </w:rPr>
            </w:pPr>
            <w:r>
              <w:rPr>
                <w:rFonts w:hint="default" w:ascii="Times New Roman" w:hAnsi="Times New Roman" w:cs="Times New Roman"/>
              </w:rPr>
              <w:t>756</w:t>
            </w:r>
            <w:r>
              <w:rPr>
                <w:rFonts w:hint="eastAsia" w:ascii="Times New Roman" w:hAnsi="Times New Roman" w:cs="Times New Roman"/>
                <w:lang w:val="en-US" w:eastAsia="zh-CN"/>
              </w:rPr>
              <w:t>.</w:t>
            </w:r>
            <w:r>
              <w:rPr>
                <w:rFonts w:hint="default" w:ascii="Times New Roman" w:hAnsi="Times New Roman" w:cs="Times New Roman"/>
              </w:rPr>
              <w:t>1</w:t>
            </w:r>
            <w:r>
              <w:rPr>
                <w:rFonts w:hint="eastAsia" w:ascii="Times New Roman" w:hAnsi="Times New Roman" w:cs="Times New Roman"/>
                <w:lang w:val="en-US" w:eastAsia="zh-CN"/>
              </w:rPr>
              <w:t>3</w:t>
            </w: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一、一般公共服务支出</w:t>
            </w:r>
          </w:p>
        </w:tc>
        <w:tc>
          <w:tcPr>
            <w:tcW w:w="758"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011" w:type="dxa"/>
            <w:noWrap w:val="0"/>
            <w:vAlign w:val="center"/>
          </w:tcPr>
          <w:p>
            <w:pPr>
              <w:pStyle w:val="12"/>
              <w:rPr>
                <w:rFonts w:hint="default" w:ascii="Times New Roman" w:hAnsi="Times New Roman" w:cs="Times New Roman"/>
              </w:rPr>
            </w:pPr>
            <w:r>
              <w:rPr>
                <w:rFonts w:hint="default" w:ascii="Times New Roman" w:hAnsi="Times New Roman" w:cs="Times New Roman"/>
              </w:rPr>
              <w:t>594</w:t>
            </w:r>
            <w:r>
              <w:rPr>
                <w:rFonts w:hint="eastAsia" w:ascii="Times New Roman" w:hAnsi="Times New Roman" w:cs="Times New Roman"/>
                <w:lang w:val="en-US" w:eastAsia="zh-CN"/>
              </w:rPr>
              <w:t>.</w:t>
            </w:r>
            <w:r>
              <w:rPr>
                <w:rFonts w:hint="default" w:ascii="Times New Roman" w:hAnsi="Times New Roman" w:cs="Times New Roman"/>
              </w:rPr>
              <w:t>73</w:t>
            </w: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二、政府性基金预算拨款</w:t>
            </w: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二、外交支出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三、国有资本经营预算拨款</w:t>
            </w: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三、国防支出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四、公共安全支出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五、教育支出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六、科学技术支出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七、文化旅游体育与传媒支出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八、社会保障和就业支出</w:t>
            </w:r>
          </w:p>
        </w:tc>
        <w:tc>
          <w:tcPr>
            <w:tcW w:w="758"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011" w:type="dxa"/>
            <w:noWrap w:val="0"/>
            <w:vAlign w:val="center"/>
          </w:tcPr>
          <w:p>
            <w:pPr>
              <w:pStyle w:val="12"/>
              <w:rPr>
                <w:rFonts w:hint="default" w:ascii="Times New Roman" w:hAnsi="Times New Roman" w:cs="Times New Roman"/>
              </w:rPr>
            </w:pPr>
            <w:r>
              <w:rPr>
                <w:rFonts w:hint="default" w:ascii="Times New Roman" w:hAnsi="Times New Roman" w:cs="Times New Roman"/>
              </w:rPr>
              <w:t>63</w:t>
            </w:r>
            <w:r>
              <w:rPr>
                <w:rFonts w:hint="eastAsia" w:ascii="Times New Roman" w:hAnsi="Times New Roman" w:cs="Times New Roman"/>
                <w:lang w:val="en-US" w:eastAsia="zh-CN"/>
              </w:rPr>
              <w:t>.</w:t>
            </w:r>
            <w:r>
              <w:rPr>
                <w:rFonts w:hint="default" w:ascii="Times New Roman" w:hAnsi="Times New Roman" w:cs="Times New Roman"/>
              </w:rPr>
              <w:t>54</w:t>
            </w: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九、社会保险基金支出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十、卫生健康支出</w:t>
            </w:r>
          </w:p>
        </w:tc>
        <w:tc>
          <w:tcPr>
            <w:tcW w:w="758"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011"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十一、节能环保支出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十二、城乡社区支出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十三、农林水支出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十四、交通运输支出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十五、资源勘探工业信息等支出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16</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十六、商业服务业等支出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17</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十七、金融支出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18</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十八、援助其他地区支出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19</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十九、自然资源海洋气象等支出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20</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二十、住房保障支出</w:t>
            </w:r>
          </w:p>
        </w:tc>
        <w:tc>
          <w:tcPr>
            <w:tcW w:w="758"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011"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21</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二十一、粮油物资储备支出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22</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二十二、国有资本经营预算支出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23</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二十三、灾害防治及应急管理支出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24</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二十四、预备费</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25</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二十五、其他支出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26</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二十六、转移性支出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27</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二十七、债务还本支出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28</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二十八、债务付息支出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29</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二十九、债务发行费用支出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30</w:t>
            </w:r>
          </w:p>
        </w:tc>
        <w:tc>
          <w:tcPr>
            <w:tcW w:w="1350" w:type="dxa"/>
            <w:noWrap w:val="0"/>
            <w:vAlign w:val="center"/>
          </w:tcPr>
          <w:p>
            <w:pPr>
              <w:pStyle w:val="16"/>
              <w:rPr>
                <w:rFonts w:hint="default" w:ascii="Times New Roman" w:hAnsi="Times New Roman" w:cs="Times New Roman"/>
              </w:rPr>
            </w:pP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三十、抗疫特别国债安排的支出</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31</w:t>
            </w:r>
          </w:p>
        </w:tc>
        <w:tc>
          <w:tcPr>
            <w:tcW w:w="1350" w:type="dxa"/>
            <w:noWrap w:val="0"/>
            <w:vAlign w:val="center"/>
          </w:tcPr>
          <w:p>
            <w:pPr>
              <w:pStyle w:val="35"/>
              <w:rPr>
                <w:rFonts w:hint="default" w:ascii="Times New Roman" w:hAnsi="Times New Roman" w:cs="Times New Roman"/>
              </w:rPr>
            </w:pPr>
            <w:r>
              <w:rPr>
                <w:rFonts w:hint="default" w:ascii="Times New Roman" w:hAnsi="Times New Roman" w:cs="Times New Roman"/>
              </w:rPr>
              <w:t>本年收入合计</w:t>
            </w:r>
          </w:p>
        </w:tc>
        <w:tc>
          <w:tcPr>
            <w:tcW w:w="1972"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756.13</w:t>
            </w:r>
          </w:p>
        </w:tc>
        <w:tc>
          <w:tcPr>
            <w:tcW w:w="1650" w:type="dxa"/>
            <w:noWrap w:val="0"/>
            <w:vAlign w:val="center"/>
          </w:tcPr>
          <w:p>
            <w:pPr>
              <w:pStyle w:val="35"/>
              <w:rPr>
                <w:rFonts w:hint="default" w:ascii="Times New Roman" w:hAnsi="Times New Roman" w:cs="Times New Roman"/>
              </w:rPr>
            </w:pPr>
            <w:r>
              <w:rPr>
                <w:rFonts w:hint="default" w:ascii="Times New Roman" w:hAnsi="Times New Roman" w:cs="Times New Roman"/>
              </w:rPr>
              <w:t>本年支出合计</w:t>
            </w:r>
          </w:p>
        </w:tc>
        <w:tc>
          <w:tcPr>
            <w:tcW w:w="758"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756.13</w:t>
            </w:r>
          </w:p>
        </w:tc>
        <w:tc>
          <w:tcPr>
            <w:tcW w:w="1011"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756.13</w:t>
            </w:r>
          </w:p>
        </w:tc>
        <w:tc>
          <w:tcPr>
            <w:tcW w:w="1232" w:type="dxa"/>
            <w:noWrap w:val="0"/>
            <w:vAlign w:val="center"/>
          </w:tcPr>
          <w:p>
            <w:pPr>
              <w:pStyle w:val="25"/>
              <w:rPr>
                <w:rFonts w:hint="default" w:ascii="Times New Roman" w:hAnsi="Times New Roman" w:cs="Times New Roman"/>
              </w:rPr>
            </w:pPr>
          </w:p>
        </w:tc>
        <w:tc>
          <w:tcPr>
            <w:tcW w:w="1232" w:type="dxa"/>
            <w:noWrap w:val="0"/>
            <w:vAlign w:val="center"/>
          </w:tcPr>
          <w:p>
            <w:pPr>
              <w:pStyle w:val="2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32</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年初财政拨款结转和结余</w:t>
            </w: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r>
              <w:rPr>
                <w:rFonts w:hint="default" w:ascii="Times New Roman" w:hAnsi="Times New Roman" w:cs="Times New Roman"/>
              </w:rPr>
              <w:t>年末财政拨款结转和结余</w:t>
            </w: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33</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一、一般公共预算拨款</w:t>
            </w: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34</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二、政府性基金预算拨款</w:t>
            </w: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35</w:t>
            </w:r>
          </w:p>
        </w:tc>
        <w:tc>
          <w:tcPr>
            <w:tcW w:w="1350" w:type="dxa"/>
            <w:noWrap w:val="0"/>
            <w:vAlign w:val="center"/>
          </w:tcPr>
          <w:p>
            <w:pPr>
              <w:pStyle w:val="16"/>
              <w:rPr>
                <w:rFonts w:hint="default" w:ascii="Times New Roman" w:hAnsi="Times New Roman" w:cs="Times New Roman"/>
              </w:rPr>
            </w:pPr>
            <w:r>
              <w:rPr>
                <w:rFonts w:hint="default" w:ascii="Times New Roman" w:hAnsi="Times New Roman" w:cs="Times New Roman"/>
              </w:rPr>
              <w:t>三、国有资本经营预算拨款</w:t>
            </w:r>
          </w:p>
        </w:tc>
        <w:tc>
          <w:tcPr>
            <w:tcW w:w="1972" w:type="dxa"/>
            <w:noWrap w:val="0"/>
            <w:vAlign w:val="center"/>
          </w:tcPr>
          <w:p>
            <w:pPr>
              <w:pStyle w:val="12"/>
              <w:rPr>
                <w:rFonts w:hint="default" w:ascii="Times New Roman" w:hAnsi="Times New Roman" w:cs="Times New Roman"/>
              </w:rPr>
            </w:pPr>
          </w:p>
        </w:tc>
        <w:tc>
          <w:tcPr>
            <w:tcW w:w="1650" w:type="dxa"/>
            <w:noWrap w:val="0"/>
            <w:vAlign w:val="center"/>
          </w:tcPr>
          <w:p>
            <w:pPr>
              <w:pStyle w:val="16"/>
              <w:rPr>
                <w:rFonts w:hint="default" w:ascii="Times New Roman" w:hAnsi="Times New Roman" w:cs="Times New Roman"/>
              </w:rPr>
            </w:pPr>
          </w:p>
        </w:tc>
        <w:tc>
          <w:tcPr>
            <w:tcW w:w="758" w:type="dxa"/>
            <w:noWrap w:val="0"/>
            <w:vAlign w:val="center"/>
          </w:tcPr>
          <w:p>
            <w:pPr>
              <w:pStyle w:val="12"/>
              <w:rPr>
                <w:rFonts w:hint="default" w:ascii="Times New Roman" w:hAnsi="Times New Roman" w:cs="Times New Roman"/>
              </w:rPr>
            </w:pPr>
          </w:p>
        </w:tc>
        <w:tc>
          <w:tcPr>
            <w:tcW w:w="1011"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c>
          <w:tcPr>
            <w:tcW w:w="1232"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7" w:type="dxa"/>
            <w:noWrap w:val="0"/>
            <w:vAlign w:val="center"/>
          </w:tcPr>
          <w:p>
            <w:pPr>
              <w:pStyle w:val="14"/>
              <w:rPr>
                <w:rFonts w:hint="default" w:ascii="Times New Roman" w:hAnsi="Times New Roman" w:cs="Times New Roman"/>
              </w:rPr>
            </w:pPr>
            <w:r>
              <w:rPr>
                <w:rFonts w:hint="default" w:ascii="Times New Roman" w:hAnsi="Times New Roman" w:cs="Times New Roman"/>
              </w:rPr>
              <w:t>36</w:t>
            </w:r>
          </w:p>
        </w:tc>
        <w:tc>
          <w:tcPr>
            <w:tcW w:w="1350" w:type="dxa"/>
            <w:noWrap w:val="0"/>
            <w:vAlign w:val="center"/>
          </w:tcPr>
          <w:p>
            <w:pPr>
              <w:pStyle w:val="35"/>
              <w:rPr>
                <w:rFonts w:hint="default" w:ascii="Times New Roman" w:hAnsi="Times New Roman" w:cs="Times New Roman"/>
              </w:rPr>
            </w:pPr>
            <w:r>
              <w:rPr>
                <w:rFonts w:hint="default" w:ascii="Times New Roman" w:hAnsi="Times New Roman" w:cs="Times New Roman"/>
              </w:rPr>
              <w:t>收入总计</w:t>
            </w:r>
          </w:p>
        </w:tc>
        <w:tc>
          <w:tcPr>
            <w:tcW w:w="1972" w:type="dxa"/>
            <w:noWrap w:val="0"/>
            <w:vAlign w:val="center"/>
          </w:tcPr>
          <w:p>
            <w:pPr>
              <w:pStyle w:val="25"/>
              <w:rPr>
                <w:rFonts w:hint="default" w:ascii="Times New Roman" w:hAnsi="Times New Roman" w:cs="Times New Roman"/>
              </w:rPr>
            </w:pPr>
            <w:r>
              <w:rPr>
                <w:rFonts w:hint="eastAsia" w:ascii="Times New Roman" w:hAnsi="Times New Roman" w:cs="Times New Roman"/>
                <w:lang w:val="en-US" w:eastAsia="zh-CN"/>
              </w:rPr>
              <w:t>756.13</w:t>
            </w:r>
          </w:p>
        </w:tc>
        <w:tc>
          <w:tcPr>
            <w:tcW w:w="1650" w:type="dxa"/>
            <w:noWrap w:val="0"/>
            <w:vAlign w:val="center"/>
          </w:tcPr>
          <w:p>
            <w:pPr>
              <w:pStyle w:val="35"/>
              <w:rPr>
                <w:rFonts w:hint="default" w:ascii="Times New Roman" w:hAnsi="Times New Roman" w:cs="Times New Roman"/>
              </w:rPr>
            </w:pPr>
            <w:r>
              <w:rPr>
                <w:rFonts w:hint="default" w:ascii="Times New Roman" w:hAnsi="Times New Roman" w:cs="Times New Roman"/>
              </w:rPr>
              <w:t>支出总计</w:t>
            </w:r>
          </w:p>
        </w:tc>
        <w:tc>
          <w:tcPr>
            <w:tcW w:w="758" w:type="dxa"/>
            <w:noWrap w:val="0"/>
            <w:vAlign w:val="center"/>
          </w:tcPr>
          <w:p>
            <w:pPr>
              <w:pStyle w:val="25"/>
              <w:rPr>
                <w:rFonts w:hint="default" w:ascii="Times New Roman" w:hAnsi="Times New Roman" w:cs="Times New Roman"/>
              </w:rPr>
            </w:pPr>
            <w:r>
              <w:rPr>
                <w:rFonts w:hint="eastAsia" w:ascii="Times New Roman" w:hAnsi="Times New Roman" w:cs="Times New Roman"/>
                <w:lang w:val="en-US" w:eastAsia="zh-CN"/>
              </w:rPr>
              <w:t>756.13</w:t>
            </w:r>
          </w:p>
        </w:tc>
        <w:tc>
          <w:tcPr>
            <w:tcW w:w="1011" w:type="dxa"/>
            <w:noWrap w:val="0"/>
            <w:vAlign w:val="center"/>
          </w:tcPr>
          <w:p>
            <w:pPr>
              <w:pStyle w:val="25"/>
              <w:rPr>
                <w:rFonts w:hint="default" w:ascii="Times New Roman" w:hAnsi="Times New Roman" w:cs="Times New Roman"/>
              </w:rPr>
            </w:pPr>
            <w:r>
              <w:rPr>
                <w:rFonts w:hint="eastAsia" w:ascii="Times New Roman" w:hAnsi="Times New Roman" w:cs="Times New Roman"/>
                <w:lang w:val="en-US" w:eastAsia="zh-CN"/>
              </w:rPr>
              <w:t>756.13</w:t>
            </w:r>
          </w:p>
        </w:tc>
        <w:tc>
          <w:tcPr>
            <w:tcW w:w="1232" w:type="dxa"/>
            <w:noWrap w:val="0"/>
            <w:vAlign w:val="center"/>
          </w:tcPr>
          <w:p>
            <w:pPr>
              <w:pStyle w:val="25"/>
              <w:rPr>
                <w:rFonts w:hint="default" w:ascii="Times New Roman" w:hAnsi="Times New Roman" w:cs="Times New Roman"/>
              </w:rPr>
            </w:pPr>
          </w:p>
        </w:tc>
        <w:tc>
          <w:tcPr>
            <w:tcW w:w="1232" w:type="dxa"/>
            <w:noWrap w:val="0"/>
            <w:vAlign w:val="center"/>
          </w:tcPr>
          <w:p>
            <w:pPr>
              <w:pStyle w:val="25"/>
              <w:rPr>
                <w:rFonts w:hint="default" w:ascii="Times New Roman" w:hAnsi="Times New Roman" w:cs="Times New Roman"/>
              </w:rPr>
            </w:pPr>
          </w:p>
        </w:tc>
      </w:tr>
    </w:tbl>
    <w:p>
      <w:pPr>
        <w:spacing w:before="0" w:after="0" w:line="240" w:lineRule="auto"/>
        <w:ind w:firstLine="0"/>
        <w:jc w:val="center"/>
        <w:outlineLvl w:val="4"/>
        <w:rPr>
          <w:rFonts w:hint="default" w:ascii="Times New Roman" w:hAnsi="Times New Roman" w:eastAsia="方正小标宋_GBK" w:cs="Times New Roman"/>
          <w:color w:val="000000"/>
          <w:sz w:val="36"/>
        </w:rPr>
      </w:pPr>
    </w:p>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eastAsia="方正小标宋_GBK" w:cs="Times New Roman"/>
          <w:color w:val="000000"/>
          <w:sz w:val="36"/>
        </w:rPr>
      </w:pPr>
      <w:r>
        <w:rPr>
          <w:rFonts w:hint="default" w:ascii="Times New Roman" w:hAnsi="Times New Roman" w:eastAsia="方正小标宋_GBK" w:cs="Times New Roman"/>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290"/>
        <w:gridCol w:w="1395"/>
        <w:gridCol w:w="2055"/>
        <w:gridCol w:w="223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58" w:type="dxa"/>
            <w:gridSpan w:val="3"/>
            <w:tcBorders>
              <w:top w:val="single" w:color="FFFFFF" w:sz="6" w:space="0"/>
              <w:left w:val="single" w:color="FFFFFF" w:sz="6" w:space="0"/>
              <w:right w:val="single" w:color="FFFFFF" w:sz="6" w:space="0"/>
            </w:tcBorders>
            <w:noWrap w:val="0"/>
            <w:vAlign w:val="center"/>
          </w:tcPr>
          <w:p>
            <w:pPr>
              <w:pStyle w:val="30"/>
              <w:rPr>
                <w:rFonts w:hint="eastAsia" w:ascii="Times New Roman" w:hAnsi="Times New Roman" w:eastAsia="方正小标宋_GBK" w:cs="Times New Roman"/>
                <w:lang w:eastAsia="zh-CN"/>
              </w:rPr>
            </w:pPr>
            <w:r>
              <w:rPr>
                <w:rFonts w:hint="default" w:ascii="Times New Roman" w:hAnsi="Times New Roman" w:cs="Times New Roman"/>
              </w:rPr>
              <w:t>316</w:t>
            </w:r>
            <w:r>
              <w:rPr>
                <w:rFonts w:hint="eastAsia" w:ascii="Times New Roman" w:hAnsi="Times New Roman" w:cs="Times New Roman"/>
                <w:lang w:val="en-US" w:eastAsia="zh-CN"/>
              </w:rPr>
              <w:t>001</w:t>
            </w:r>
            <w:r>
              <w:rPr>
                <w:rFonts w:hint="default" w:ascii="Times New Roman" w:hAnsi="Times New Roman" w:cs="Times New Roman"/>
              </w:rPr>
              <w:t>秦皇岛北戴河新区行政审批局</w:t>
            </w:r>
            <w:r>
              <w:rPr>
                <w:rFonts w:hint="eastAsia" w:ascii="Times New Roman" w:hAnsi="Times New Roman" w:cs="Times New Roman"/>
                <w:lang w:eastAsia="zh-CN"/>
              </w:rPr>
              <w:t>本级</w:t>
            </w:r>
          </w:p>
        </w:tc>
        <w:tc>
          <w:tcPr>
            <w:tcW w:w="2055"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3880"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268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205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2237"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vMerge w:val="continue"/>
            <w:noWrap w:val="0"/>
            <w:vAlign w:val="top"/>
          </w:tcPr>
          <w:p>
            <w:pPr>
              <w:rPr>
                <w:rFonts w:hint="default" w:ascii="Times New Roman" w:hAnsi="Times New Roman" w:cs="Times New Roman"/>
              </w:rPr>
            </w:pPr>
          </w:p>
        </w:tc>
        <w:tc>
          <w:tcPr>
            <w:tcW w:w="1290" w:type="dxa"/>
            <w:noWrap w:val="0"/>
            <w:vAlign w:val="center"/>
          </w:tcPr>
          <w:p>
            <w:pPr>
              <w:pStyle w:val="29"/>
              <w:rPr>
                <w:rFonts w:hint="default" w:ascii="Times New Roman" w:hAnsi="Times New Roman" w:cs="Times New Roman"/>
              </w:rPr>
            </w:pPr>
            <w:r>
              <w:rPr>
                <w:rFonts w:hint="default" w:ascii="Times New Roman" w:hAnsi="Times New Roman" w:cs="Times New Roman"/>
              </w:rPr>
              <w:t>科目编码</w:t>
            </w:r>
          </w:p>
        </w:tc>
        <w:tc>
          <w:tcPr>
            <w:tcW w:w="1395"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2055" w:type="dxa"/>
            <w:vMerge w:val="continue"/>
            <w:noWrap w:val="0"/>
            <w:vAlign w:val="top"/>
          </w:tcPr>
          <w:p>
            <w:pPr>
              <w:rPr>
                <w:rFonts w:hint="default" w:ascii="Times New Roman" w:hAnsi="Times New Roman" w:cs="Times New Roman"/>
              </w:rPr>
            </w:pPr>
          </w:p>
        </w:tc>
        <w:tc>
          <w:tcPr>
            <w:tcW w:w="2237"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290"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395"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055"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2237"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290" w:type="dxa"/>
            <w:noWrap w:val="0"/>
            <w:vAlign w:val="center"/>
          </w:tcPr>
          <w:p>
            <w:pPr>
              <w:pStyle w:val="15"/>
              <w:rPr>
                <w:rFonts w:hint="default" w:ascii="Times New Roman" w:hAnsi="Times New Roman" w:cs="Times New Roman"/>
              </w:rPr>
            </w:pPr>
          </w:p>
        </w:tc>
        <w:tc>
          <w:tcPr>
            <w:tcW w:w="1395"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2055"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b/>
                <w:lang w:val="en-US" w:eastAsia="zh-CN"/>
              </w:rPr>
              <w:t>756.13</w:t>
            </w:r>
          </w:p>
        </w:tc>
        <w:tc>
          <w:tcPr>
            <w:tcW w:w="2237" w:type="dxa"/>
            <w:noWrap w:val="0"/>
            <w:vAlign w:val="center"/>
          </w:tcPr>
          <w:p>
            <w:pPr>
              <w:pStyle w:val="25"/>
              <w:rPr>
                <w:rFonts w:hint="default" w:ascii="Times New Roman" w:hAnsi="Times New Roman" w:cs="Times New Roman"/>
              </w:rPr>
            </w:pPr>
            <w:r>
              <w:rPr>
                <w:rFonts w:hint="eastAsia" w:ascii="Times New Roman" w:hAnsi="Times New Roman" w:eastAsia="方正书宋_GBK" w:cs="Times New Roman"/>
                <w:b/>
                <w:lang w:val="en-US" w:eastAsia="zh-CN"/>
              </w:rPr>
              <w:t>641.13</w:t>
            </w:r>
          </w:p>
        </w:tc>
        <w:tc>
          <w:tcPr>
            <w:tcW w:w="1643" w:type="dxa"/>
            <w:noWrap w:val="0"/>
            <w:vAlign w:val="center"/>
          </w:tcPr>
          <w:p>
            <w:pPr>
              <w:pStyle w:val="25"/>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一般公共服务支出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20103</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政府办公厅（室）及相关机构事务</w:t>
            </w:r>
          </w:p>
        </w:tc>
        <w:tc>
          <w:tcPr>
            <w:tcW w:w="2055" w:type="dxa"/>
            <w:noWrap w:val="0"/>
            <w:vAlign w:val="center"/>
          </w:tcPr>
          <w:p>
            <w:pPr>
              <w:pStyle w:val="12"/>
              <w:ind w:firstLine="0" w:firstLineChars="0"/>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2237" w:type="dxa"/>
            <w:noWrap w:val="0"/>
            <w:vAlign w:val="center"/>
          </w:tcPr>
          <w:p>
            <w:pPr>
              <w:pStyle w:val="12"/>
              <w:ind w:firstLine="0" w:firstLineChars="0"/>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643" w:type="dxa"/>
            <w:noWrap w:val="0"/>
            <w:vAlign w:val="center"/>
          </w:tcPr>
          <w:p>
            <w:pPr>
              <w:pStyle w:val="12"/>
              <w:ind w:firstLine="0" w:firstLineChars="0"/>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2010306</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政务公开审批</w:t>
            </w:r>
          </w:p>
        </w:tc>
        <w:tc>
          <w:tcPr>
            <w:tcW w:w="2055" w:type="dxa"/>
            <w:noWrap w:val="0"/>
            <w:vAlign w:val="center"/>
          </w:tcPr>
          <w:p>
            <w:pPr>
              <w:pStyle w:val="12"/>
              <w:ind w:firstLine="0" w:firstLineChars="0"/>
              <w:rPr>
                <w:rFonts w:hint="default" w:ascii="Times New Roman" w:hAnsi="Times New Roman" w:cs="Times New Roman"/>
              </w:rPr>
            </w:pPr>
            <w:r>
              <w:rPr>
                <w:rFonts w:hint="eastAsia" w:ascii="Times New Roman" w:hAnsi="Times New Roman" w:eastAsia="方正书宋_GBK" w:cs="Times New Roman"/>
                <w:lang w:val="en-US" w:eastAsia="zh-CN"/>
              </w:rPr>
              <w:t>594.73</w:t>
            </w:r>
          </w:p>
        </w:tc>
        <w:tc>
          <w:tcPr>
            <w:tcW w:w="2237" w:type="dxa"/>
            <w:noWrap w:val="0"/>
            <w:vAlign w:val="center"/>
          </w:tcPr>
          <w:p>
            <w:pPr>
              <w:pStyle w:val="12"/>
              <w:ind w:firstLine="0" w:firstLineChars="0"/>
              <w:rPr>
                <w:rFonts w:hint="default" w:ascii="Times New Roman" w:hAnsi="Times New Roman" w:cs="Times New Roman"/>
              </w:rPr>
            </w:pPr>
            <w:r>
              <w:rPr>
                <w:rFonts w:hint="eastAsia" w:ascii="Times New Roman" w:hAnsi="Times New Roman" w:eastAsia="方正书宋_GBK" w:cs="Times New Roman"/>
                <w:lang w:val="en-US" w:eastAsia="zh-CN"/>
              </w:rPr>
              <w:t>479.73</w:t>
            </w:r>
          </w:p>
        </w:tc>
        <w:tc>
          <w:tcPr>
            <w:tcW w:w="1643" w:type="dxa"/>
            <w:noWrap w:val="0"/>
            <w:vAlign w:val="center"/>
          </w:tcPr>
          <w:p>
            <w:pPr>
              <w:pStyle w:val="12"/>
              <w:ind w:firstLine="0" w:firstLineChars="0"/>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5</w:t>
            </w:r>
            <w:r>
              <w:rPr>
                <w:rFonts w:hint="default" w:ascii="Times New Roman" w:hAnsi="Times New Roman" w:cs="Times New Roma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社会保障和就业支出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20805</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行政事业单位养老支出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63.54</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2080501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行政单位离退休</w:t>
            </w:r>
          </w:p>
        </w:tc>
        <w:tc>
          <w:tcPr>
            <w:tcW w:w="2055" w:type="dxa"/>
            <w:noWrap w:val="0"/>
            <w:vAlign w:val="center"/>
          </w:tcPr>
          <w:p>
            <w:pPr>
              <w:pStyle w:val="12"/>
              <w:rPr>
                <w:rFonts w:hint="default" w:ascii="Times New Roman" w:hAnsi="Times New Roman" w:cs="Times New Roman"/>
              </w:rPr>
            </w:pPr>
            <w:r>
              <w:rPr>
                <w:rFonts w:hint="default" w:ascii="Times New Roman" w:hAnsi="Times New Roman" w:eastAsia="方正书宋_GBK" w:cs="Times New Roman"/>
              </w:rPr>
              <w:t>1.</w:t>
            </w:r>
            <w:r>
              <w:rPr>
                <w:rFonts w:hint="eastAsia" w:ascii="Times New Roman" w:hAnsi="Times New Roman" w:eastAsia="方正书宋_GBK" w:cs="Times New Roman"/>
                <w:lang w:val="en-US" w:eastAsia="zh-CN"/>
              </w:rPr>
              <w:t>70</w:t>
            </w:r>
          </w:p>
        </w:tc>
        <w:tc>
          <w:tcPr>
            <w:tcW w:w="2237" w:type="dxa"/>
            <w:noWrap w:val="0"/>
            <w:vAlign w:val="center"/>
          </w:tcPr>
          <w:p>
            <w:pPr>
              <w:pStyle w:val="12"/>
              <w:rPr>
                <w:rFonts w:hint="default" w:ascii="Times New Roman" w:hAnsi="Times New Roman" w:cs="Times New Roman"/>
              </w:rPr>
            </w:pPr>
            <w:r>
              <w:rPr>
                <w:rFonts w:hint="default" w:ascii="Times New Roman" w:hAnsi="Times New Roman" w:eastAsia="方正书宋_GBK" w:cs="Times New Roman"/>
              </w:rPr>
              <w:t>1.</w:t>
            </w:r>
            <w:r>
              <w:rPr>
                <w:rFonts w:hint="eastAsia" w:ascii="Times New Roman" w:hAnsi="Times New Roman" w:eastAsia="方正书宋_GBK" w:cs="Times New Roman"/>
                <w:lang w:val="en-US" w:eastAsia="zh-CN"/>
              </w:rPr>
              <w:t>70</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2080505</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机关事业单位基本养老保险缴费支出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56.97</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2080506</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机关事业单位职业年金缴费支出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4.87</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210</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卫生健康支出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21011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行政事业单位医疗</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2101101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行政单位医疗</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55.12</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221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住房保障支出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22102</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住房改革支出</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290" w:type="dxa"/>
            <w:noWrap w:val="0"/>
            <w:vAlign w:val="center"/>
          </w:tcPr>
          <w:p>
            <w:pPr>
              <w:pStyle w:val="16"/>
              <w:rPr>
                <w:rFonts w:hint="default" w:ascii="Times New Roman" w:hAnsi="Times New Roman" w:cs="Times New Roman"/>
              </w:rPr>
            </w:pPr>
            <w:r>
              <w:rPr>
                <w:rFonts w:hint="default" w:ascii="Times New Roman" w:hAnsi="Times New Roman" w:cs="Times New Roman"/>
              </w:rPr>
              <w:t>2210201</w:t>
            </w:r>
          </w:p>
        </w:tc>
        <w:tc>
          <w:tcPr>
            <w:tcW w:w="1395" w:type="dxa"/>
            <w:noWrap w:val="0"/>
            <w:vAlign w:val="center"/>
          </w:tcPr>
          <w:p>
            <w:pPr>
              <w:pStyle w:val="16"/>
              <w:rPr>
                <w:rFonts w:hint="default" w:ascii="Times New Roman" w:hAnsi="Times New Roman" w:cs="Times New Roman"/>
              </w:rPr>
            </w:pPr>
            <w:r>
              <w:rPr>
                <w:rFonts w:hint="default" w:ascii="Times New Roman" w:hAnsi="Times New Roman" w:cs="Times New Roman"/>
              </w:rPr>
              <w:t>住房公积金</w:t>
            </w:r>
          </w:p>
        </w:tc>
        <w:tc>
          <w:tcPr>
            <w:tcW w:w="2055"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2237" w:type="dxa"/>
            <w:noWrap w:val="0"/>
            <w:vAlign w:val="center"/>
          </w:tcPr>
          <w:p>
            <w:pPr>
              <w:pStyle w:val="12"/>
              <w:rPr>
                <w:rFonts w:hint="default" w:ascii="Times New Roman" w:hAnsi="Times New Roman" w:cs="Times New Roman"/>
              </w:rPr>
            </w:pPr>
            <w:r>
              <w:rPr>
                <w:rFonts w:hint="eastAsia" w:ascii="Times New Roman" w:hAnsi="Times New Roman" w:eastAsia="方正书宋_GBK" w:cs="Times New Roman"/>
                <w:lang w:val="en-US" w:eastAsia="zh-CN"/>
              </w:rPr>
              <w:t>42.73</w:t>
            </w:r>
          </w:p>
        </w:tc>
        <w:tc>
          <w:tcPr>
            <w:tcW w:w="1643" w:type="dxa"/>
            <w:noWrap w:val="0"/>
            <w:vAlign w:val="center"/>
          </w:tcPr>
          <w:p>
            <w:pPr>
              <w:pStyle w:val="12"/>
              <w:rPr>
                <w:rFonts w:hint="default" w:ascii="Times New Roman" w:hAnsi="Times New Roman" w:cs="Times New Roman"/>
              </w:rPr>
            </w:pPr>
          </w:p>
        </w:tc>
      </w:tr>
    </w:tbl>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eastAsia="方正小标宋_GBK" w:cs="Times New Roman"/>
          <w:color w:val="000000"/>
          <w:sz w:val="36"/>
        </w:r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3"/>
        <w:gridCol w:w="1680"/>
        <w:gridCol w:w="2535"/>
        <w:gridCol w:w="242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429"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421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支出部门经济分类科目</w:t>
            </w:r>
          </w:p>
        </w:tc>
        <w:tc>
          <w:tcPr>
            <w:tcW w:w="5715" w:type="dxa"/>
            <w:gridSpan w:val="3"/>
            <w:noWrap w:val="0"/>
            <w:vAlign w:val="center"/>
          </w:tcPr>
          <w:p>
            <w:pPr>
              <w:pStyle w:val="29"/>
              <w:rPr>
                <w:rFonts w:hint="default" w:ascii="Times New Roman" w:hAnsi="Times New Roman" w:cs="Times New Roman"/>
              </w:rPr>
            </w:pPr>
            <w:r>
              <w:rPr>
                <w:rFonts w:hint="default" w:ascii="Times New Roman" w:hAnsi="Times New Roman" w:cs="Times New Roma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3" w:type="dxa"/>
            <w:vMerge w:val="continue"/>
            <w:noWrap w:val="0"/>
            <w:vAlign w:val="top"/>
          </w:tcPr>
          <w:p>
            <w:pPr>
              <w:rPr>
                <w:rFonts w:hint="default" w:ascii="Times New Roman" w:hAnsi="Times New Roman" w:cs="Times New Roman"/>
              </w:rPr>
            </w:pPr>
          </w:p>
        </w:tc>
        <w:tc>
          <w:tcPr>
            <w:tcW w:w="1680" w:type="dxa"/>
            <w:noWrap w:val="0"/>
            <w:vAlign w:val="center"/>
          </w:tcPr>
          <w:p>
            <w:pPr>
              <w:pStyle w:val="29"/>
              <w:rPr>
                <w:rFonts w:hint="default" w:ascii="Times New Roman" w:hAnsi="Times New Roman" w:cs="Times New Roman"/>
              </w:rPr>
            </w:pPr>
            <w:r>
              <w:rPr>
                <w:rFonts w:hint="default" w:ascii="Times New Roman" w:hAnsi="Times New Roman" w:cs="Times New Roman"/>
              </w:rPr>
              <w:t>科目编码</w:t>
            </w:r>
          </w:p>
        </w:tc>
        <w:tc>
          <w:tcPr>
            <w:tcW w:w="2535"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2429" w:type="dxa"/>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人员经费</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3"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680"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2535"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429"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1680" w:type="dxa"/>
            <w:noWrap w:val="0"/>
            <w:vAlign w:val="center"/>
          </w:tcPr>
          <w:p>
            <w:pPr>
              <w:pStyle w:val="15"/>
              <w:rPr>
                <w:rFonts w:hint="default" w:ascii="Times New Roman" w:hAnsi="Times New Roman" w:cs="Times New Roman"/>
              </w:rPr>
            </w:pPr>
          </w:p>
        </w:tc>
        <w:tc>
          <w:tcPr>
            <w:tcW w:w="2535"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2429"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641.13</w:t>
            </w:r>
          </w:p>
        </w:tc>
        <w:tc>
          <w:tcPr>
            <w:tcW w:w="1643"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599.25</w:t>
            </w:r>
          </w:p>
        </w:tc>
        <w:tc>
          <w:tcPr>
            <w:tcW w:w="1643" w:type="dxa"/>
            <w:noWrap w:val="0"/>
            <w:vAlign w:val="center"/>
          </w:tcPr>
          <w:p>
            <w:pPr>
              <w:pStyle w:val="25"/>
              <w:rPr>
                <w:rFonts w:hint="default" w:ascii="Times New Roman" w:hAnsi="Times New Roman" w:eastAsia="方正书宋_GBK" w:cs="Times New Roman"/>
                <w:lang w:val="en-US" w:eastAsia="zh-CN"/>
              </w:rPr>
            </w:pPr>
            <w:r>
              <w:rPr>
                <w:rFonts w:hint="default" w:ascii="Times New Roman" w:hAnsi="Times New Roman" w:cs="Times New Roman"/>
              </w:rPr>
              <w:t>41.</w:t>
            </w:r>
            <w:r>
              <w:rPr>
                <w:rFonts w:hint="eastAsia" w:ascii="Times New Roman" w:hAnsi="Times New Roman" w:cs="Times New Roman"/>
                <w:lang w:val="en-US" w:eastAsia="zh-CN"/>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工资福利支出</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597.66</w:t>
            </w:r>
          </w:p>
        </w:tc>
        <w:tc>
          <w:tcPr>
            <w:tcW w:w="1643" w:type="dxa"/>
            <w:noWrap w:val="0"/>
            <w:vAlign w:val="center"/>
          </w:tcPr>
          <w:p>
            <w:pPr>
              <w:pStyle w:val="12"/>
              <w:rPr>
                <w:rFonts w:hint="default" w:ascii="Times New Roman" w:hAnsi="Times New Roman" w:cs="Times New Roman"/>
              </w:rPr>
            </w:pPr>
            <w:r>
              <w:rPr>
                <w:rFonts w:hint="eastAsia" w:ascii="Times New Roman" w:hAnsi="Times New Roman" w:cs="Times New Roman"/>
                <w:lang w:val="en-US" w:eastAsia="zh-CN"/>
              </w:rPr>
              <w:t>597.66</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30101</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基本工资</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11</w:t>
            </w:r>
            <w:r>
              <w:rPr>
                <w:rFonts w:hint="eastAsia"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val="en-US" w:eastAsia="zh-CN"/>
              </w:rPr>
              <w:t>86</w:t>
            </w: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115.00</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30102</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津贴补贴</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48.01</w:t>
            </w: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46.91</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30103</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奖金</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51.81</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51.81</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30107</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绩效工资</w:t>
            </w:r>
          </w:p>
        </w:tc>
        <w:tc>
          <w:tcPr>
            <w:tcW w:w="2429" w:type="dxa"/>
            <w:noWrap w:val="0"/>
            <w:vAlign w:val="center"/>
          </w:tcPr>
          <w:p>
            <w:pPr>
              <w:pStyle w:val="12"/>
              <w:rPr>
                <w:rFonts w:hint="default" w:ascii="Times New Roman" w:hAnsi="Times New Roman" w:cs="Times New Roman"/>
                <w:lang w:val="en-US"/>
              </w:rPr>
            </w:pPr>
            <w:r>
              <w:rPr>
                <w:rFonts w:hint="eastAsia" w:ascii="Times New Roman" w:hAnsi="Times New Roman" w:cs="Times New Roman"/>
                <w:lang w:val="en-US" w:eastAsia="zh-CN"/>
              </w:rPr>
              <w:t>216.79</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216.79</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30108</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机关事业单位基本养老保险缴费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56.97</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56.97</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30109</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职业年金缴费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4.87</w:t>
            </w: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4.89</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30110</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职工基本医疗保险缴费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55.12</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55.</w:t>
            </w:r>
            <w:r>
              <w:rPr>
                <w:rFonts w:hint="eastAsia" w:ascii="Times New Roman" w:hAnsi="Times New Roman" w:cs="Times New Roman"/>
                <w:lang w:val="en-US" w:eastAsia="zh-CN"/>
              </w:rPr>
              <w:t>12</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30112</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其他社会保障缴费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4.50</w:t>
            </w:r>
          </w:p>
        </w:tc>
        <w:tc>
          <w:tcPr>
            <w:tcW w:w="1643" w:type="dxa"/>
            <w:noWrap w:val="0"/>
            <w:vAlign w:val="center"/>
          </w:tcPr>
          <w:p>
            <w:pPr>
              <w:pStyle w:val="12"/>
              <w:rPr>
                <w:rFonts w:hint="eastAsia" w:ascii="Times New Roman" w:hAnsi="Times New Roman" w:eastAsia="方正书宋_GBK" w:cs="Times New Roman"/>
                <w:lang w:val="en-US" w:eastAsia="zh-CN"/>
              </w:rPr>
            </w:pPr>
            <w:r>
              <w:rPr>
                <w:rFonts w:hint="default" w:ascii="Times New Roman" w:hAnsi="Times New Roman" w:cs="Times New Roman"/>
              </w:rPr>
              <w:t>4.5</w:t>
            </w:r>
            <w:r>
              <w:rPr>
                <w:rFonts w:hint="eastAsia" w:ascii="Times New Roman" w:hAnsi="Times New Roman" w:cs="Times New Roman"/>
                <w:lang w:val="en-US" w:eastAsia="zh-CN"/>
              </w:rPr>
              <w:t>0</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30113</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住房公积金</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42.73</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12</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商品和服务支出</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40.36</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13</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30201</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办公费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12.54</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14</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30202</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印刷费</w:t>
            </w:r>
          </w:p>
        </w:tc>
        <w:tc>
          <w:tcPr>
            <w:tcW w:w="2429" w:type="dxa"/>
            <w:noWrap w:val="0"/>
            <w:vAlign w:val="center"/>
          </w:tcPr>
          <w:p>
            <w:pPr>
              <w:pStyle w:val="12"/>
              <w:rPr>
                <w:rFonts w:hint="default" w:ascii="Times New Roman" w:hAnsi="Times New Roman" w:cs="Times New Roman"/>
              </w:rPr>
            </w:pPr>
            <w:r>
              <w:rPr>
                <w:rFonts w:hint="default" w:ascii="Times New Roman" w:hAnsi="Times New Roman" w:cs="Times New Roman"/>
              </w:rPr>
              <w:t>1.52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15</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30211</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差旅费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7.22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16</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30215</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会议费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2.70</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2.</w:t>
            </w:r>
            <w:r>
              <w:rPr>
                <w:rFonts w:hint="eastAsia" w:ascii="Times New Roman" w:hAnsi="Times New Roman" w:cs="Times New Roman"/>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17</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30216</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培训费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3.56</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3.</w:t>
            </w:r>
            <w:r>
              <w:rPr>
                <w:rFonts w:hint="eastAsia" w:ascii="Times New Roman" w:hAnsi="Times New Roman" w:cs="Times New Roman"/>
                <w:lang w:val="en-US" w:eastAsia="zh-CN"/>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18</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30217</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公务接待费</w:t>
            </w:r>
          </w:p>
        </w:tc>
        <w:tc>
          <w:tcPr>
            <w:tcW w:w="2429" w:type="dxa"/>
            <w:noWrap w:val="0"/>
            <w:vAlign w:val="center"/>
          </w:tcPr>
          <w:p>
            <w:pPr>
              <w:pStyle w:val="12"/>
              <w:rPr>
                <w:rFonts w:hint="eastAsia" w:ascii="Times New Roman" w:hAnsi="Times New Roman" w:eastAsia="方正书宋_GBK" w:cs="Times New Roman"/>
                <w:lang w:eastAsia="zh-CN"/>
              </w:rPr>
            </w:pPr>
            <w:r>
              <w:rPr>
                <w:rFonts w:hint="default" w:ascii="Times New Roman" w:hAnsi="Times New Roman" w:cs="Times New Roman"/>
              </w:rPr>
              <w:t>0.4</w:t>
            </w:r>
            <w:r>
              <w:rPr>
                <w:rFonts w:hint="eastAsia" w:ascii="Times New Roman" w:hAnsi="Times New Roman" w:cs="Times New Roman"/>
                <w:lang w:val="en-US" w:eastAsia="zh-CN"/>
              </w:rPr>
              <w:t>5</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eastAsia" w:ascii="Times New Roman" w:hAnsi="Times New Roman" w:eastAsia="方正书宋_GBK" w:cs="Times New Roman"/>
                <w:lang w:val="en-US" w:eastAsia="zh-CN"/>
              </w:rPr>
            </w:pPr>
            <w:r>
              <w:rPr>
                <w:rFonts w:hint="default" w:ascii="Times New Roman" w:hAnsi="Times New Roman" w:cs="Times New Roman"/>
              </w:rPr>
              <w:t>0.4</w:t>
            </w:r>
            <w:r>
              <w:rPr>
                <w:rFonts w:hint="eastAsia" w:ascii="Times New Roman" w:hAnsi="Times New Roman" w:cs="Times New Roman"/>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19</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30228</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工会经费</w:t>
            </w:r>
          </w:p>
        </w:tc>
        <w:tc>
          <w:tcPr>
            <w:tcW w:w="2429" w:type="dxa"/>
            <w:noWrap w:val="0"/>
            <w:vAlign w:val="center"/>
          </w:tcPr>
          <w:p>
            <w:pPr>
              <w:pStyle w:val="12"/>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7</w:t>
            </w:r>
            <w:r>
              <w:rPr>
                <w:rFonts w:hint="default" w:ascii="Times New Roman" w:hAnsi="Times New Roman" w:cs="Times New Roman"/>
              </w:rPr>
              <w:t>5</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7</w:t>
            </w: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20</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30229</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福利费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3.</w:t>
            </w:r>
            <w:r>
              <w:rPr>
                <w:rFonts w:hint="eastAsia" w:ascii="Times New Roman" w:hAnsi="Times New Roman" w:cs="Times New Roman"/>
                <w:lang w:val="en-US" w:eastAsia="zh-CN"/>
              </w:rPr>
              <w:t>56</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3.</w:t>
            </w:r>
            <w:r>
              <w:rPr>
                <w:rFonts w:hint="eastAsia" w:ascii="Times New Roman" w:hAnsi="Times New Roman" w:cs="Times New Roman"/>
                <w:lang w:val="en-US" w:eastAsia="zh-CN"/>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21</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30231</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公务用车运行维护费</w:t>
            </w:r>
          </w:p>
        </w:tc>
        <w:tc>
          <w:tcPr>
            <w:tcW w:w="2429" w:type="dxa"/>
            <w:noWrap w:val="0"/>
            <w:vAlign w:val="center"/>
          </w:tcPr>
          <w:p>
            <w:pPr>
              <w:pStyle w:val="12"/>
              <w:rPr>
                <w:rFonts w:hint="eastAsia" w:ascii="Times New Roman" w:hAnsi="Times New Roman" w:eastAsia="方正书宋_GBK" w:cs="Times New Roman"/>
                <w:lang w:eastAsia="zh-CN"/>
              </w:rPr>
            </w:pPr>
            <w:r>
              <w:rPr>
                <w:rFonts w:hint="eastAsia" w:ascii="Times New Roman" w:hAnsi="Times New Roman" w:cs="Times New Roman"/>
                <w:lang w:val="en-US" w:eastAsia="zh-CN"/>
              </w:rPr>
              <w:t>0</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eastAsia" w:ascii="Times New Roman" w:hAnsi="Times New Roman" w:eastAsia="方正书宋_GBK" w:cs="Times New Roman"/>
                <w:lang w:eastAsia="zh-CN"/>
              </w:rPr>
            </w:pPr>
            <w:r>
              <w:rPr>
                <w:rFonts w:hint="eastAsia"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22</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30239</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其他交通费用</w:t>
            </w:r>
          </w:p>
        </w:tc>
        <w:tc>
          <w:tcPr>
            <w:tcW w:w="2429" w:type="dxa"/>
            <w:noWrap w:val="0"/>
            <w:vAlign w:val="center"/>
          </w:tcPr>
          <w:p>
            <w:pPr>
              <w:pStyle w:val="12"/>
              <w:rPr>
                <w:rFonts w:hint="default" w:ascii="Times New Roman" w:hAnsi="Times New Roman" w:cs="Times New Roman"/>
              </w:rPr>
            </w:pPr>
            <w:r>
              <w:rPr>
                <w:rFonts w:hint="default" w:ascii="Times New Roman" w:hAnsi="Times New Roman" w:cs="Times New Roman"/>
              </w:rPr>
              <w:t>3.84</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23</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30299</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其他商品和服务支出</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0.22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0.</w:t>
            </w:r>
            <w:r>
              <w:rPr>
                <w:rFonts w:hint="eastAsia" w:ascii="Times New Roman" w:hAnsi="Times New Roman" w:cs="Times New Roman"/>
                <w:lang w:val="en-US" w:eastAsia="zh-CN"/>
              </w:rPr>
              <w:t>2</w:t>
            </w:r>
            <w:r>
              <w:rPr>
                <w:rFonts w:hint="default" w:ascii="Times New Roman" w:hAnsi="Times New Roman" w:cs="Times New Roma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24</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303</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对个人和家庭的补助</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1.58</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1.58</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25</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30302</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退休费</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1.48</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1.48</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26</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30309</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奖励金</w:t>
            </w:r>
          </w:p>
        </w:tc>
        <w:tc>
          <w:tcPr>
            <w:tcW w:w="2429"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0.11</w:t>
            </w:r>
          </w:p>
        </w:tc>
        <w:tc>
          <w:tcPr>
            <w:tcW w:w="164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0.11</w:t>
            </w: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27</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310</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资本性支出</w:t>
            </w:r>
          </w:p>
        </w:tc>
        <w:tc>
          <w:tcPr>
            <w:tcW w:w="2429" w:type="dxa"/>
            <w:noWrap w:val="0"/>
            <w:vAlign w:val="center"/>
          </w:tcPr>
          <w:p>
            <w:pPr>
              <w:pStyle w:val="12"/>
              <w:rPr>
                <w:rFonts w:hint="default" w:ascii="Times New Roman" w:hAnsi="Times New Roman" w:cs="Times New Roman"/>
              </w:rPr>
            </w:pPr>
            <w:r>
              <w:rPr>
                <w:rFonts w:hint="default" w:ascii="Times New Roman" w:hAnsi="Times New Roman" w:cs="Times New Roman"/>
              </w:rPr>
              <w:t>1.52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14"/>
              <w:rPr>
                <w:rFonts w:hint="default" w:ascii="Times New Roman" w:hAnsi="Times New Roman" w:cs="Times New Roman"/>
              </w:rPr>
            </w:pPr>
            <w:r>
              <w:rPr>
                <w:rFonts w:hint="default" w:ascii="Times New Roman" w:hAnsi="Times New Roman" w:cs="Times New Roman"/>
              </w:rPr>
              <w:t>28</w:t>
            </w:r>
          </w:p>
        </w:tc>
        <w:tc>
          <w:tcPr>
            <w:tcW w:w="1680" w:type="dxa"/>
            <w:noWrap w:val="0"/>
            <w:vAlign w:val="center"/>
          </w:tcPr>
          <w:p>
            <w:pPr>
              <w:pStyle w:val="16"/>
              <w:rPr>
                <w:rFonts w:hint="default" w:ascii="Times New Roman" w:hAnsi="Times New Roman" w:cs="Times New Roman"/>
              </w:rPr>
            </w:pPr>
            <w:r>
              <w:rPr>
                <w:rFonts w:hint="default" w:ascii="Times New Roman" w:hAnsi="Times New Roman" w:cs="Times New Roman"/>
              </w:rPr>
              <w:t>31002</w:t>
            </w:r>
          </w:p>
        </w:tc>
        <w:tc>
          <w:tcPr>
            <w:tcW w:w="2535" w:type="dxa"/>
            <w:noWrap w:val="0"/>
            <w:vAlign w:val="center"/>
          </w:tcPr>
          <w:p>
            <w:pPr>
              <w:pStyle w:val="16"/>
              <w:rPr>
                <w:rFonts w:hint="default" w:ascii="Times New Roman" w:hAnsi="Times New Roman" w:cs="Times New Roman"/>
              </w:rPr>
            </w:pPr>
            <w:r>
              <w:rPr>
                <w:rFonts w:hint="default" w:ascii="Times New Roman" w:hAnsi="Times New Roman" w:cs="Times New Roman"/>
              </w:rPr>
              <w:t>办公设备购置</w:t>
            </w:r>
          </w:p>
        </w:tc>
        <w:tc>
          <w:tcPr>
            <w:tcW w:w="2429" w:type="dxa"/>
            <w:noWrap w:val="0"/>
            <w:vAlign w:val="center"/>
          </w:tcPr>
          <w:p>
            <w:pPr>
              <w:pStyle w:val="12"/>
              <w:rPr>
                <w:rFonts w:hint="default" w:ascii="Times New Roman" w:hAnsi="Times New Roman" w:cs="Times New Roman"/>
              </w:rPr>
            </w:pPr>
            <w:r>
              <w:rPr>
                <w:rFonts w:hint="default" w:ascii="Times New Roman" w:hAnsi="Times New Roman" w:cs="Times New Roman"/>
              </w:rPr>
              <w:t>1.52</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r>
              <w:rPr>
                <w:rFonts w:hint="default" w:ascii="Times New Roman" w:hAnsi="Times New Roman" w:cs="Times New Roman"/>
              </w:rPr>
              <w:t>1.52</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5"/>
        <w:gridCol w:w="1971"/>
        <w:gridCol w:w="1980"/>
        <w:gridCol w:w="226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6"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268"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3951"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2268"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vMerge w:val="continue"/>
            <w:noWrap w:val="0"/>
            <w:vAlign w:val="top"/>
          </w:tcPr>
          <w:p>
            <w:pPr>
              <w:rPr>
                <w:rFonts w:hint="default" w:ascii="Times New Roman" w:hAnsi="Times New Roman" w:cs="Times New Roman"/>
              </w:rPr>
            </w:pPr>
          </w:p>
        </w:tc>
        <w:tc>
          <w:tcPr>
            <w:tcW w:w="1971" w:type="dxa"/>
            <w:noWrap w:val="0"/>
            <w:vAlign w:val="center"/>
          </w:tcPr>
          <w:p>
            <w:pPr>
              <w:pStyle w:val="29"/>
              <w:rPr>
                <w:rFonts w:hint="default" w:ascii="Times New Roman" w:hAnsi="Times New Roman" w:cs="Times New Roman"/>
              </w:rPr>
            </w:pPr>
            <w:r>
              <w:rPr>
                <w:rFonts w:hint="default" w:ascii="Times New Roman" w:hAnsi="Times New Roman" w:cs="Times New Roman"/>
              </w:rPr>
              <w:t>科目编码</w:t>
            </w:r>
          </w:p>
        </w:tc>
        <w:tc>
          <w:tcPr>
            <w:tcW w:w="1980"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2268"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971"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980"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268"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noWrap w:val="0"/>
            <w:vAlign w:val="center"/>
          </w:tcPr>
          <w:p>
            <w:pPr>
              <w:pStyle w:val="14"/>
              <w:rPr>
                <w:rFonts w:hint="default" w:ascii="Times New Roman" w:hAnsi="Times New Roman" w:cs="Times New Roman"/>
              </w:rPr>
            </w:pPr>
          </w:p>
        </w:tc>
        <w:tc>
          <w:tcPr>
            <w:tcW w:w="1971" w:type="dxa"/>
            <w:noWrap w:val="0"/>
            <w:vAlign w:val="center"/>
          </w:tcPr>
          <w:p>
            <w:pPr>
              <w:pStyle w:val="16"/>
              <w:rPr>
                <w:rFonts w:hint="default" w:ascii="Times New Roman" w:hAnsi="Times New Roman" w:cs="Times New Roman"/>
              </w:rPr>
            </w:pPr>
          </w:p>
        </w:tc>
        <w:tc>
          <w:tcPr>
            <w:tcW w:w="1980" w:type="dxa"/>
            <w:noWrap w:val="0"/>
            <w:vAlign w:val="center"/>
          </w:tcPr>
          <w:p>
            <w:pPr>
              <w:pStyle w:val="16"/>
              <w:rPr>
                <w:rFonts w:hint="default" w:ascii="Times New Roman" w:hAnsi="Times New Roman" w:cs="Times New Roman"/>
              </w:rPr>
            </w:pPr>
          </w:p>
        </w:tc>
        <w:tc>
          <w:tcPr>
            <w:tcW w:w="2268"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注：无政府基金预算财政拨款预算，空表列示。</w:t>
      </w: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3"/>
        <w:gridCol w:w="1935"/>
        <w:gridCol w:w="1800"/>
        <w:gridCol w:w="215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8"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159"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3735"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功能分类科目</w:t>
            </w:r>
          </w:p>
        </w:tc>
        <w:tc>
          <w:tcPr>
            <w:tcW w:w="2159"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vMerge w:val="continue"/>
            <w:noWrap w:val="0"/>
            <w:vAlign w:val="top"/>
          </w:tcPr>
          <w:p>
            <w:pPr>
              <w:rPr>
                <w:rFonts w:hint="default" w:ascii="Times New Roman" w:hAnsi="Times New Roman" w:cs="Times New Roman"/>
              </w:rPr>
            </w:pPr>
          </w:p>
        </w:tc>
        <w:tc>
          <w:tcPr>
            <w:tcW w:w="1935" w:type="dxa"/>
            <w:noWrap w:val="0"/>
            <w:vAlign w:val="center"/>
          </w:tcPr>
          <w:p>
            <w:pPr>
              <w:pStyle w:val="29"/>
              <w:rPr>
                <w:rFonts w:hint="default" w:ascii="Times New Roman" w:hAnsi="Times New Roman" w:cs="Times New Roman"/>
              </w:rPr>
            </w:pPr>
            <w:r>
              <w:rPr>
                <w:rFonts w:hint="default" w:ascii="Times New Roman" w:hAnsi="Times New Roman" w:cs="Times New Roman"/>
              </w:rPr>
              <w:t>科目编码</w:t>
            </w:r>
          </w:p>
        </w:tc>
        <w:tc>
          <w:tcPr>
            <w:tcW w:w="1800" w:type="dxa"/>
            <w:noWrap w:val="0"/>
            <w:vAlign w:val="center"/>
          </w:tcPr>
          <w:p>
            <w:pPr>
              <w:pStyle w:val="29"/>
              <w:rPr>
                <w:rFonts w:hint="default" w:ascii="Times New Roman" w:hAnsi="Times New Roman" w:cs="Times New Roman"/>
              </w:rPr>
            </w:pPr>
            <w:r>
              <w:rPr>
                <w:rFonts w:hint="default" w:ascii="Times New Roman" w:hAnsi="Times New Roman" w:cs="Times New Roman"/>
              </w:rPr>
              <w:t>科目名称</w:t>
            </w:r>
          </w:p>
        </w:tc>
        <w:tc>
          <w:tcPr>
            <w:tcW w:w="2159"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1935"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800"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2159"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noWrap w:val="0"/>
            <w:vAlign w:val="center"/>
          </w:tcPr>
          <w:p>
            <w:pPr>
              <w:pStyle w:val="14"/>
              <w:rPr>
                <w:rFonts w:hint="default" w:ascii="Times New Roman" w:hAnsi="Times New Roman" w:cs="Times New Roman"/>
              </w:rPr>
            </w:pPr>
          </w:p>
        </w:tc>
        <w:tc>
          <w:tcPr>
            <w:tcW w:w="1935" w:type="dxa"/>
            <w:noWrap w:val="0"/>
            <w:vAlign w:val="center"/>
          </w:tcPr>
          <w:p>
            <w:pPr>
              <w:pStyle w:val="16"/>
              <w:rPr>
                <w:rFonts w:hint="default" w:ascii="Times New Roman" w:hAnsi="Times New Roman" w:cs="Times New Roman"/>
              </w:rPr>
            </w:pPr>
          </w:p>
        </w:tc>
        <w:tc>
          <w:tcPr>
            <w:tcW w:w="1800" w:type="dxa"/>
            <w:noWrap w:val="0"/>
            <w:vAlign w:val="center"/>
          </w:tcPr>
          <w:p>
            <w:pPr>
              <w:pStyle w:val="16"/>
              <w:rPr>
                <w:rFonts w:hint="default" w:ascii="Times New Roman" w:hAnsi="Times New Roman" w:cs="Times New Roman"/>
              </w:rPr>
            </w:pPr>
          </w:p>
        </w:tc>
        <w:tc>
          <w:tcPr>
            <w:tcW w:w="2159"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注：无国有资本经营预算财政拨款预算，空表列示。</w:t>
      </w: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3165"/>
        <w:gridCol w:w="1867"/>
        <w:gridCol w:w="193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2" w:type="dxa"/>
            <w:gridSpan w:val="3"/>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1930" w:type="dxa"/>
            <w:tcBorders>
              <w:top w:val="single" w:color="FFFFFF" w:sz="6" w:space="0"/>
              <w:left w:val="single" w:color="FFFFFF" w:sz="6" w:space="0"/>
              <w:right w:val="single" w:color="FFFFFF" w:sz="6" w:space="0"/>
            </w:tcBorders>
            <w:noWrap w:val="0"/>
            <w:vAlign w:val="center"/>
          </w:tcPr>
          <w:p>
            <w:pPr>
              <w:pStyle w:val="34"/>
              <w:rPr>
                <w:rFonts w:hint="eastAsia" w:ascii="Times New Roman" w:hAnsi="Times New Roman" w:eastAsia="方正小标宋_GBK" w:cs="Times New Roman"/>
                <w:lang w:val="en-US" w:eastAsia="zh-CN"/>
              </w:rPr>
            </w:pPr>
            <w:r>
              <w:rPr>
                <w:rFonts w:hint="default" w:ascii="Times New Roman" w:hAnsi="Times New Roman" w:cs="Times New Roman"/>
              </w:rPr>
              <w:t>预算年度：202</w:t>
            </w:r>
            <w:r>
              <w:rPr>
                <w:rFonts w:hint="eastAsia" w:ascii="Times New Roman" w:hAnsi="Times New Roman" w:cs="Times New Roman"/>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序号</w:t>
            </w:r>
          </w:p>
        </w:tc>
        <w:tc>
          <w:tcPr>
            <w:tcW w:w="3165"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7083" w:type="dxa"/>
            <w:gridSpan w:val="4"/>
            <w:noWrap w:val="0"/>
            <w:vAlign w:val="center"/>
          </w:tcPr>
          <w:p>
            <w:pPr>
              <w:pStyle w:val="29"/>
              <w:rPr>
                <w:rFonts w:hint="default" w:ascii="Times New Roman" w:hAnsi="Times New Roman" w:cs="Times New Roman"/>
              </w:rPr>
            </w:pPr>
            <w:r>
              <w:rPr>
                <w:rFonts w:hint="default" w:ascii="Times New Roman" w:hAnsi="Times New Roman" w:cs="Times New Roma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vMerge w:val="continue"/>
            <w:noWrap w:val="0"/>
            <w:vAlign w:val="top"/>
          </w:tcPr>
          <w:p>
            <w:pPr>
              <w:rPr>
                <w:rFonts w:hint="default" w:ascii="Times New Roman" w:hAnsi="Times New Roman" w:cs="Times New Roman"/>
              </w:rPr>
            </w:pPr>
          </w:p>
        </w:tc>
        <w:tc>
          <w:tcPr>
            <w:tcW w:w="3165" w:type="dxa"/>
            <w:vMerge w:val="continue"/>
            <w:noWrap w:val="0"/>
            <w:vAlign w:val="top"/>
          </w:tcPr>
          <w:p>
            <w:pPr>
              <w:rPr>
                <w:rFonts w:hint="default" w:ascii="Times New Roman" w:hAnsi="Times New Roman" w:cs="Times New Roman"/>
              </w:rPr>
            </w:pPr>
          </w:p>
        </w:tc>
        <w:tc>
          <w:tcPr>
            <w:tcW w:w="1867" w:type="dxa"/>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1930" w:type="dxa"/>
            <w:noWrap w:val="0"/>
            <w:vAlign w:val="center"/>
          </w:tcPr>
          <w:p>
            <w:pPr>
              <w:pStyle w:val="29"/>
              <w:rPr>
                <w:rFonts w:hint="default" w:ascii="Times New Roman" w:hAnsi="Times New Roman" w:cs="Times New Roman"/>
              </w:rPr>
            </w:pPr>
            <w:r>
              <w:rPr>
                <w:rFonts w:hint="default" w:ascii="Times New Roman" w:hAnsi="Times New Roman" w:cs="Times New Roman"/>
              </w:rPr>
              <w:t>一般公共预算              财政拨款</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政府性基金                  预算拨款</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noWrap w:val="0"/>
            <w:vAlign w:val="center"/>
          </w:tcPr>
          <w:p>
            <w:pPr>
              <w:pStyle w:val="29"/>
              <w:rPr>
                <w:rFonts w:hint="default" w:ascii="Times New Roman" w:hAnsi="Times New Roman" w:cs="Times New Roman"/>
              </w:rPr>
            </w:pPr>
            <w:r>
              <w:rPr>
                <w:rFonts w:hint="default" w:ascii="Times New Roman" w:hAnsi="Times New Roman" w:cs="Times New Roman"/>
              </w:rPr>
              <w:t>栏次</w:t>
            </w:r>
          </w:p>
        </w:tc>
        <w:tc>
          <w:tcPr>
            <w:tcW w:w="3165" w:type="dxa"/>
            <w:noWrap w:val="0"/>
            <w:vAlign w:val="center"/>
          </w:tcPr>
          <w:p>
            <w:pPr>
              <w:pStyle w:val="29"/>
              <w:rPr>
                <w:rFonts w:hint="default" w:ascii="Times New Roman" w:hAnsi="Times New Roman" w:cs="Times New Roman"/>
              </w:rPr>
            </w:pPr>
            <w:r>
              <w:rPr>
                <w:rFonts w:hint="default" w:ascii="Times New Roman" w:hAnsi="Times New Roman" w:cs="Times New Roman"/>
              </w:rPr>
              <w:t>1</w:t>
            </w:r>
          </w:p>
        </w:tc>
        <w:tc>
          <w:tcPr>
            <w:tcW w:w="1867" w:type="dxa"/>
            <w:noWrap w:val="0"/>
            <w:vAlign w:val="center"/>
          </w:tcPr>
          <w:p>
            <w:pPr>
              <w:pStyle w:val="29"/>
              <w:rPr>
                <w:rFonts w:hint="default" w:ascii="Times New Roman" w:hAnsi="Times New Roman" w:cs="Times New Roman"/>
              </w:rPr>
            </w:pPr>
            <w:r>
              <w:rPr>
                <w:rFonts w:hint="default" w:ascii="Times New Roman" w:hAnsi="Times New Roman" w:cs="Times New Roman"/>
              </w:rPr>
              <w:t>2</w:t>
            </w:r>
          </w:p>
        </w:tc>
        <w:tc>
          <w:tcPr>
            <w:tcW w:w="1930" w:type="dxa"/>
            <w:noWrap w:val="0"/>
            <w:vAlign w:val="center"/>
          </w:tcPr>
          <w:p>
            <w:pPr>
              <w:pStyle w:val="29"/>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29"/>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1</w:t>
            </w:r>
          </w:p>
        </w:tc>
        <w:tc>
          <w:tcPr>
            <w:tcW w:w="3165" w:type="dxa"/>
            <w:noWrap w:val="0"/>
            <w:vAlign w:val="center"/>
          </w:tcPr>
          <w:p>
            <w:pPr>
              <w:pStyle w:val="35"/>
              <w:rPr>
                <w:rFonts w:hint="default" w:ascii="Times New Roman" w:hAnsi="Times New Roman" w:cs="Times New Roman"/>
              </w:rPr>
            </w:pPr>
            <w:r>
              <w:rPr>
                <w:rFonts w:hint="default" w:ascii="Times New Roman" w:hAnsi="Times New Roman" w:cs="Times New Roman"/>
              </w:rPr>
              <w:t>合计</w:t>
            </w:r>
          </w:p>
        </w:tc>
        <w:tc>
          <w:tcPr>
            <w:tcW w:w="1867"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6.71</w:t>
            </w:r>
          </w:p>
        </w:tc>
        <w:tc>
          <w:tcPr>
            <w:tcW w:w="1930" w:type="dxa"/>
            <w:noWrap w:val="0"/>
            <w:vAlign w:val="center"/>
          </w:tcPr>
          <w:p>
            <w:pPr>
              <w:pStyle w:val="25"/>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6.71</w:t>
            </w:r>
          </w:p>
        </w:tc>
        <w:tc>
          <w:tcPr>
            <w:tcW w:w="1643" w:type="dxa"/>
            <w:noWrap w:val="0"/>
            <w:vAlign w:val="center"/>
          </w:tcPr>
          <w:p>
            <w:pPr>
              <w:pStyle w:val="25"/>
              <w:rPr>
                <w:rFonts w:hint="default" w:ascii="Times New Roman" w:hAnsi="Times New Roman" w:cs="Times New Roman"/>
              </w:rPr>
            </w:pPr>
          </w:p>
        </w:tc>
        <w:tc>
          <w:tcPr>
            <w:tcW w:w="1643" w:type="dxa"/>
            <w:noWrap w:val="0"/>
            <w:vAlign w:val="center"/>
          </w:tcPr>
          <w:p>
            <w:pPr>
              <w:pStyle w:val="2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2</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“三公”经费小计</w:t>
            </w:r>
          </w:p>
        </w:tc>
        <w:tc>
          <w:tcPr>
            <w:tcW w:w="1867"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0.45</w:t>
            </w:r>
          </w:p>
        </w:tc>
        <w:tc>
          <w:tcPr>
            <w:tcW w:w="1930"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0.45</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3</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一、因公出国（境）费</w:t>
            </w:r>
          </w:p>
        </w:tc>
        <w:tc>
          <w:tcPr>
            <w:tcW w:w="1867" w:type="dxa"/>
            <w:noWrap w:val="0"/>
            <w:vAlign w:val="center"/>
          </w:tcPr>
          <w:p>
            <w:pPr>
              <w:pStyle w:val="12"/>
              <w:rPr>
                <w:rFonts w:hint="default" w:ascii="Times New Roman" w:hAnsi="Times New Roman" w:cs="Times New Roman"/>
              </w:rPr>
            </w:pPr>
          </w:p>
        </w:tc>
        <w:tc>
          <w:tcPr>
            <w:tcW w:w="1930"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4</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 xml:space="preserve">    其中：教学科研人员因公出国（境）费</w:t>
            </w:r>
          </w:p>
        </w:tc>
        <w:tc>
          <w:tcPr>
            <w:tcW w:w="1867" w:type="dxa"/>
            <w:noWrap w:val="0"/>
            <w:vAlign w:val="center"/>
          </w:tcPr>
          <w:p>
            <w:pPr>
              <w:pStyle w:val="12"/>
              <w:rPr>
                <w:rFonts w:hint="default" w:ascii="Times New Roman" w:hAnsi="Times New Roman" w:cs="Times New Roman"/>
              </w:rPr>
            </w:pPr>
          </w:p>
        </w:tc>
        <w:tc>
          <w:tcPr>
            <w:tcW w:w="1930"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5</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 xml:space="preserve">          其他因公出国（境）费</w:t>
            </w:r>
          </w:p>
        </w:tc>
        <w:tc>
          <w:tcPr>
            <w:tcW w:w="1867" w:type="dxa"/>
            <w:noWrap w:val="0"/>
            <w:vAlign w:val="center"/>
          </w:tcPr>
          <w:p>
            <w:pPr>
              <w:pStyle w:val="12"/>
              <w:rPr>
                <w:rFonts w:hint="default" w:ascii="Times New Roman" w:hAnsi="Times New Roman" w:cs="Times New Roman"/>
              </w:rPr>
            </w:pPr>
          </w:p>
        </w:tc>
        <w:tc>
          <w:tcPr>
            <w:tcW w:w="1930"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6</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二、公务用车购置及运维费</w:t>
            </w:r>
          </w:p>
        </w:tc>
        <w:tc>
          <w:tcPr>
            <w:tcW w:w="1867" w:type="dxa"/>
            <w:noWrap w:val="0"/>
            <w:vAlign w:val="center"/>
          </w:tcPr>
          <w:p>
            <w:pPr>
              <w:pStyle w:val="12"/>
              <w:rPr>
                <w:rFonts w:hint="default" w:ascii="Times New Roman" w:hAnsi="Times New Roman" w:cs="Times New Roman"/>
              </w:rPr>
            </w:pPr>
          </w:p>
        </w:tc>
        <w:tc>
          <w:tcPr>
            <w:tcW w:w="1930"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7</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 xml:space="preserve">    其中：公务用车购置费</w:t>
            </w:r>
          </w:p>
        </w:tc>
        <w:tc>
          <w:tcPr>
            <w:tcW w:w="1867" w:type="dxa"/>
            <w:noWrap w:val="0"/>
            <w:vAlign w:val="center"/>
          </w:tcPr>
          <w:p>
            <w:pPr>
              <w:pStyle w:val="12"/>
              <w:rPr>
                <w:rFonts w:hint="default" w:ascii="Times New Roman" w:hAnsi="Times New Roman" w:cs="Times New Roman"/>
              </w:rPr>
            </w:pPr>
          </w:p>
        </w:tc>
        <w:tc>
          <w:tcPr>
            <w:tcW w:w="1930"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8</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 xml:space="preserve">          公务用车运行维护费</w:t>
            </w:r>
          </w:p>
        </w:tc>
        <w:tc>
          <w:tcPr>
            <w:tcW w:w="1867" w:type="dxa"/>
            <w:noWrap w:val="0"/>
            <w:vAlign w:val="center"/>
          </w:tcPr>
          <w:p>
            <w:pPr>
              <w:pStyle w:val="12"/>
              <w:rPr>
                <w:rFonts w:hint="default" w:ascii="Times New Roman" w:hAnsi="Times New Roman" w:cs="Times New Roman"/>
              </w:rPr>
            </w:pPr>
          </w:p>
        </w:tc>
        <w:tc>
          <w:tcPr>
            <w:tcW w:w="1930"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9</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三、公务接待费</w:t>
            </w:r>
          </w:p>
        </w:tc>
        <w:tc>
          <w:tcPr>
            <w:tcW w:w="1867" w:type="dxa"/>
            <w:noWrap w:val="0"/>
            <w:vAlign w:val="center"/>
          </w:tcPr>
          <w:p>
            <w:pPr>
              <w:pStyle w:val="12"/>
              <w:rPr>
                <w:rFonts w:hint="eastAsia" w:ascii="Times New Roman" w:hAnsi="Times New Roman" w:eastAsia="方正书宋_GBK" w:cs="Times New Roman"/>
                <w:lang w:val="en-US" w:eastAsia="zh-CN"/>
              </w:rPr>
            </w:pPr>
            <w:r>
              <w:rPr>
                <w:rFonts w:hint="default" w:ascii="Times New Roman" w:hAnsi="Times New Roman" w:cs="Times New Roman"/>
              </w:rPr>
              <w:t>0.4</w:t>
            </w:r>
            <w:r>
              <w:rPr>
                <w:rFonts w:hint="eastAsia" w:ascii="Times New Roman" w:hAnsi="Times New Roman" w:cs="Times New Roman"/>
                <w:lang w:val="en-US" w:eastAsia="zh-CN"/>
              </w:rPr>
              <w:t>5</w:t>
            </w:r>
          </w:p>
        </w:tc>
        <w:tc>
          <w:tcPr>
            <w:tcW w:w="1930" w:type="dxa"/>
            <w:noWrap w:val="0"/>
            <w:vAlign w:val="center"/>
          </w:tcPr>
          <w:p>
            <w:pPr>
              <w:pStyle w:val="12"/>
              <w:rPr>
                <w:rFonts w:hint="eastAsia" w:ascii="Times New Roman" w:hAnsi="Times New Roman" w:eastAsia="方正书宋_GBK" w:cs="Times New Roman"/>
                <w:lang w:val="en-US" w:eastAsia="zh-CN"/>
              </w:rPr>
            </w:pPr>
            <w:r>
              <w:rPr>
                <w:rFonts w:hint="default" w:ascii="Times New Roman" w:hAnsi="Times New Roman" w:cs="Times New Roman"/>
              </w:rPr>
              <w:t>0.4</w:t>
            </w:r>
            <w:r>
              <w:rPr>
                <w:rFonts w:hint="eastAsia" w:ascii="Times New Roman" w:hAnsi="Times New Roman" w:cs="Times New Roman"/>
                <w:lang w:val="en-US" w:eastAsia="zh-CN"/>
              </w:rPr>
              <w:t>5</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10</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四、会议费</w:t>
            </w:r>
          </w:p>
        </w:tc>
        <w:tc>
          <w:tcPr>
            <w:tcW w:w="1867" w:type="dxa"/>
            <w:noWrap w:val="0"/>
            <w:vAlign w:val="center"/>
          </w:tcPr>
          <w:p>
            <w:pPr>
              <w:pStyle w:val="12"/>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7</w:t>
            </w:r>
            <w:r>
              <w:rPr>
                <w:rFonts w:hint="default" w:ascii="Times New Roman" w:hAnsi="Times New Roman" w:cs="Times New Roman"/>
              </w:rPr>
              <w:t>0</w:t>
            </w:r>
          </w:p>
        </w:tc>
        <w:tc>
          <w:tcPr>
            <w:tcW w:w="1930" w:type="dxa"/>
            <w:noWrap w:val="0"/>
            <w:vAlign w:val="center"/>
          </w:tcPr>
          <w:p>
            <w:pPr>
              <w:pStyle w:val="12"/>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7</w:t>
            </w:r>
            <w:r>
              <w:rPr>
                <w:rFonts w:hint="default" w:ascii="Times New Roman" w:hAnsi="Times New Roman" w:cs="Times New Roman"/>
              </w:rPr>
              <w:t>0</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14"/>
              <w:rPr>
                <w:rFonts w:hint="default" w:ascii="Times New Roman" w:hAnsi="Times New Roman" w:cs="Times New Roman"/>
              </w:rPr>
            </w:pPr>
            <w:r>
              <w:rPr>
                <w:rFonts w:hint="default" w:ascii="Times New Roman" w:hAnsi="Times New Roman" w:cs="Times New Roman"/>
              </w:rPr>
              <w:t>11</w:t>
            </w:r>
          </w:p>
        </w:tc>
        <w:tc>
          <w:tcPr>
            <w:tcW w:w="3165" w:type="dxa"/>
            <w:noWrap w:val="0"/>
            <w:vAlign w:val="center"/>
          </w:tcPr>
          <w:p>
            <w:pPr>
              <w:pStyle w:val="16"/>
              <w:rPr>
                <w:rFonts w:hint="default" w:ascii="Times New Roman" w:hAnsi="Times New Roman" w:cs="Times New Roman"/>
              </w:rPr>
            </w:pPr>
            <w:r>
              <w:rPr>
                <w:rFonts w:hint="default" w:ascii="Times New Roman" w:hAnsi="Times New Roman" w:cs="Times New Roman"/>
              </w:rPr>
              <w:t>五、培训费</w:t>
            </w:r>
          </w:p>
        </w:tc>
        <w:tc>
          <w:tcPr>
            <w:tcW w:w="1867"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3.</w:t>
            </w:r>
            <w:r>
              <w:rPr>
                <w:rFonts w:hint="eastAsia" w:ascii="Times New Roman" w:hAnsi="Times New Roman" w:cs="Times New Roman"/>
                <w:lang w:val="en-US" w:eastAsia="zh-CN"/>
              </w:rPr>
              <w:t>56</w:t>
            </w:r>
          </w:p>
        </w:tc>
        <w:tc>
          <w:tcPr>
            <w:tcW w:w="1930"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rPr>
              <w:t>3.</w:t>
            </w:r>
            <w:r>
              <w:rPr>
                <w:rFonts w:hint="eastAsia" w:ascii="Times New Roman" w:hAnsi="Times New Roman" w:cs="Times New Roman"/>
                <w:lang w:val="en-US" w:eastAsia="zh-CN"/>
              </w:rPr>
              <w:t>56</w:t>
            </w:r>
          </w:p>
        </w:tc>
        <w:tc>
          <w:tcPr>
            <w:tcW w:w="1643" w:type="dxa"/>
            <w:noWrap w:val="0"/>
            <w:vAlign w:val="center"/>
          </w:tcPr>
          <w:p>
            <w:pPr>
              <w:pStyle w:val="12"/>
              <w:rPr>
                <w:rFonts w:hint="default" w:ascii="Times New Roman" w:hAnsi="Times New Roman" w:cs="Times New Roman"/>
              </w:rPr>
            </w:pPr>
          </w:p>
        </w:tc>
        <w:tc>
          <w:tcPr>
            <w:tcW w:w="1643" w:type="dxa"/>
            <w:noWrap w:val="0"/>
            <w:vAlign w:val="center"/>
          </w:tcPr>
          <w:p>
            <w:pPr>
              <w:pStyle w:val="12"/>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b w:val="0"/>
          <w:color w:val="000000"/>
          <w:sz w:val="44"/>
        </w:rPr>
        <w:t>秦皇岛北戴河新区行政审批局本级202</w:t>
      </w:r>
      <w:r>
        <w:rPr>
          <w:rFonts w:hint="eastAsia" w:eastAsia="方正小标宋_GBK" w:cs="Times New Roman"/>
          <w:b w:val="0"/>
          <w:color w:val="000000"/>
          <w:sz w:val="44"/>
          <w:lang w:val="en-US" w:eastAsia="zh-CN"/>
        </w:rPr>
        <w:t>1</w:t>
      </w:r>
      <w:r>
        <w:rPr>
          <w:rFonts w:hint="default" w:ascii="Times New Roman" w:hAnsi="Times New Roman" w:eastAsia="方正小标宋_GBK" w:cs="Times New Roman"/>
          <w:b w:val="0"/>
          <w:color w:val="000000"/>
          <w:sz w:val="44"/>
        </w:rPr>
        <w:t>年单位预算信息公开情况说明</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按照《预算法》、《地方预决算公开操作规程》和《关于进一步推进预算公开工作的实施意见》规定，现将秦皇岛北戴河新区行政审批局本级202</w:t>
      </w:r>
      <w:r>
        <w:rPr>
          <w:rFonts w:hint="eastAsia" w:eastAsia="方正仿宋_GBK" w:cs="Times New Roman"/>
          <w:b w:val="0"/>
          <w:color w:val="000000"/>
          <w:sz w:val="28"/>
          <w:lang w:val="en-US" w:eastAsia="zh-CN"/>
        </w:rPr>
        <w:t>1</w:t>
      </w:r>
      <w:r>
        <w:rPr>
          <w:rFonts w:hint="default"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一、单位职责及机构设置情况</w:t>
      </w:r>
    </w:p>
    <w:p>
      <w:pPr>
        <w:spacing w:before="0" w:after="0" w:line="240" w:lineRule="auto"/>
        <w:ind w:firstLine="640"/>
        <w:jc w:val="left"/>
        <w:outlineLvl w:val="9"/>
        <w:rPr>
          <w:rFonts w:hint="default" w:ascii="Times New Roman" w:hAnsi="Times New Roman" w:eastAsia="方正楷体_GBK" w:cs="Times New Roman"/>
          <w:b/>
          <w:color w:val="000000"/>
          <w:sz w:val="32"/>
        </w:rPr>
      </w:pPr>
      <w:r>
        <w:rPr>
          <w:rFonts w:hint="default" w:ascii="Times New Roman" w:hAnsi="Times New Roman" w:eastAsia="方正楷体_GBK" w:cs="Times New Roman"/>
          <w:b/>
          <w:color w:val="000000"/>
          <w:sz w:val="32"/>
        </w:rPr>
        <w:t>单位职责：</w:t>
      </w:r>
    </w:p>
    <w:p>
      <w:pPr>
        <w:pStyle w:val="28"/>
        <w:rPr>
          <w:rFonts w:hint="default" w:ascii="Times New Roman" w:hAnsi="Times New Roman" w:cs="Times New Roman"/>
        </w:rPr>
      </w:pPr>
      <w:r>
        <w:rPr>
          <w:rFonts w:hint="default" w:ascii="Times New Roman" w:hAnsi="Times New Roman" w:cs="Times New Roman"/>
        </w:rPr>
        <w:t>（一）贯彻执行党中央、国务院和省委省政府、市委市政府和新区工管委“放管服”改革、行政审批制度改革、政务服务管理、公共资源交易市场管理、社会信用体系建设有关方针政策和法律法规。</w:t>
      </w:r>
    </w:p>
    <w:p>
      <w:pPr>
        <w:pStyle w:val="28"/>
        <w:rPr>
          <w:rFonts w:hint="default" w:ascii="Times New Roman" w:hAnsi="Times New Roman" w:cs="Times New Roman"/>
        </w:rPr>
      </w:pPr>
      <w:r>
        <w:rPr>
          <w:rFonts w:hint="default" w:ascii="Times New Roman" w:hAnsi="Times New Roman" w:cs="Times New Roman"/>
        </w:rPr>
        <w:t>（二）指导协调新区行政审批制度改革工作。推进简政放权，清理和规范各类行政许可、公共服务等管理事项；协调推进行政审批标准化工作；承担新区行政审批制度改革工作领导小组的日常工作。</w:t>
      </w:r>
    </w:p>
    <w:p>
      <w:pPr>
        <w:pStyle w:val="28"/>
        <w:rPr>
          <w:rFonts w:hint="default" w:ascii="Times New Roman" w:hAnsi="Times New Roman" w:cs="Times New Roman"/>
        </w:rPr>
      </w:pPr>
      <w:r>
        <w:rPr>
          <w:rFonts w:hint="default" w:ascii="Times New Roman" w:hAnsi="Times New Roman" w:cs="Times New Roman"/>
        </w:rPr>
        <w:t>（三）指导协调全区政务服务管理工作。负责优化政务服务供给，降低制度性交易成本，提升政务服务效能；负责推进审批服务便民化；指导协调新区有关部门为公民、法人或其他组织提供规范、高效、优质的政务服务。</w:t>
      </w:r>
    </w:p>
    <w:p>
      <w:pPr>
        <w:pStyle w:val="28"/>
        <w:rPr>
          <w:rFonts w:hint="default" w:ascii="Times New Roman" w:hAnsi="Times New Roman" w:cs="Times New Roman"/>
        </w:rPr>
      </w:pPr>
      <w:r>
        <w:rPr>
          <w:rFonts w:hint="default" w:ascii="Times New Roman" w:hAnsi="Times New Roman" w:cs="Times New Roman"/>
        </w:rPr>
        <w:t>（四）负责综合协调和监督管理新区各部门、垂管部门行政审批和公共服务事项的集中统一办理。组织相关部门开展审批服务事项的联合办理和联审会办；负责进驻新区政务服务大厅各服务单位的规范、管理和监督。</w:t>
      </w:r>
    </w:p>
    <w:p>
      <w:pPr>
        <w:pStyle w:val="28"/>
        <w:rPr>
          <w:rFonts w:hint="default" w:ascii="Times New Roman" w:hAnsi="Times New Roman" w:cs="Times New Roman"/>
        </w:rPr>
      </w:pPr>
      <w:r>
        <w:rPr>
          <w:rFonts w:hint="default" w:ascii="Times New Roman" w:hAnsi="Times New Roman" w:cs="Times New Roman"/>
        </w:rPr>
        <w:t>（五）负责新区公共资源交易市场工作。负责管理公共资源交易电子服务系统；负责推进公共资源交易领域信用体系建设；指导新区并监督本级公共资源交易项目进场交易；指导并负责本级公共资源交易项目场内交易活动的监督工作，将违法违规问题移送有关部门处理；协调开展本级公共资源交易活动的联动执法。</w:t>
      </w:r>
    </w:p>
    <w:p>
      <w:pPr>
        <w:pStyle w:val="28"/>
        <w:rPr>
          <w:rFonts w:hint="default" w:ascii="Times New Roman" w:hAnsi="Times New Roman" w:cs="Times New Roman"/>
        </w:rPr>
      </w:pPr>
      <w:r>
        <w:rPr>
          <w:rFonts w:hint="default" w:ascii="Times New Roman" w:hAnsi="Times New Roman" w:cs="Times New Roman"/>
        </w:rPr>
        <w:t>（六）统筹推进本级“互联网+政务服务”工作，构建一体化政务服务平台。推行政务服务事项网上办理，形成管理机构、实体大厅、网上平台“三位一体”的政务服务管理模式；推进电子证照库建设；推进本级政务服务平台规范化、标准化、集约化建设和互联互通、数据共享。</w:t>
      </w:r>
    </w:p>
    <w:p>
      <w:pPr>
        <w:pStyle w:val="28"/>
        <w:rPr>
          <w:rFonts w:hint="default" w:ascii="Times New Roman" w:hAnsi="Times New Roman" w:cs="Times New Roman"/>
        </w:rPr>
      </w:pPr>
      <w:r>
        <w:rPr>
          <w:rFonts w:hint="default" w:ascii="Times New Roman" w:hAnsi="Times New Roman" w:cs="Times New Roman"/>
        </w:rPr>
        <w:t>（七）引导和推动社会信用体系建设。负责本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新区社会信用体系建设领导小组的日常工作。</w:t>
      </w:r>
    </w:p>
    <w:p>
      <w:pPr>
        <w:pStyle w:val="28"/>
        <w:rPr>
          <w:rFonts w:hint="default" w:ascii="Times New Roman" w:hAnsi="Times New Roman" w:cs="Times New Roman"/>
        </w:rPr>
      </w:pPr>
      <w:r>
        <w:rPr>
          <w:rFonts w:hint="default" w:ascii="Times New Roman" w:hAnsi="Times New Roman" w:cs="Times New Roman"/>
        </w:rPr>
        <w:t>（八）建立健全新区政务服务、行政审批服务效能可量化的考核评价制度；对进驻事项的办理情况、办理效能，以及办事人员的服务质量等进行监督。</w:t>
      </w:r>
    </w:p>
    <w:p>
      <w:pPr>
        <w:pStyle w:val="28"/>
        <w:rPr>
          <w:rFonts w:hint="default" w:ascii="Times New Roman" w:hAnsi="Times New Roman" w:cs="Times New Roman"/>
        </w:rPr>
      </w:pPr>
      <w:r>
        <w:rPr>
          <w:rFonts w:hint="default" w:ascii="Times New Roman" w:hAnsi="Times New Roman" w:cs="Times New Roman"/>
        </w:rPr>
        <w:t>（九）负责投资项目、市场服务、社会事务、生态环境、住建城管、食品卫生、文教体卫、农林畜水等方面行政审批事项的办理及相关行政性收费，并承担相应的法律责任。</w:t>
      </w:r>
    </w:p>
    <w:p>
      <w:pPr>
        <w:pStyle w:val="28"/>
        <w:rPr>
          <w:rFonts w:hint="default" w:ascii="Times New Roman" w:hAnsi="Times New Roman" w:cs="Times New Roman"/>
        </w:rPr>
      </w:pPr>
      <w:r>
        <w:rPr>
          <w:rFonts w:hint="default" w:ascii="Times New Roman" w:hAnsi="Times New Roman" w:cs="Times New Roman"/>
        </w:rPr>
        <w:t>（十）负责建立行政审批技术性环节第三方办理工作机制；组织召开相关评审会、听证会，开展专家评审、现场勘验核查等工作；对行政审批、公共服务等涉及专家评审的工作进行管理。</w:t>
      </w:r>
    </w:p>
    <w:p>
      <w:pPr>
        <w:pStyle w:val="28"/>
        <w:rPr>
          <w:rFonts w:hint="default" w:ascii="Times New Roman" w:hAnsi="Times New Roman" w:cs="Times New Roman"/>
        </w:rPr>
      </w:pPr>
      <w:r>
        <w:rPr>
          <w:rFonts w:hint="default" w:ascii="Times New Roman" w:hAnsi="Times New Roman" w:cs="Times New Roman"/>
        </w:rPr>
        <w:t>（十一）承办新区工管委交办的其他事项。</w:t>
      </w: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pStyle w:val="33"/>
        <w:rPr>
          <w:rFonts w:hint="default" w:ascii="Times New Roman" w:hAnsi="Times New Roman" w:cs="Times New Roman"/>
        </w:rPr>
      </w:pPr>
    </w:p>
    <w:p>
      <w:pPr>
        <w:pStyle w:val="33"/>
        <w:rPr>
          <w:rFonts w:hint="default" w:ascii="Times New Roman" w:hAnsi="Times New Roman" w:cs="Times New Roman"/>
        </w:rPr>
      </w:pPr>
    </w:p>
    <w:p>
      <w:pPr>
        <w:pStyle w:val="33"/>
        <w:rPr>
          <w:rFonts w:hint="default" w:ascii="Times New Roman" w:hAnsi="Times New Roman" w:cs="Times New Roman"/>
        </w:rPr>
      </w:pPr>
    </w:p>
    <w:p>
      <w:pPr>
        <w:pStyle w:val="33"/>
        <w:rPr>
          <w:rFonts w:hint="default" w:ascii="Times New Roman" w:hAnsi="Times New Roman" w:cs="Times New Roman"/>
        </w:rPr>
      </w:pPr>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机构设置：</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29"/>
              <w:rPr>
                <w:rFonts w:hint="default" w:ascii="Times New Roman" w:hAnsi="Times New Roman" w:cs="Times New Roman"/>
              </w:rPr>
            </w:pPr>
            <w:r>
              <w:rPr>
                <w:rFonts w:hint="default" w:ascii="Times New Roman" w:hAnsi="Times New Roman" w:cs="Times New Roman"/>
              </w:rPr>
              <w:t>单位名称</w:t>
            </w:r>
          </w:p>
        </w:tc>
        <w:tc>
          <w:tcPr>
            <w:tcW w:w="2464" w:type="dxa"/>
            <w:noWrap w:val="0"/>
            <w:vAlign w:val="center"/>
          </w:tcPr>
          <w:p>
            <w:pPr>
              <w:pStyle w:val="29"/>
              <w:rPr>
                <w:rFonts w:hint="default" w:ascii="Times New Roman" w:hAnsi="Times New Roman" w:cs="Times New Roman"/>
              </w:rPr>
            </w:pPr>
            <w:r>
              <w:rPr>
                <w:rFonts w:hint="default" w:ascii="Times New Roman" w:hAnsi="Times New Roman" w:cs="Times New Roman"/>
              </w:rPr>
              <w:t>单位性质</w:t>
            </w:r>
          </w:p>
        </w:tc>
        <w:tc>
          <w:tcPr>
            <w:tcW w:w="2464" w:type="dxa"/>
            <w:noWrap w:val="0"/>
            <w:vAlign w:val="center"/>
          </w:tcPr>
          <w:p>
            <w:pPr>
              <w:pStyle w:val="29"/>
              <w:rPr>
                <w:rFonts w:hint="default" w:ascii="Times New Roman" w:hAnsi="Times New Roman" w:cs="Times New Roman"/>
              </w:rPr>
            </w:pPr>
            <w:r>
              <w:rPr>
                <w:rFonts w:hint="default" w:ascii="Times New Roman" w:hAnsi="Times New Roman" w:cs="Times New Roman"/>
              </w:rPr>
              <w:t>单位规格</w:t>
            </w:r>
          </w:p>
        </w:tc>
        <w:tc>
          <w:tcPr>
            <w:tcW w:w="2464" w:type="dxa"/>
            <w:noWrap w:val="0"/>
            <w:vAlign w:val="center"/>
          </w:tcPr>
          <w:p>
            <w:pPr>
              <w:pStyle w:val="29"/>
              <w:rPr>
                <w:rFonts w:hint="default" w:ascii="Times New Roman" w:hAnsi="Times New Roman" w:cs="Times New Roman"/>
              </w:rPr>
            </w:pPr>
            <w:r>
              <w:rPr>
                <w:rFonts w:hint="default" w:ascii="Times New Roman" w:hAnsi="Times New Roman" w:cs="Times New Roma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6"/>
              <w:rPr>
                <w:rFonts w:hint="default" w:ascii="Times New Roman" w:hAnsi="Times New Roman" w:cs="Times New Roman"/>
              </w:rPr>
            </w:pPr>
            <w:r>
              <w:rPr>
                <w:rFonts w:hint="default" w:ascii="Times New Roman" w:hAnsi="Times New Roman" w:cs="Times New Roman"/>
              </w:rPr>
              <w:t>秦皇岛北戴河新区行政审批局本级</w:t>
            </w:r>
          </w:p>
        </w:tc>
        <w:tc>
          <w:tcPr>
            <w:tcW w:w="2464" w:type="dxa"/>
            <w:noWrap w:val="0"/>
            <w:vAlign w:val="center"/>
          </w:tcPr>
          <w:p>
            <w:pPr>
              <w:pStyle w:val="14"/>
              <w:rPr>
                <w:rFonts w:hint="default" w:ascii="Times New Roman" w:hAnsi="Times New Roman" w:cs="Times New Roman"/>
              </w:rPr>
            </w:pPr>
            <w:r>
              <w:rPr>
                <w:rFonts w:hint="default" w:ascii="Times New Roman" w:hAnsi="Times New Roman" w:cs="Times New Roman"/>
              </w:rPr>
              <w:t>行政</w:t>
            </w:r>
          </w:p>
        </w:tc>
        <w:tc>
          <w:tcPr>
            <w:tcW w:w="2464" w:type="dxa"/>
            <w:noWrap w:val="0"/>
            <w:vAlign w:val="center"/>
          </w:tcPr>
          <w:p>
            <w:pPr>
              <w:pStyle w:val="14"/>
              <w:rPr>
                <w:rFonts w:hint="default" w:ascii="Times New Roman" w:hAnsi="Times New Roman" w:cs="Times New Roman"/>
              </w:rPr>
            </w:pPr>
            <w:r>
              <w:rPr>
                <w:rFonts w:hint="default" w:ascii="Times New Roman" w:hAnsi="Times New Roman" w:cs="Times New Roman"/>
              </w:rPr>
              <w:t>副处（县）级</w:t>
            </w:r>
          </w:p>
        </w:tc>
        <w:tc>
          <w:tcPr>
            <w:tcW w:w="2464" w:type="dxa"/>
            <w:noWrap w:val="0"/>
            <w:vAlign w:val="center"/>
          </w:tcPr>
          <w:p>
            <w:pPr>
              <w:pStyle w:val="14"/>
              <w:rPr>
                <w:rFonts w:hint="default" w:ascii="Times New Roman" w:hAnsi="Times New Roman" w:cs="Times New Roman"/>
              </w:rPr>
            </w:pPr>
            <w:r>
              <w:rPr>
                <w:rFonts w:hint="default" w:ascii="Times New Roman" w:hAnsi="Times New Roman" w:cs="Times New Roman"/>
              </w:rPr>
              <w:t>财政拨款</w:t>
            </w:r>
          </w:p>
        </w:tc>
      </w:tr>
    </w:tbl>
    <w:p>
      <w:pPr>
        <w:numPr>
          <w:ilvl w:val="0"/>
          <w:numId w:val="2"/>
        </w:numPr>
        <w:spacing w:before="10" w:after="10" w:line="240" w:lineRule="auto"/>
        <w:ind w:firstLine="640"/>
        <w:jc w:val="left"/>
        <w:outlineLvl w:val="5"/>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单位预算安排的总体情况</w:t>
      </w:r>
    </w:p>
    <w:p>
      <w:pPr>
        <w:pStyle w:val="28"/>
        <w:outlineLvl w:val="9"/>
        <w:rPr>
          <w:rFonts w:hint="default" w:ascii="Times New Roman" w:hAnsi="Times New Roman" w:cs="Times New Roman"/>
          <w:lang w:eastAsia="zh-CN"/>
        </w:rPr>
      </w:pPr>
      <w:r>
        <w:rPr>
          <w:rFonts w:hint="default"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8"/>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收入说明</w:t>
      </w:r>
    </w:p>
    <w:p>
      <w:pPr>
        <w:pStyle w:val="28"/>
        <w:outlineLvl w:val="9"/>
        <w:rPr>
          <w:rFonts w:hint="default" w:ascii="Times New Roman" w:hAnsi="Times New Roman" w:cs="Times New Roman"/>
        </w:rPr>
      </w:pPr>
      <w:r>
        <w:rPr>
          <w:rFonts w:hint="default" w:ascii="Times New Roman" w:hAnsi="Times New Roman" w:cs="Times New Roman"/>
          <w:lang w:eastAsia="zh-CN"/>
        </w:rPr>
        <w:t>2021年</w:t>
      </w:r>
      <w:r>
        <w:rPr>
          <w:rFonts w:hint="default" w:ascii="Times New Roman" w:hAnsi="Times New Roman" w:cs="Times New Roman"/>
        </w:rPr>
        <w:t>预算收入</w:t>
      </w:r>
      <w:r>
        <w:rPr>
          <w:rFonts w:hint="eastAsia" w:ascii="Times New Roman" w:hAnsi="Times New Roman" w:eastAsia="方正仿宋简体" w:cs="Times New Roman"/>
          <w:color w:val="auto"/>
          <w:kern w:val="0"/>
          <w:sz w:val="32"/>
          <w:szCs w:val="32"/>
          <w:lang w:val="en-US" w:eastAsia="zh-CN"/>
        </w:rPr>
        <w:t xml:space="preserve"> 756.13</w:t>
      </w:r>
      <w:r>
        <w:rPr>
          <w:rFonts w:hint="default" w:ascii="Times New Roman" w:hAnsi="Times New Roman" w:cs="Times New Roman"/>
          <w:lang w:val="en-US" w:eastAsia="zh-CN"/>
        </w:rPr>
        <w:t xml:space="preserve"> </w:t>
      </w:r>
      <w:r>
        <w:rPr>
          <w:rFonts w:hint="default" w:ascii="Times New Roman" w:hAnsi="Times New Roman" w:cs="Times New Roman"/>
        </w:rPr>
        <w:t>万元，一般公共预算拨款</w:t>
      </w:r>
      <w:r>
        <w:rPr>
          <w:rFonts w:hint="eastAsia" w:ascii="Times New Roman" w:hAnsi="Times New Roman" w:eastAsia="方正仿宋简体" w:cs="Times New Roman"/>
          <w:color w:val="auto"/>
          <w:kern w:val="0"/>
          <w:sz w:val="32"/>
          <w:szCs w:val="32"/>
          <w:lang w:val="en-US" w:eastAsia="zh-CN"/>
        </w:rPr>
        <w:t xml:space="preserve"> 756.13</w:t>
      </w:r>
      <w:r>
        <w:rPr>
          <w:rFonts w:hint="default" w:ascii="Times New Roman" w:hAnsi="Times New Roman" w:cs="Times New Roman"/>
        </w:rPr>
        <w:t>万元。</w:t>
      </w:r>
    </w:p>
    <w:p>
      <w:pPr>
        <w:pStyle w:val="28"/>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支出说明</w:t>
      </w:r>
    </w:p>
    <w:p>
      <w:pPr>
        <w:pStyle w:val="28"/>
        <w:outlineLvl w:val="9"/>
        <w:rPr>
          <w:rFonts w:hint="default" w:ascii="Times New Roman" w:hAnsi="Times New Roman" w:cs="Times New Roman"/>
        </w:rPr>
      </w:pPr>
      <w:r>
        <w:rPr>
          <w:rFonts w:hint="default" w:ascii="Times New Roman" w:hAnsi="Times New Roman" w:cs="Times New Roman"/>
          <w:lang w:eastAsia="zh-CN"/>
        </w:rPr>
        <w:t>2021年</w:t>
      </w:r>
      <w:r>
        <w:rPr>
          <w:rFonts w:hint="default" w:ascii="Times New Roman" w:hAnsi="Times New Roman" w:cs="Times New Roman"/>
        </w:rPr>
        <w:t>部门支出预算为</w:t>
      </w:r>
      <w:r>
        <w:rPr>
          <w:rFonts w:hint="eastAsia" w:ascii="Times New Roman" w:hAnsi="Times New Roman" w:eastAsia="方正仿宋简体" w:cs="Times New Roman"/>
          <w:color w:val="auto"/>
          <w:kern w:val="0"/>
          <w:sz w:val="32"/>
          <w:szCs w:val="32"/>
          <w:lang w:val="en-US" w:eastAsia="zh-CN"/>
        </w:rPr>
        <w:t xml:space="preserve"> 756.13</w:t>
      </w:r>
      <w:r>
        <w:rPr>
          <w:rFonts w:hint="default" w:ascii="Times New Roman" w:hAnsi="Times New Roman" w:cs="Times New Roman"/>
        </w:rPr>
        <w:t>万元，其中基本支出</w:t>
      </w:r>
      <w:r>
        <w:rPr>
          <w:rFonts w:hint="eastAsia" w:ascii="Times New Roman" w:hAnsi="Times New Roman" w:eastAsia="方正仿宋简体" w:cs="Times New Roman"/>
          <w:color w:val="auto"/>
          <w:kern w:val="0"/>
          <w:sz w:val="32"/>
          <w:szCs w:val="32"/>
          <w:lang w:val="en-US" w:eastAsia="zh-CN"/>
        </w:rPr>
        <w:t>641.13</w:t>
      </w:r>
      <w:r>
        <w:rPr>
          <w:rFonts w:hint="default" w:ascii="Times New Roman" w:hAnsi="Times New Roman" w:cs="Times New Roman"/>
        </w:rPr>
        <w:t>万元，包括人员经费</w:t>
      </w:r>
      <w:r>
        <w:rPr>
          <w:rFonts w:hint="eastAsia" w:ascii="Times New Roman" w:hAnsi="Times New Roman" w:eastAsia="方正仿宋简体" w:cs="Times New Roman"/>
          <w:color w:val="auto"/>
          <w:kern w:val="0"/>
          <w:sz w:val="32"/>
          <w:szCs w:val="32"/>
          <w:lang w:val="en-US" w:eastAsia="zh-CN"/>
        </w:rPr>
        <w:t>599.25</w:t>
      </w:r>
      <w:r>
        <w:rPr>
          <w:rFonts w:hint="default" w:ascii="Times New Roman" w:hAnsi="Times New Roman" w:cs="Times New Roman"/>
        </w:rPr>
        <w:t>万元和日常公用经费</w:t>
      </w:r>
      <w:r>
        <w:rPr>
          <w:rFonts w:hint="eastAsia" w:ascii="Times New Roman" w:hAnsi="Times New Roman" w:eastAsia="方正仿宋简体" w:cs="Times New Roman"/>
          <w:color w:val="auto"/>
          <w:kern w:val="0"/>
          <w:sz w:val="32"/>
          <w:szCs w:val="32"/>
          <w:lang w:val="en-US" w:eastAsia="zh-CN"/>
        </w:rPr>
        <w:t>41.88</w:t>
      </w:r>
      <w:r>
        <w:rPr>
          <w:rFonts w:hint="default" w:ascii="Times New Roman" w:hAnsi="Times New Roman" w:cs="Times New Roman"/>
        </w:rPr>
        <w:t>万元；项目支出</w:t>
      </w:r>
      <w:r>
        <w:rPr>
          <w:rFonts w:hint="default" w:ascii="Times New Roman" w:hAnsi="Times New Roman" w:cs="Times New Roman"/>
          <w:lang w:val="en-US" w:eastAsia="zh-CN"/>
        </w:rPr>
        <w:t>11</w:t>
      </w:r>
      <w:r>
        <w:rPr>
          <w:rFonts w:hint="eastAsia" w:cs="Times New Roman"/>
          <w:lang w:val="en-US" w:eastAsia="zh-CN"/>
        </w:rPr>
        <w:t>5</w:t>
      </w:r>
      <w:r>
        <w:rPr>
          <w:rFonts w:hint="default" w:ascii="Times New Roman" w:hAnsi="Times New Roman" w:cs="Times New Roman"/>
        </w:rPr>
        <w:t>万元，全部为本级支出。</w:t>
      </w:r>
    </w:p>
    <w:p>
      <w:pPr>
        <w:pStyle w:val="28"/>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比上年增减情况</w:t>
      </w:r>
    </w:p>
    <w:p>
      <w:pPr>
        <w:pStyle w:val="28"/>
        <w:outlineLvl w:val="9"/>
        <w:rPr>
          <w:rFonts w:hint="default" w:ascii="Times New Roman" w:hAnsi="Times New Roman" w:cs="Times New Roman"/>
        </w:rPr>
      </w:pPr>
      <w:r>
        <w:rPr>
          <w:rFonts w:hint="eastAsia" w:ascii="Times New Roman" w:hAnsi="Times New Roman" w:eastAsia="方正仿宋简体" w:cs="Times New Roman"/>
          <w:color w:val="auto"/>
          <w:kern w:val="0"/>
          <w:sz w:val="32"/>
          <w:szCs w:val="32"/>
          <w:lang w:eastAsia="zh-CN"/>
        </w:rPr>
        <w:t>2021</w:t>
      </w:r>
      <w:r>
        <w:rPr>
          <w:rFonts w:hint="eastAsia" w:ascii="Times New Roman" w:hAnsi="Times New Roman" w:cs="Times New Roman"/>
          <w:lang w:val="en-US" w:eastAsia="zh-CN"/>
        </w:rPr>
        <w:t>年</w:t>
      </w:r>
      <w:r>
        <w:rPr>
          <w:rFonts w:hint="default" w:ascii="Times New Roman" w:hAnsi="Times New Roman" w:cs="Times New Roman"/>
          <w:lang w:val="en-US" w:eastAsia="zh-CN"/>
        </w:rPr>
        <w:t>部门预算较20</w:t>
      </w:r>
      <w:r>
        <w:rPr>
          <w:rFonts w:hint="eastAsia" w:ascii="Times New Roman" w:hAnsi="Times New Roman" w:cs="Times New Roman"/>
          <w:lang w:val="en-US" w:eastAsia="zh-CN"/>
        </w:rPr>
        <w:t>20</w:t>
      </w:r>
      <w:r>
        <w:rPr>
          <w:rFonts w:hint="default" w:ascii="Times New Roman" w:hAnsi="Times New Roman" w:cs="Times New Roman"/>
          <w:lang w:val="en-US" w:eastAsia="zh-CN"/>
        </w:rPr>
        <w:t>年</w:t>
      </w:r>
      <w:r>
        <w:rPr>
          <w:rFonts w:hint="eastAsia" w:ascii="Times New Roman" w:hAnsi="Times New Roman" w:cs="Times New Roman"/>
          <w:lang w:val="en-US" w:eastAsia="zh-CN"/>
        </w:rPr>
        <w:t>增加67.52</w:t>
      </w:r>
      <w:r>
        <w:rPr>
          <w:rFonts w:hint="default" w:ascii="Times New Roman" w:hAnsi="Times New Roman" w:cs="Times New Roman"/>
          <w:lang w:val="en-US" w:eastAsia="zh-CN"/>
        </w:rPr>
        <w:t>万元，其中基本支出</w:t>
      </w:r>
      <w:r>
        <w:rPr>
          <w:rFonts w:hint="eastAsia" w:ascii="Times New Roman" w:hAnsi="Times New Roman" w:cs="Times New Roman"/>
          <w:lang w:val="en-US" w:eastAsia="zh-CN"/>
        </w:rPr>
        <w:t>增加37.52</w:t>
      </w:r>
      <w:r>
        <w:rPr>
          <w:rFonts w:hint="default" w:ascii="Times New Roman" w:hAnsi="Times New Roman" w:cs="Times New Roman"/>
          <w:lang w:val="en-US" w:eastAsia="zh-CN"/>
        </w:rPr>
        <w:t>万元；项目支出</w:t>
      </w:r>
      <w:r>
        <w:rPr>
          <w:rFonts w:hint="eastAsia" w:ascii="Times New Roman" w:hAnsi="Times New Roman" w:cs="Times New Roman"/>
          <w:lang w:val="en-US" w:eastAsia="zh-CN"/>
        </w:rPr>
        <w:t>增加30</w:t>
      </w:r>
      <w:r>
        <w:rPr>
          <w:rFonts w:hint="default" w:ascii="Times New Roman" w:hAnsi="Times New Roman" w:cs="Times New Roman"/>
          <w:lang w:val="en-US" w:eastAsia="zh-CN"/>
        </w:rPr>
        <w:t>万元，主要</w:t>
      </w:r>
      <w:r>
        <w:rPr>
          <w:rFonts w:hint="eastAsia" w:ascii="Times New Roman" w:hAnsi="Times New Roman" w:cs="Times New Roman"/>
          <w:lang w:val="en-US" w:eastAsia="zh-CN"/>
        </w:rPr>
        <w:t>是增加行政审批工作经费</w:t>
      </w:r>
      <w:r>
        <w:rPr>
          <w:rFonts w:hint="eastAsia" w:cs="Times New Roman"/>
          <w:lang w:val="en-US" w:eastAsia="zh-CN"/>
        </w:rPr>
        <w:t>。</w:t>
      </w:r>
    </w:p>
    <w:p>
      <w:pPr>
        <w:numPr>
          <w:ilvl w:val="0"/>
          <w:numId w:val="0"/>
        </w:numPr>
        <w:spacing w:before="10" w:after="10" w:line="240" w:lineRule="auto"/>
        <w:ind w:left="720" w:leftChars="0"/>
        <w:jc w:val="left"/>
        <w:outlineLvl w:val="5"/>
        <w:rPr>
          <w:rFonts w:hint="default" w:ascii="Times New Roman" w:hAnsi="Times New Roman" w:eastAsia="黑体" w:cs="Times New Roman"/>
          <w:color w:val="000000"/>
          <w:sz w:val="32"/>
        </w:rPr>
      </w:pPr>
      <w:r>
        <w:rPr>
          <w:rFonts w:hint="eastAsia" w:eastAsia="黑体" w:cs="Times New Roman"/>
          <w:color w:val="000000"/>
          <w:sz w:val="32"/>
          <w:lang w:eastAsia="zh-CN"/>
        </w:rPr>
        <w:t>三、</w:t>
      </w:r>
      <w:r>
        <w:rPr>
          <w:rFonts w:hint="default" w:ascii="Times New Roman" w:hAnsi="Times New Roman" w:eastAsia="黑体" w:cs="Times New Roman"/>
          <w:color w:val="000000"/>
          <w:sz w:val="32"/>
        </w:rPr>
        <w:t>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color w:val="000000"/>
          <w:sz w:val="28"/>
          <w:szCs w:val="24"/>
          <w:lang w:val="en-US" w:eastAsia="zh-CN" w:bidi="ar-SA"/>
        </w:rPr>
      </w:pPr>
      <w:r>
        <w:rPr>
          <w:rFonts w:hint="default" w:ascii="Times New Roman" w:hAnsi="Times New Roman" w:eastAsia="黑体" w:cs="Times New Roman"/>
          <w:color w:val="000000"/>
          <w:sz w:val="32"/>
          <w:lang w:val="en-US" w:eastAsia="zh-CN"/>
        </w:rPr>
        <w:t xml:space="preserve">    </w:t>
      </w:r>
      <w:r>
        <w:rPr>
          <w:rFonts w:hint="default" w:ascii="Times New Roman" w:hAnsi="Times New Roman" w:eastAsia="方正仿宋_GBK" w:cs="Times New Roman"/>
          <w:sz w:val="28"/>
          <w:szCs w:val="24"/>
          <w:lang w:val="en-US" w:eastAsia="zh-CN" w:bidi="ar-SA"/>
        </w:rPr>
        <w:t xml:space="preserve"> </w:t>
      </w:r>
      <w:r>
        <w:rPr>
          <w:rFonts w:hint="default" w:ascii="Times New Roman" w:hAnsi="Times New Roman" w:eastAsia="方正仿宋_GBK" w:cs="Times New Roman"/>
          <w:color w:val="000000"/>
          <w:sz w:val="28"/>
          <w:szCs w:val="24"/>
          <w:lang w:val="en-US" w:eastAsia="zh-CN" w:bidi="ar-SA"/>
        </w:rPr>
        <w:t>机关运行经费共计安排</w:t>
      </w:r>
      <w:r>
        <w:rPr>
          <w:rFonts w:hint="eastAsia" w:ascii="Times New Roman" w:hAnsi="Times New Roman" w:eastAsia="方正仿宋_GBK" w:cs="Times New Roman"/>
          <w:color w:val="000000"/>
          <w:sz w:val="28"/>
          <w:szCs w:val="24"/>
          <w:lang w:val="en-US" w:eastAsia="zh-CN" w:bidi="ar-SA"/>
        </w:rPr>
        <w:t>41.88</w:t>
      </w:r>
      <w:r>
        <w:rPr>
          <w:rFonts w:hint="default" w:ascii="Times New Roman" w:hAnsi="Times New Roman" w:eastAsia="方正仿宋_GBK" w:cs="Times New Roman"/>
          <w:color w:val="000000"/>
          <w:sz w:val="28"/>
          <w:szCs w:val="24"/>
          <w:lang w:val="en-US" w:eastAsia="zh-CN" w:bidi="ar-SA"/>
        </w:rPr>
        <w:t>万元，主要用于保证机关正常运转支的办公费、印刷费、差旅费、会议费、福利费、专用材料及一般设备购置费、办公用房水电费、日常维修费、办公楼物业管理费等支出。</w:t>
      </w:r>
    </w:p>
    <w:p>
      <w:pPr>
        <w:pStyle w:val="21"/>
        <w:outlineLvl w:val="9"/>
        <w:rPr>
          <w:rFonts w:hint="default" w:ascii="Times New Roman" w:hAnsi="Times New Roman" w:cs="Times New Roman"/>
          <w:lang w:val="en-US" w:eastAsia="zh-CN"/>
        </w:rPr>
      </w:pPr>
    </w:p>
    <w:p>
      <w:pPr>
        <w:spacing w:before="10" w:after="10" w:line="360" w:lineRule="auto"/>
        <w:ind w:firstLine="640"/>
        <w:jc w:val="left"/>
        <w:outlineLvl w:val="2"/>
        <w:rPr>
          <w:rFonts w:hint="default" w:ascii="Times New Roman" w:hAnsi="Times New Roman" w:cs="Times New Roman"/>
        </w:rPr>
      </w:pPr>
      <w:r>
        <w:rPr>
          <w:rFonts w:hint="default" w:ascii="Times New Roman" w:hAnsi="Times New Roman" w:eastAsia="黑体" w:cs="Times New Roman"/>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2021年</w:t>
      </w:r>
      <w:r>
        <w:rPr>
          <w:rFonts w:hint="default" w:ascii="Times New Roman" w:hAnsi="Times New Roman" w:eastAsia="方正仿宋_GBK" w:cs="Times New Roman"/>
          <w:color w:val="000000"/>
          <w:sz w:val="28"/>
          <w:szCs w:val="24"/>
          <w:lang w:val="en-US" w:eastAsia="zh-CN" w:bidi="ar-SA"/>
        </w:rPr>
        <w:t>，财政拨款“三公”经费预算安排</w:t>
      </w:r>
      <w:r>
        <w:rPr>
          <w:rFonts w:hint="eastAsia" w:ascii="Times New Roman" w:hAnsi="Times New Roman" w:eastAsia="方正仿宋_GBK" w:cs="Times New Roman"/>
          <w:color w:val="000000"/>
          <w:sz w:val="28"/>
          <w:szCs w:val="24"/>
          <w:lang w:val="en-US" w:eastAsia="zh-CN" w:bidi="ar-SA"/>
        </w:rPr>
        <w:t>0.45</w:t>
      </w:r>
      <w:r>
        <w:rPr>
          <w:rFonts w:hint="default" w:ascii="Times New Roman" w:hAnsi="Times New Roman" w:eastAsia="方正仿宋_GBK" w:cs="Times New Roman"/>
          <w:color w:val="000000"/>
          <w:sz w:val="28"/>
          <w:szCs w:val="24"/>
          <w:lang w:val="en-US" w:eastAsia="zh-CN" w:bidi="ar-SA"/>
        </w:rPr>
        <w:t>万元，其中：因公出国（境）费0万元；公务用车购置及运维费</w:t>
      </w:r>
      <w:r>
        <w:rPr>
          <w:rFonts w:hint="eastAsia" w:ascii="Times New Roman" w:hAnsi="Times New Roman" w:eastAsia="方正仿宋_GBK" w:cs="Times New Roman"/>
          <w:color w:val="000000"/>
          <w:sz w:val="28"/>
          <w:szCs w:val="24"/>
          <w:lang w:val="en-US" w:eastAsia="zh-CN" w:bidi="ar-SA"/>
        </w:rPr>
        <w:t>0</w:t>
      </w:r>
      <w:r>
        <w:rPr>
          <w:rFonts w:hint="default" w:ascii="Times New Roman" w:hAnsi="Times New Roman" w:eastAsia="方正仿宋_GBK" w:cs="Times New Roman"/>
          <w:color w:val="000000"/>
          <w:sz w:val="28"/>
          <w:szCs w:val="24"/>
          <w:lang w:val="en-US" w:eastAsia="zh-CN" w:bidi="ar-SA"/>
        </w:rPr>
        <w:t>万元（其中：公务用车运行费</w:t>
      </w:r>
      <w:r>
        <w:rPr>
          <w:rFonts w:hint="eastAsia" w:ascii="Times New Roman" w:hAnsi="Times New Roman" w:eastAsia="方正仿宋_GBK" w:cs="Times New Roman"/>
          <w:color w:val="000000"/>
          <w:sz w:val="28"/>
          <w:szCs w:val="24"/>
          <w:lang w:val="en-US" w:eastAsia="zh-CN" w:bidi="ar-SA"/>
        </w:rPr>
        <w:t>0</w:t>
      </w:r>
      <w:r>
        <w:rPr>
          <w:rFonts w:hint="default" w:ascii="Times New Roman" w:hAnsi="Times New Roman" w:eastAsia="方正仿宋_GBK" w:cs="Times New Roman"/>
          <w:color w:val="000000"/>
          <w:sz w:val="28"/>
          <w:szCs w:val="24"/>
          <w:lang w:val="en-US" w:eastAsia="zh-CN" w:bidi="ar-SA"/>
        </w:rPr>
        <w:t>万元)；公务接待费0.</w:t>
      </w:r>
      <w:r>
        <w:rPr>
          <w:rFonts w:hint="eastAsia" w:ascii="Times New Roman" w:hAnsi="Times New Roman" w:eastAsia="方正仿宋_GBK" w:cs="Times New Roman"/>
          <w:color w:val="000000"/>
          <w:sz w:val="28"/>
          <w:szCs w:val="24"/>
          <w:lang w:val="en-US" w:eastAsia="zh-CN" w:bidi="ar-SA"/>
        </w:rPr>
        <w:t>45</w:t>
      </w:r>
      <w:r>
        <w:rPr>
          <w:rFonts w:hint="default" w:ascii="Times New Roman" w:hAnsi="Times New Roman" w:eastAsia="方正仿宋_GBK" w:cs="Times New Roman"/>
          <w:color w:val="000000"/>
          <w:sz w:val="28"/>
          <w:szCs w:val="24"/>
          <w:lang w:val="en-US" w:eastAsia="zh-CN" w:bidi="ar-SA"/>
        </w:rPr>
        <w:t>万元。“三公”经费较上年下降</w:t>
      </w:r>
      <w:r>
        <w:rPr>
          <w:rFonts w:hint="eastAsia" w:ascii="Times New Roman" w:hAnsi="Times New Roman" w:eastAsia="方正仿宋_GBK" w:cs="Times New Roman"/>
          <w:color w:val="000000"/>
          <w:sz w:val="28"/>
          <w:szCs w:val="24"/>
          <w:lang w:val="en-US" w:eastAsia="zh-CN" w:bidi="ar-SA"/>
        </w:rPr>
        <w:t>84.69</w:t>
      </w:r>
      <w:r>
        <w:rPr>
          <w:rFonts w:hint="default" w:ascii="Times New Roman" w:hAnsi="Times New Roman" w:eastAsia="方正仿宋_GBK" w:cs="Times New Roman"/>
          <w:color w:val="000000"/>
          <w:sz w:val="28"/>
          <w:szCs w:val="24"/>
          <w:lang w:val="en-US" w:eastAsia="zh-CN" w:bidi="ar-SA"/>
        </w:rPr>
        <w:t>%，主要原因是</w:t>
      </w:r>
      <w:r>
        <w:rPr>
          <w:rFonts w:hint="eastAsia" w:ascii="Times New Roman" w:hAnsi="Times New Roman" w:eastAsia="方正仿宋_GBK" w:cs="Times New Roman"/>
          <w:color w:val="000000"/>
          <w:sz w:val="28"/>
          <w:szCs w:val="24"/>
          <w:lang w:val="en-US" w:eastAsia="zh-CN" w:bidi="ar-SA"/>
        </w:rPr>
        <w:t>压减</w:t>
      </w:r>
      <w:r>
        <w:rPr>
          <w:rFonts w:hint="default" w:ascii="Times New Roman" w:hAnsi="Times New Roman" w:eastAsia="方正仿宋_GBK" w:cs="Times New Roman"/>
          <w:color w:val="000000"/>
          <w:sz w:val="28"/>
          <w:szCs w:val="24"/>
          <w:lang w:val="en-US" w:eastAsia="zh-CN" w:bidi="ar-SA"/>
        </w:rPr>
        <w:t>公务接待费</w:t>
      </w:r>
      <w:r>
        <w:rPr>
          <w:rFonts w:hint="eastAsia" w:ascii="Times New Roman" w:hAnsi="Times New Roman" w:eastAsia="方正仿宋_GBK" w:cs="Times New Roman"/>
          <w:color w:val="000000"/>
          <w:sz w:val="28"/>
          <w:szCs w:val="24"/>
          <w:lang w:val="en-US" w:eastAsia="zh-CN" w:bidi="ar-SA"/>
        </w:rPr>
        <w:t>。</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五、预算绩效信息</w:t>
      </w:r>
    </w:p>
    <w:p>
      <w:pPr>
        <w:pStyle w:val="20"/>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1、行政审批工作经费绩效目标表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31"/>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noWrap w:val="0"/>
            <w:vAlign w:val="center"/>
          </w:tcPr>
          <w:p>
            <w:pPr>
              <w:pStyle w:val="21"/>
              <w:rPr>
                <w:rFonts w:hint="default" w:ascii="Times New Roman" w:hAnsi="Times New Roman" w:cs="Times New Roman"/>
              </w:rPr>
            </w:pPr>
            <w:r>
              <w:rPr>
                <w:rFonts w:hint="default" w:ascii="Times New Roman" w:hAnsi="Times New Roman" w:cs="Times New Roman"/>
              </w:rPr>
              <w:t>1.保障审批大厅各方面设备设施安全正常运行以保证业务审批正常运行</w:t>
            </w:r>
          </w:p>
          <w:p>
            <w:pPr>
              <w:pStyle w:val="21"/>
              <w:rPr>
                <w:rFonts w:hint="default" w:ascii="Times New Roman" w:hAnsi="Times New Roman" w:cs="Times New Roman"/>
              </w:rPr>
            </w:pPr>
            <w:r>
              <w:rPr>
                <w:rFonts w:hint="default" w:ascii="Times New Roman" w:hAnsi="Times New Roman" w:cs="Times New Roman"/>
              </w:rPr>
              <w:t>2.保障办公用品及耗材供应，为审批业务开展提供保障</w:t>
            </w:r>
          </w:p>
        </w:tc>
      </w:tr>
    </w:tbl>
    <w:p>
      <w:pPr>
        <w:pStyle w:val="20"/>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一级指标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二级指标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三级指标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绩效指标描述</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指标值</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32"/>
              <w:rPr>
                <w:rFonts w:hint="default" w:ascii="Times New Roman" w:hAnsi="Times New Roman" w:cs="Times New Roman"/>
              </w:rPr>
            </w:pPr>
            <w:r>
              <w:rPr>
                <w:rFonts w:hint="default" w:ascii="Times New Roman" w:hAnsi="Times New Roman" w:cs="Times New Roman"/>
              </w:rPr>
              <w:t>产出指标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需要专家评审项目数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根据审批业务类型及相关文件规定组织需聘请专家评审的项目数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≥64个</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刻制印章数量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反映为首次注册企业，刻章印制数量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≥426个</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系统安全运行天数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环保专网、“好差评”系统等设备正常运行，无故障的天数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≥360天</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刻制印章数量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反映为首次注册企业，刻章印制数量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≥426个</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聘请的专家数量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根据审批业务类型及相关文件规定需聘请专家数量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≥375位</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需测绘服务的楼栋数量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根据验收项目中建筑物基础埋深在2.7(含）米以上需要测绘的楼栋数量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≥140栋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验收项目数量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项目数量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审批人防技术方面项目数量</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≥50个</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评审验收合格率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专家评审项目评审验收合格率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≥99%</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系统故障率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因系统故障影响不能办理业务的天数比率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≤2%</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审批业务情况</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大厅各类审批业务运行情况</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≥98%</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复核结果有法律效用</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为建设单位提供建筑物基础埋深的检测报告复核结果的法律效用</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实测报告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维修反应速度</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综合系统技术支持维修反应速度</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≤2小时</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证照、耗材等办公项目保障时效</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所有与审批业务相关的证照印刷、办公用品、耗材等保障时效</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≤365天</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建设项目验收保障时效</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为建设单位提供的咨询服务的合法合规性</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大于等于98%</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成本指标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成本控制预算数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实际支出金额小于预算控制数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≤84万元</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32"/>
              <w:rPr>
                <w:rFonts w:hint="default" w:ascii="Times New Roman" w:hAnsi="Times New Roman" w:cs="Times New Roman"/>
              </w:rPr>
            </w:pPr>
            <w:r>
              <w:rPr>
                <w:rFonts w:hint="default" w:ascii="Times New Roman" w:hAnsi="Times New Roman" w:cs="Times New Roman"/>
              </w:rPr>
              <w:t>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提升办事便利性</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提供高效便利、公开透明在线办理渠道</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保持工作稳定、持续开展</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有效保障业务工作顺利开展</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32"/>
              <w:rPr>
                <w:rFonts w:hint="default" w:ascii="Times New Roman" w:hAnsi="Times New Roman" w:cs="Times New Roman"/>
              </w:rPr>
            </w:pPr>
            <w:r>
              <w:rPr>
                <w:rFonts w:hint="default" w:ascii="Times New Roman" w:hAnsi="Times New Roman" w:cs="Times New Roman"/>
              </w:rPr>
              <w:t>满意度指标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服务对象满意度指标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办理业务的人员满意度</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通过抽查问卷的方式，满意和较满意对象占全部调研对象的比例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≥98%</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部门职责和工作计划</w:t>
            </w:r>
          </w:p>
        </w:tc>
      </w:tr>
    </w:tbl>
    <w:p>
      <w:pPr>
        <w:pStyle w:val="20"/>
        <w:rPr>
          <w:rFonts w:hint="default" w:ascii="Times New Roman" w:hAnsi="Times New Roman" w:cs="Times New Roman"/>
        </w:rPr>
      </w:pPr>
    </w:p>
    <w:p>
      <w:pPr>
        <w:pStyle w:val="20"/>
        <w:rPr>
          <w:rFonts w:hint="default" w:ascii="Times New Roman" w:hAnsi="Times New Roman" w:cs="Times New Roman"/>
        </w:rPr>
      </w:pPr>
    </w:p>
    <w:p>
      <w:pPr>
        <w:pStyle w:val="20"/>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2、政务中心服务窗口管理工作经费绩效目标表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31"/>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noWrap w:val="0"/>
            <w:vAlign w:val="center"/>
          </w:tcPr>
          <w:p>
            <w:pPr>
              <w:pStyle w:val="21"/>
              <w:rPr>
                <w:rFonts w:hint="default" w:ascii="Times New Roman" w:hAnsi="Times New Roman" w:cs="Times New Roman"/>
              </w:rPr>
            </w:pPr>
            <w:r>
              <w:rPr>
                <w:rFonts w:hint="default" w:ascii="Times New Roman" w:hAnsi="Times New Roman" w:cs="Times New Roman"/>
              </w:rPr>
              <w:t>1.保障办公用品及耗材供应，为业务开展提供保障；为企业和群众审批事项提供更好的服务</w:t>
            </w:r>
          </w:p>
          <w:p>
            <w:pPr>
              <w:pStyle w:val="21"/>
              <w:rPr>
                <w:rFonts w:hint="default" w:ascii="Times New Roman" w:hAnsi="Times New Roman" w:cs="Times New Roman"/>
              </w:rPr>
            </w:pPr>
            <w:r>
              <w:rPr>
                <w:rFonts w:hint="default" w:ascii="Times New Roman" w:hAnsi="Times New Roman" w:cs="Times New Roman"/>
              </w:rPr>
              <w:t>2.为政务大厅和窗口日常管理提供高效优质服务</w:t>
            </w:r>
          </w:p>
        </w:tc>
      </w:tr>
    </w:tbl>
    <w:p>
      <w:pPr>
        <w:pStyle w:val="20"/>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一级指标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二级指标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三级指标</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绩效指标描述</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指标值</w:t>
            </w:r>
          </w:p>
        </w:tc>
        <w:tc>
          <w:tcPr>
            <w:tcW w:w="2466" w:type="dxa"/>
            <w:noWrap w:val="0"/>
            <w:vAlign w:val="center"/>
          </w:tcPr>
          <w:p>
            <w:pPr>
              <w:pStyle w:val="31"/>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32"/>
              <w:rPr>
                <w:rFonts w:hint="default" w:ascii="Times New Roman" w:hAnsi="Times New Roman" w:cs="Times New Roman"/>
              </w:rPr>
            </w:pPr>
            <w:r>
              <w:rPr>
                <w:rFonts w:hint="default" w:ascii="Times New Roman" w:hAnsi="Times New Roman" w:cs="Times New Roman"/>
              </w:rPr>
              <w:t>产出指标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购买办公用品次数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每年购买办公用品次数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≥12次</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维修任务完成率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反映日常运行过程中，需维修设备、机器等固定资产维修任务完成率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审批业务完成率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反映政务中心服务窗口审批业务完成比率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审批业务规范性</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审批业务符合文件规定流程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维修验收合格率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反映日常运行过程中，需维修设备、机器等固定资产维修验收合格率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及时率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反映日常运行过程中，需维修设备、机器等固定资产维修及时率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及时率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审批业务完成及时率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成本指标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成本控制数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实际支出金额小于预算控制数</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≤35万元</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32"/>
              <w:rPr>
                <w:rFonts w:hint="default" w:ascii="Times New Roman" w:hAnsi="Times New Roman" w:cs="Times New Roman"/>
              </w:rPr>
            </w:pPr>
            <w:r>
              <w:rPr>
                <w:rFonts w:hint="default" w:ascii="Times New Roman" w:hAnsi="Times New Roman" w:cs="Times New Roman"/>
              </w:rPr>
              <w:t>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提升办事便利性</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提供高效便利、公开透明在线办理渠道</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20"/>
              <w:rPr>
                <w:rFonts w:hint="default" w:ascii="Times New Roman" w:hAnsi="Times New Roman" w:cs="Times New Roman"/>
              </w:rPr>
            </w:pP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行政审批业务正常办理</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保障办事群众顺利完成审批流程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32"/>
              <w:rPr>
                <w:rFonts w:hint="default" w:ascii="Times New Roman" w:hAnsi="Times New Roman" w:cs="Times New Roman"/>
              </w:rPr>
            </w:pPr>
            <w:r>
              <w:rPr>
                <w:rFonts w:hint="default" w:ascii="Times New Roman" w:hAnsi="Times New Roman" w:cs="Times New Roman"/>
              </w:rPr>
              <w:t>满意度指标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服务对象满意度指标</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办理业务审批的人员满意度</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通过抽查问卷的方式，满意和较满意对象占全部调研对象的比例</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21"/>
              <w:rPr>
                <w:rFonts w:hint="default" w:ascii="Times New Roman" w:hAnsi="Times New Roman" w:cs="Times New Roman"/>
              </w:rPr>
            </w:pPr>
            <w:r>
              <w:rPr>
                <w:rFonts w:hint="default" w:ascii="Times New Roman" w:hAnsi="Times New Roman" w:cs="Times New Roman"/>
              </w:rPr>
              <w:t>调查反馈</w:t>
            </w:r>
          </w:p>
        </w:tc>
      </w:tr>
    </w:tbl>
    <w:p>
      <w:pPr>
        <w:pStyle w:val="20"/>
        <w:rPr>
          <w:rFonts w:hint="default" w:ascii="Times New Roman" w:hAnsi="Times New Roman" w:cs="Times New Roman"/>
        </w:rPr>
        <w:sectPr>
          <w:pgSz w:w="16840" w:h="11900" w:orient="landscape"/>
          <w:pgMar w:top="1361" w:right="1020" w:bottom="1361" w:left="1020" w:header="720" w:footer="720" w:gutter="0"/>
          <w:cols w:space="720" w:num="1"/>
        </w:sectPr>
      </w:pPr>
    </w:p>
    <w:p>
      <w:pPr>
        <w:spacing w:before="10" w:after="10" w:line="240" w:lineRule="auto"/>
        <w:ind w:firstLine="640" w:firstLineChars="200"/>
        <w:jc w:val="left"/>
        <w:outlineLvl w:val="5"/>
        <w:rPr>
          <w:rFonts w:hint="default" w:ascii="Times New Roman" w:hAnsi="Times New Roman" w:cs="Times New Roman"/>
        </w:rPr>
      </w:pPr>
      <w:r>
        <w:rPr>
          <w:rFonts w:hint="default" w:ascii="Times New Roman" w:hAnsi="Times New Roman" w:eastAsia="黑体" w:cs="Times New Roman"/>
          <w:color w:val="000000"/>
          <w:sz w:val="32"/>
        </w:rPr>
        <w:t>六、政府采购预算情况</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hint="default" w:ascii="Times New Roman" w:hAnsi="Times New Roman" w:eastAsia="方正仿宋_GBK" w:cs="Times New Roman"/>
          <w:b w:val="0"/>
          <w:color w:val="000000"/>
          <w:sz w:val="28"/>
        </w:rPr>
        <w:t>年，秦皇岛北戴河新区行政审批局本级安排政府采购预算0.00万元。具体内容见下表。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8316" w:type="dxa"/>
            <w:gridSpan w:val="9"/>
            <w:tcBorders>
              <w:top w:val="single" w:color="FFFFFF" w:sz="6" w:space="0"/>
              <w:left w:val="single" w:color="FFFFFF" w:sz="6" w:space="0"/>
              <w:right w:val="single" w:color="FFFFFF" w:sz="6" w:space="0"/>
            </w:tcBorders>
            <w:noWrap w:val="0"/>
            <w:vAlign w:val="center"/>
          </w:tcPr>
          <w:p>
            <w:pPr>
              <w:pStyle w:val="1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29"/>
              <w:rPr>
                <w:rFonts w:hint="default" w:ascii="Times New Roman" w:hAnsi="Times New Roman" w:cs="Times New Roman"/>
              </w:rPr>
            </w:pPr>
            <w:r>
              <w:rPr>
                <w:rFonts w:hint="default" w:ascii="Times New Roman" w:hAnsi="Times New Roman" w:cs="Times New Roman"/>
              </w:rPr>
              <w:t>政府采购项目来源</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采购物品名称</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政府采购目录序号</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计量  单位</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数量</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单价</w:t>
            </w:r>
          </w:p>
        </w:tc>
        <w:tc>
          <w:tcPr>
            <w:tcW w:w="7392" w:type="dxa"/>
            <w:gridSpan w:val="8"/>
            <w:noWrap w:val="0"/>
            <w:vAlign w:val="center"/>
          </w:tcPr>
          <w:p>
            <w:pPr>
              <w:pStyle w:val="29"/>
              <w:rPr>
                <w:rFonts w:hint="default" w:ascii="Times New Roman" w:hAnsi="Times New Roman" w:cs="Times New Roman"/>
              </w:rPr>
            </w:pPr>
            <w:r>
              <w:rPr>
                <w:rFonts w:hint="default" w:ascii="Times New Roman" w:hAnsi="Times New Roman" w:cs="Times New Roman"/>
              </w:rPr>
              <w:t>政府采购金额（当年部门预算安排资金）</w:t>
            </w:r>
          </w:p>
        </w:tc>
        <w:tc>
          <w:tcPr>
            <w:tcW w:w="924" w:type="dxa"/>
            <w:vMerge w:val="restart"/>
            <w:noWrap w:val="0"/>
            <w:vAlign w:val="center"/>
          </w:tcPr>
          <w:p>
            <w:pPr>
              <w:pStyle w:val="29"/>
              <w:rPr>
                <w:rFonts w:hint="default" w:ascii="Times New Roman" w:hAnsi="Times New Roman" w:cs="Times New Roman"/>
              </w:rPr>
            </w:pPr>
            <w:r>
              <w:rPr>
                <w:rFonts w:hint="default" w:ascii="Times New Roman" w:hAnsi="Times New Roman" w:cs="Times New Roman"/>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项目名称</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预算    资金</w:t>
            </w: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合计</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一般公共预算拨款</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基金预算拨款</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国有资本经营预算拨款</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财政专户核拨</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单位    资金</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财政拨    款结转</w:t>
            </w:r>
          </w:p>
        </w:tc>
        <w:tc>
          <w:tcPr>
            <w:tcW w:w="924" w:type="dxa"/>
            <w:noWrap w:val="0"/>
            <w:vAlign w:val="center"/>
          </w:tcPr>
          <w:p>
            <w:pPr>
              <w:pStyle w:val="29"/>
              <w:rPr>
                <w:rFonts w:hint="default" w:ascii="Times New Roman" w:hAnsi="Times New Roman" w:cs="Times New Roman"/>
              </w:rPr>
            </w:pPr>
            <w:r>
              <w:rPr>
                <w:rFonts w:hint="default" w:ascii="Times New Roman" w:hAnsi="Times New Roman" w:cs="Times New Roman"/>
              </w:rPr>
              <w:t>非财政    拨款结    转结余</w:t>
            </w:r>
          </w:p>
        </w:tc>
        <w:tc>
          <w:tcPr>
            <w:tcW w:w="924"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6"/>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6"/>
              <w:rPr>
                <w:rFonts w:hint="default" w:ascii="Times New Roman" w:hAnsi="Times New Roman" w:cs="Times New Roman"/>
              </w:rPr>
            </w:pPr>
          </w:p>
        </w:tc>
        <w:tc>
          <w:tcPr>
            <w:tcW w:w="924" w:type="dxa"/>
            <w:noWrap w:val="0"/>
            <w:vAlign w:val="center"/>
          </w:tcPr>
          <w:p>
            <w:pPr>
              <w:pStyle w:val="16"/>
              <w:rPr>
                <w:rFonts w:hint="default" w:ascii="Times New Roman" w:hAnsi="Times New Roman" w:cs="Times New Roman"/>
              </w:rPr>
            </w:pPr>
          </w:p>
        </w:tc>
        <w:tc>
          <w:tcPr>
            <w:tcW w:w="924" w:type="dxa"/>
            <w:noWrap w:val="0"/>
            <w:vAlign w:val="center"/>
          </w:tcPr>
          <w:p>
            <w:pPr>
              <w:pStyle w:val="14"/>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c>
          <w:tcPr>
            <w:tcW w:w="924" w:type="dxa"/>
            <w:noWrap w:val="0"/>
            <w:vAlign w:val="center"/>
          </w:tcPr>
          <w:p>
            <w:pPr>
              <w:pStyle w:val="12"/>
              <w:rPr>
                <w:rFonts w:hint="default" w:ascii="Times New Roman" w:hAnsi="Times New Roman" w:cs="Times New Roman"/>
              </w:rPr>
            </w:pPr>
          </w:p>
        </w:tc>
      </w:tr>
    </w:tbl>
    <w:p>
      <w:pPr>
        <w:spacing w:before="0" w:after="0" w:line="500" w:lineRule="exact"/>
        <w:ind w:firstLine="420"/>
        <w:jc w:val="left"/>
        <w:outlineLvl w:val="9"/>
        <w:rPr>
          <w:rFonts w:hint="default" w:ascii="Times New Roman" w:hAnsi="Times New Roman" w:cs="Times New Roman"/>
        </w:rPr>
      </w:pPr>
      <w:r>
        <w:rPr>
          <w:rFonts w:hint="default" w:ascii="Times New Roman" w:hAnsi="Times New Roman" w:eastAsia="方正书宋_GBK" w:cs="Times New Roman"/>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default" w:ascii="Times New Roman" w:hAnsi="Times New Roman" w:cs="Times New Roman"/>
        </w:rPr>
      </w:pPr>
      <w:r>
        <w:rPr>
          <w:rFonts w:hint="default" w:ascii="Times New Roman" w:hAnsi="Times New Roman" w:eastAsia="方正书宋_GBK" w:cs="Times New Roman"/>
          <w:color w:val="000000"/>
          <w:sz w:val="21"/>
        </w:rPr>
        <w:t>注：无政府采购预算，空表列示。</w:t>
      </w:r>
    </w:p>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七、国有资产信息</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秦皇岛北戴河新区行政审批局本级上年末固定资产金额为</w:t>
      </w:r>
      <w:r>
        <w:rPr>
          <w:rFonts w:hint="eastAsia" w:eastAsia="方正仿宋_GBK" w:cs="Times New Roman"/>
          <w:b w:val="0"/>
          <w:color w:val="000000"/>
          <w:sz w:val="28"/>
          <w:lang w:val="en-US" w:eastAsia="zh-CN"/>
        </w:rPr>
        <w:t>54.83</w:t>
      </w:r>
      <w:r>
        <w:rPr>
          <w:rFonts w:hint="default"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30"/>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9866" w:type="dxa"/>
            <w:gridSpan w:val="2"/>
            <w:tcBorders>
              <w:top w:val="single" w:color="FFFFFF" w:sz="6" w:space="0"/>
              <w:left w:val="single" w:color="FFFFFF" w:sz="6" w:space="0"/>
              <w:right w:val="single" w:color="FFFFFF" w:sz="6" w:space="0"/>
            </w:tcBorders>
            <w:noWrap w:val="0"/>
            <w:vAlign w:val="center"/>
          </w:tcPr>
          <w:p>
            <w:pPr>
              <w:pStyle w:val="22"/>
              <w:rPr>
                <w:rFonts w:hint="default" w:ascii="Times New Roman" w:hAnsi="Times New Roman" w:cs="Times New Roman"/>
              </w:rPr>
            </w:pPr>
            <w:r>
              <w:rPr>
                <w:rFonts w:hint="default" w:ascii="Times New Roman" w:hAnsi="Times New Roman" w:cs="Times New Roman"/>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29"/>
              <w:rPr>
                <w:rFonts w:hint="default" w:ascii="Times New Roman" w:hAnsi="Times New Roman" w:cs="Times New Roman"/>
              </w:rPr>
            </w:pPr>
            <w:r>
              <w:rPr>
                <w:rFonts w:hint="default" w:ascii="Times New Roman" w:hAnsi="Times New Roman" w:cs="Times New Roman"/>
              </w:rPr>
              <w:t>项   目</w:t>
            </w:r>
          </w:p>
        </w:tc>
        <w:tc>
          <w:tcPr>
            <w:tcW w:w="4933" w:type="dxa"/>
            <w:noWrap w:val="0"/>
            <w:vAlign w:val="center"/>
          </w:tcPr>
          <w:p>
            <w:pPr>
              <w:pStyle w:val="29"/>
              <w:rPr>
                <w:rFonts w:hint="default" w:ascii="Times New Roman" w:hAnsi="Times New Roman" w:cs="Times New Roman"/>
              </w:rPr>
            </w:pPr>
            <w:r>
              <w:rPr>
                <w:rFonts w:hint="default" w:ascii="Times New Roman" w:hAnsi="Times New Roman" w:cs="Times New Roman"/>
              </w:rPr>
              <w:t>数量</w:t>
            </w:r>
          </w:p>
        </w:tc>
        <w:tc>
          <w:tcPr>
            <w:tcW w:w="4933" w:type="dxa"/>
            <w:noWrap w:val="0"/>
            <w:vAlign w:val="center"/>
          </w:tcPr>
          <w:p>
            <w:pPr>
              <w:pStyle w:val="29"/>
              <w:rPr>
                <w:rFonts w:hint="default" w:ascii="Times New Roman" w:hAnsi="Times New Roman" w:cs="Times New Roman"/>
              </w:rPr>
            </w:pPr>
            <w:r>
              <w:rPr>
                <w:rFonts w:hint="default" w:ascii="Times New Roman" w:hAnsi="Times New Roman"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6"/>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房屋</w:t>
            </w:r>
          </w:p>
        </w:tc>
        <w:tc>
          <w:tcPr>
            <w:tcW w:w="4933" w:type="dxa"/>
            <w:noWrap w:val="0"/>
            <w:vAlign w:val="center"/>
          </w:tcPr>
          <w:p>
            <w:pPr>
              <w:pStyle w:val="14"/>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c>
          <w:tcPr>
            <w:tcW w:w="4933" w:type="dxa"/>
            <w:noWrap w:val="0"/>
            <w:vAlign w:val="center"/>
          </w:tcPr>
          <w:p>
            <w:pPr>
              <w:pStyle w:val="12"/>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6"/>
              <w:rPr>
                <w:rFonts w:hint="default" w:ascii="Times New Roman" w:hAnsi="Times New Roman" w:eastAsia="方正书宋_GBK" w:cs="Times New Roman"/>
                <w:lang w:eastAsia="zh-CN"/>
              </w:rPr>
            </w:pPr>
            <w:r>
              <w:rPr>
                <w:rFonts w:hint="default" w:ascii="Times New Roman" w:hAnsi="Times New Roman" w:cs="Times New Roman"/>
                <w:lang w:eastAsia="zh-CN"/>
              </w:rPr>
              <w:t>车辆</w:t>
            </w:r>
          </w:p>
        </w:tc>
        <w:tc>
          <w:tcPr>
            <w:tcW w:w="4933" w:type="dxa"/>
            <w:noWrap w:val="0"/>
            <w:vAlign w:val="center"/>
          </w:tcPr>
          <w:p>
            <w:pPr>
              <w:pStyle w:val="14"/>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w:t>
            </w:r>
          </w:p>
        </w:tc>
        <w:tc>
          <w:tcPr>
            <w:tcW w:w="493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933" w:type="dxa"/>
            <w:noWrap w:val="0"/>
            <w:vAlign w:val="center"/>
          </w:tcPr>
          <w:p>
            <w:pPr>
              <w:pStyle w:val="16"/>
              <w:rPr>
                <w:rFonts w:hint="default" w:ascii="Times New Roman" w:hAnsi="Times New Roman" w:eastAsia="方正书宋_GBK" w:cs="Times New Roman"/>
                <w:lang w:eastAsia="zh-CN"/>
              </w:rPr>
            </w:pPr>
            <w:r>
              <w:rPr>
                <w:rFonts w:hint="default" w:ascii="Times New Roman" w:hAnsi="Times New Roman" w:cs="Times New Roman"/>
                <w:lang w:eastAsia="zh-CN"/>
              </w:rPr>
              <w:t>其他固定资产</w:t>
            </w:r>
          </w:p>
        </w:tc>
        <w:tc>
          <w:tcPr>
            <w:tcW w:w="4933" w:type="dxa"/>
            <w:noWrap w:val="0"/>
            <w:vAlign w:val="center"/>
          </w:tcPr>
          <w:p>
            <w:pPr>
              <w:pStyle w:val="14"/>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496</w:t>
            </w:r>
          </w:p>
        </w:tc>
        <w:tc>
          <w:tcPr>
            <w:tcW w:w="4933" w:type="dxa"/>
            <w:noWrap w:val="0"/>
            <w:vAlign w:val="center"/>
          </w:tcPr>
          <w:p>
            <w:pPr>
              <w:pStyle w:val="12"/>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6"/>
              <w:ind w:firstLine="430" w:firstLineChars="0"/>
              <w:rPr>
                <w:rFonts w:hint="default" w:ascii="Times New Roman" w:hAnsi="Times New Roman" w:cs="Times New Roman"/>
                <w:lang w:eastAsia="zh-CN"/>
              </w:rPr>
            </w:pPr>
            <w:r>
              <w:rPr>
                <w:rFonts w:hint="eastAsia" w:ascii="Times New Roman" w:hAnsi="Times New Roman" w:cs="Times New Roman"/>
                <w:lang w:eastAsia="zh-CN"/>
              </w:rPr>
              <w:t>无形资产</w:t>
            </w:r>
          </w:p>
        </w:tc>
        <w:tc>
          <w:tcPr>
            <w:tcW w:w="4933" w:type="dxa"/>
            <w:noWrap w:val="0"/>
            <w:vAlign w:val="center"/>
          </w:tcPr>
          <w:p>
            <w:pPr>
              <w:pStyle w:val="14"/>
              <w:rPr>
                <w:rFonts w:hint="default" w:ascii="Times New Roman" w:hAnsi="Times New Roman" w:cs="Times New Roman"/>
                <w:lang w:val="en-US" w:eastAsia="zh-CN"/>
              </w:rPr>
            </w:pPr>
            <w:r>
              <w:rPr>
                <w:rFonts w:hint="eastAsia" w:ascii="Times New Roman" w:hAnsi="Times New Roman" w:cs="Times New Roman"/>
                <w:lang w:val="en-US" w:eastAsia="zh-CN"/>
              </w:rPr>
              <w:t>1</w:t>
            </w:r>
          </w:p>
        </w:tc>
        <w:tc>
          <w:tcPr>
            <w:tcW w:w="4933" w:type="dxa"/>
            <w:noWrap w:val="0"/>
            <w:vAlign w:val="center"/>
          </w:tcPr>
          <w:p>
            <w:pPr>
              <w:pStyle w:val="12"/>
              <w:rPr>
                <w:rFonts w:hint="default" w:ascii="Times New Roman" w:hAnsi="Times New Roman" w:cs="Times New Roman"/>
                <w:lang w:val="en-US" w:eastAsia="zh-CN"/>
              </w:rPr>
            </w:pPr>
            <w:r>
              <w:rPr>
                <w:rFonts w:hint="eastAsia" w:ascii="Times New Roman" w:hAnsi="Times New Roman" w:cs="Times New Roman"/>
                <w:lang w:val="en-US" w:eastAsia="zh-CN"/>
              </w:rPr>
              <w:t>1.60</w:t>
            </w:r>
          </w:p>
        </w:tc>
      </w:tr>
    </w:tbl>
    <w:p>
      <w:pPr>
        <w:spacing w:before="0" w:after="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r>
        <w:rPr>
          <w:rFonts w:hint="eastAsia" w:eastAsia="方正仿宋_GBK" w:cs="Times New Roman"/>
          <w:color w:val="000000"/>
          <w:sz w:val="32"/>
          <w:lang w:val="en-US" w:eastAsia="zh-CN"/>
        </w:rPr>
        <w:t xml:space="preserve">     </w:t>
      </w:r>
      <w:r>
        <w:rPr>
          <w:rFonts w:hint="default" w:ascii="Times New Roman" w:hAnsi="Times New Roman" w:eastAsia="黑体" w:cs="Times New Roman"/>
          <w:color w:val="000000"/>
          <w:sz w:val="32"/>
        </w:rPr>
        <w:t>八、名词解释</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w:t>
      </w:r>
      <w:r>
        <w:rPr>
          <w:rFonts w:hint="default" w:ascii="Times New Roman" w:hAnsi="Times New Roman" w:eastAsia="方正仿宋_GBK" w:cs="Times New Roman"/>
          <w:b/>
          <w:color w:val="000000"/>
          <w:sz w:val="28"/>
        </w:rPr>
        <w:t>一般公共预算拨款收入：</w:t>
      </w:r>
      <w:r>
        <w:rPr>
          <w:rFonts w:hint="default"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省</w:t>
      </w:r>
      <w:r>
        <w:rPr>
          <w:rFonts w:hint="default"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w:t>
      </w:r>
      <w:r>
        <w:rPr>
          <w:rFonts w:hint="default" w:ascii="Times New Roman" w:hAnsi="Times New Roman" w:eastAsia="方正仿宋_GBK" w:cs="Times New Roman"/>
          <w:b/>
          <w:color w:val="000000"/>
          <w:sz w:val="28"/>
        </w:rPr>
        <w:t>事业收入：</w:t>
      </w:r>
      <w:r>
        <w:rPr>
          <w:rFonts w:hint="default"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3、</w:t>
      </w:r>
      <w:r>
        <w:rPr>
          <w:rFonts w:hint="default" w:ascii="Times New Roman" w:hAnsi="Times New Roman" w:eastAsia="方正仿宋_GBK" w:cs="Times New Roman"/>
          <w:b/>
          <w:color w:val="000000"/>
          <w:sz w:val="28"/>
        </w:rPr>
        <w:t>其他收入：</w:t>
      </w:r>
      <w:r>
        <w:rPr>
          <w:rFonts w:hint="default"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4、</w:t>
      </w:r>
      <w:r>
        <w:rPr>
          <w:rFonts w:hint="default" w:ascii="Times New Roman" w:hAnsi="Times New Roman" w:eastAsia="方正仿宋_GBK" w:cs="Times New Roman"/>
          <w:b/>
          <w:color w:val="000000"/>
          <w:sz w:val="28"/>
        </w:rPr>
        <w:t>基本支出：</w:t>
      </w:r>
      <w:r>
        <w:rPr>
          <w:rFonts w:hint="default"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5、</w:t>
      </w:r>
      <w:r>
        <w:rPr>
          <w:rFonts w:hint="default" w:ascii="Times New Roman" w:hAnsi="Times New Roman" w:eastAsia="方正仿宋_GBK" w:cs="Times New Roman"/>
          <w:b/>
          <w:color w:val="000000"/>
          <w:sz w:val="28"/>
        </w:rPr>
        <w:t>项目支出：</w:t>
      </w:r>
      <w:r>
        <w:rPr>
          <w:rFonts w:hint="default"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6、</w:t>
      </w:r>
      <w:r>
        <w:rPr>
          <w:rFonts w:hint="default" w:ascii="Times New Roman" w:hAnsi="Times New Roman" w:eastAsia="方正仿宋_GBK" w:cs="Times New Roman"/>
          <w:b/>
          <w:color w:val="000000"/>
          <w:sz w:val="28"/>
        </w:rPr>
        <w:t>上缴上级支出：</w:t>
      </w:r>
      <w:r>
        <w:rPr>
          <w:rFonts w:hint="default"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7、</w:t>
      </w:r>
      <w:r>
        <w:rPr>
          <w:rFonts w:hint="default" w:ascii="Times New Roman" w:hAnsi="Times New Roman" w:eastAsia="方正仿宋_GBK" w:cs="Times New Roman"/>
          <w:b/>
          <w:color w:val="000000"/>
          <w:sz w:val="28"/>
        </w:rPr>
        <w:t>“三公”经费：</w:t>
      </w:r>
      <w:r>
        <w:rPr>
          <w:rFonts w:hint="default" w:ascii="Times New Roman" w:hAnsi="Times New Roman" w:eastAsia="方正仿宋_GBK" w:cs="Times New Roman"/>
          <w:b w:val="0"/>
          <w:color w:val="000000"/>
          <w:sz w:val="28"/>
        </w:rPr>
        <w:t>纳入</w:t>
      </w:r>
      <w:r>
        <w:rPr>
          <w:rFonts w:hint="default" w:ascii="Times New Roman" w:hAnsi="Times New Roman" w:eastAsia="方正仿宋_GBK" w:cs="Times New Roman"/>
          <w:b w:val="0"/>
          <w:color w:val="000000"/>
          <w:sz w:val="28"/>
          <w:lang w:eastAsia="zh-CN"/>
        </w:rPr>
        <w:t>区</w:t>
      </w:r>
      <w:r>
        <w:rPr>
          <w:rFonts w:hint="default"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8、</w:t>
      </w:r>
      <w:r>
        <w:rPr>
          <w:rFonts w:hint="default" w:ascii="Times New Roman" w:hAnsi="Times New Roman" w:eastAsia="方正仿宋_GBK" w:cs="Times New Roman"/>
          <w:b/>
          <w:color w:val="000000"/>
          <w:sz w:val="28"/>
        </w:rPr>
        <w:t>机关运行费：</w:t>
      </w:r>
      <w:r>
        <w:rPr>
          <w:rFonts w:hint="default"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是指各部门的公用经费，包括办公及印刷费、邮电费、差旅费、会议费、福利费、日常维修费、专用材料及一般设备购置费、办公用房水电费、办公用房取暖费、公务用车运行维护费以及其他费用。</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9、</w:t>
      </w:r>
      <w:r>
        <w:rPr>
          <w:rFonts w:hint="default" w:ascii="Times New Roman" w:hAnsi="Times New Roman" w:eastAsia="方正仿宋_GBK" w:cs="Times New Roman"/>
          <w:b/>
          <w:color w:val="000000"/>
          <w:sz w:val="28"/>
        </w:rPr>
        <w:t>上年结转：</w:t>
      </w:r>
      <w:r>
        <w:rPr>
          <w:rFonts w:hint="default"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10、</w:t>
      </w:r>
      <w:r>
        <w:rPr>
          <w:rFonts w:hint="default" w:ascii="Times New Roman" w:hAnsi="Times New Roman" w:eastAsia="方正仿宋_GBK" w:cs="Times New Roman"/>
          <w:b/>
          <w:color w:val="000000"/>
          <w:sz w:val="28"/>
        </w:rPr>
        <w:t>事业单位经营支出：</w:t>
      </w:r>
      <w:r>
        <w:rPr>
          <w:rFonts w:hint="default"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九、其他需要说明的事项</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2EF5C"/>
    <w:multiLevelType w:val="singleLevel"/>
    <w:tmpl w:val="CD52EF5C"/>
    <w:lvl w:ilvl="0" w:tentative="0">
      <w:start w:val="2"/>
      <w:numFmt w:val="chineseCounting"/>
      <w:suff w:val="nothing"/>
      <w:lvlText w:val="%1、"/>
      <w:lvlJc w:val="left"/>
      <w:rPr>
        <w:rFonts w:hint="eastAsia"/>
      </w:rPr>
    </w:lvl>
  </w:abstractNum>
  <w:abstractNum w:abstractNumId="1">
    <w:nsid w:val="DE395B93"/>
    <w:multiLevelType w:val="singleLevel"/>
    <w:tmpl w:val="DE395B93"/>
    <w:lvl w:ilvl="0" w:tentative="0">
      <w:start w:val="3"/>
      <w:numFmt w:val="chineseCounting"/>
      <w:suff w:val="nothing"/>
      <w:lvlText w:val="%1、"/>
      <w:lvlJc w:val="left"/>
      <w:pPr>
        <w:ind w:left="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6031F"/>
    <w:rsid w:val="01DB2312"/>
    <w:rsid w:val="0B8B007F"/>
    <w:rsid w:val="0C3839AF"/>
    <w:rsid w:val="0C5549D9"/>
    <w:rsid w:val="0EED369D"/>
    <w:rsid w:val="19C7747F"/>
    <w:rsid w:val="1D286F70"/>
    <w:rsid w:val="1E24494E"/>
    <w:rsid w:val="1E5529B1"/>
    <w:rsid w:val="1F23703D"/>
    <w:rsid w:val="22C06E3D"/>
    <w:rsid w:val="23F22A7E"/>
    <w:rsid w:val="29B37B21"/>
    <w:rsid w:val="2AAF0089"/>
    <w:rsid w:val="2E9906A3"/>
    <w:rsid w:val="35D93DB1"/>
    <w:rsid w:val="36CB3E61"/>
    <w:rsid w:val="36FD211A"/>
    <w:rsid w:val="3AE42141"/>
    <w:rsid w:val="3BC61052"/>
    <w:rsid w:val="3DC126C0"/>
    <w:rsid w:val="42CF0C5B"/>
    <w:rsid w:val="4AA96B19"/>
    <w:rsid w:val="4BED4590"/>
    <w:rsid w:val="4BFC1414"/>
    <w:rsid w:val="4E76083F"/>
    <w:rsid w:val="50461272"/>
    <w:rsid w:val="50A05BEC"/>
    <w:rsid w:val="53404752"/>
    <w:rsid w:val="56C43DAE"/>
    <w:rsid w:val="57242770"/>
    <w:rsid w:val="5AFF72B1"/>
    <w:rsid w:val="5D856341"/>
    <w:rsid w:val="60DE61C3"/>
    <w:rsid w:val="611B3ACA"/>
    <w:rsid w:val="62DC2AC7"/>
    <w:rsid w:val="6BDB6BC5"/>
    <w:rsid w:val="6F120CB5"/>
    <w:rsid w:val="6F517E8E"/>
    <w:rsid w:val="749523DE"/>
    <w:rsid w:val="75133321"/>
    <w:rsid w:val="75771028"/>
    <w:rsid w:val="76903B1F"/>
    <w:rsid w:val="771D4250"/>
    <w:rsid w:val="77934715"/>
    <w:rsid w:val="77DF0287"/>
    <w:rsid w:val="78BA4687"/>
    <w:rsid w:val="7B987F66"/>
    <w:rsid w:val="7DD90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Normal_a626ff99-dec4-4885-91b1-a62e3f434307"/>
    <w:qFormat/>
    <w:uiPriority w:val="0"/>
    <w:rPr>
      <w:rFonts w:ascii="Times New Roman" w:hAnsi="Times New Roman" w:eastAsia="Times New Roman" w:cs="Times New Roman"/>
      <w:sz w:val="24"/>
      <w:szCs w:val="24"/>
      <w:lang w:val="en-US" w:eastAsia="uk-UA" w:bidi="ar-SA"/>
    </w:rPr>
  </w:style>
  <w:style w:type="paragraph" w:customStyle="1" w:styleId="21">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1">
    <w:name w:val="单元格样式1_ca4a1bf1-d3ea-4f13-8535-d196c0a46ea0"/>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2">
    <w:name w:val="单元格样式3_bf82f786-5e5e-4e0f-a3c0-9397177c687d"/>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3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2022-02-17T14:25:00Z</dcterms:created>
  <dc:creator>Administrator</dc:creator>
  <cp:lastModifiedBy>Administrator</cp:lastModifiedBy>
  <cp:lastPrinted>2022-09-20T02:59:00Z</cp:lastPrinted>
  <dcterms:modified xsi:type="dcterms:W3CDTF">2022-09-20T03:20:33Z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