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秦皇岛北戴河新区人民检察院</w:t>
      </w:r>
    </w:p>
    <w:p>
      <w:pPr>
        <w:spacing w:line="4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2021</w:t>
      </w:r>
      <w:r>
        <w:rPr>
          <w:rFonts w:hint="default" w:ascii="Times New Roman" w:hAnsi="Times New Roman" w:eastAsia="方正小标宋简体" w:cs="Times New Roman"/>
          <w:sz w:val="44"/>
          <w:szCs w:val="44"/>
        </w:rPr>
        <w:t>年部门预算信息公开目录</w:t>
      </w:r>
    </w:p>
    <w:p>
      <w:pPr>
        <w:spacing w:line="480" w:lineRule="exact"/>
        <w:rPr>
          <w:rFonts w:hint="default" w:ascii="Times New Roman" w:hAnsi="Times New Roman" w:eastAsia="方正仿宋简体" w:cs="Times New Roman"/>
          <w:sz w:val="32"/>
          <w:szCs w:val="32"/>
        </w:rPr>
      </w:pPr>
    </w:p>
    <w:p>
      <w:pPr>
        <w:jc w:val="center"/>
      </w:pPr>
      <w:r>
        <w:rPr>
          <w:rFonts w:ascii="黑体" w:hAnsi="黑体" w:eastAsia="黑体" w:cs="黑体"/>
          <w:b/>
          <w:color w:val="000000"/>
          <w:sz w:val="30"/>
        </w:rPr>
        <w:t>第一部分  部门预算</w:t>
      </w:r>
    </w:p>
    <w:p>
      <w:pPr>
        <w:spacing w:line="480" w:lineRule="exact"/>
        <w:rPr>
          <w:rFonts w:hint="default" w:ascii="Times New Roman" w:hAnsi="Times New Roman" w:eastAsia="方正仿宋简体" w:cs="Times New Roman"/>
          <w:sz w:val="32"/>
          <w:szCs w:val="32"/>
        </w:rPr>
      </w:pPr>
    </w:p>
    <w:p>
      <w:pPr>
        <w:spacing w:line="4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2021</w:t>
      </w:r>
      <w:r>
        <w:rPr>
          <w:rFonts w:hint="default" w:ascii="Times New Roman" w:hAnsi="Times New Roman" w:eastAsia="黑体" w:cs="Times New Roman"/>
          <w:sz w:val="32"/>
          <w:szCs w:val="32"/>
        </w:rPr>
        <w:t>年部门预算公开表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部门预算收入总表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部门预算支出总表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部门预算财政拨款收支总表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部门预算一般公共预算财政拨款支出表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部门预算一般公共预算财政拨款基本支出表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部门预算政府基金预算财政拨款支出表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部门预算国有资本经营预算财政拨款支出表</w:t>
      </w:r>
    </w:p>
    <w:p>
      <w:pPr>
        <w:numPr>
          <w:ilvl w:val="0"/>
          <w:numId w:val="1"/>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部门预算财政拨款“三公”经费支出表</w:t>
      </w:r>
    </w:p>
    <w:p>
      <w:pPr>
        <w:spacing w:line="4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2021</w:t>
      </w:r>
      <w:r>
        <w:rPr>
          <w:rFonts w:hint="default" w:ascii="Times New Roman" w:hAnsi="Times New Roman" w:eastAsia="黑体" w:cs="Times New Roman"/>
          <w:sz w:val="32"/>
          <w:szCs w:val="32"/>
        </w:rPr>
        <w:t>年部门预算信息公开说明</w:t>
      </w:r>
    </w:p>
    <w:p>
      <w:pPr>
        <w:numPr>
          <w:ilvl w:val="0"/>
          <w:numId w:val="2"/>
        </w:num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部门职责及机构设置情况</w:t>
      </w:r>
    </w:p>
    <w:p>
      <w:pPr>
        <w:spacing w:line="48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2、部门预算安排的总体情况</w:t>
      </w:r>
    </w:p>
    <w:p>
      <w:pPr>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3、机关运行经费安排情况</w:t>
      </w:r>
    </w:p>
    <w:p>
      <w:pPr>
        <w:autoSpaceDE w:val="0"/>
        <w:autoSpaceDN w:val="0"/>
        <w:adjustRightInd w:val="0"/>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4、财政拨款“三公”经费预算情况及增减变化原因</w:t>
      </w:r>
    </w:p>
    <w:p>
      <w:pPr>
        <w:autoSpaceDE w:val="0"/>
        <w:autoSpaceDN w:val="0"/>
        <w:adjustRightInd w:val="0"/>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5、预算绩效信息</w:t>
      </w:r>
    </w:p>
    <w:p>
      <w:pPr>
        <w:autoSpaceDE w:val="0"/>
        <w:autoSpaceDN w:val="0"/>
        <w:adjustRightInd w:val="0"/>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6、政府采购预算情况</w:t>
      </w:r>
    </w:p>
    <w:p>
      <w:pPr>
        <w:autoSpaceDE w:val="0"/>
        <w:autoSpaceDN w:val="0"/>
        <w:adjustRightInd w:val="0"/>
        <w:spacing w:line="48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7、国有资产信息</w:t>
      </w:r>
    </w:p>
    <w:p>
      <w:pPr>
        <w:autoSpaceDE w:val="0"/>
        <w:autoSpaceDN w:val="0"/>
        <w:adjustRightInd w:val="0"/>
        <w:spacing w:line="4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8、名词解释</w:t>
      </w:r>
    </w:p>
    <w:p>
      <w:pPr>
        <w:autoSpaceDE w:val="0"/>
        <w:autoSpaceDN w:val="0"/>
        <w:adjustRightInd w:val="0"/>
        <w:spacing w:line="48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9、</w:t>
      </w:r>
      <w:r>
        <w:rPr>
          <w:rFonts w:hint="default" w:ascii="Times New Roman" w:hAnsi="Times New Roman" w:eastAsia="方正仿宋简体" w:cs="Times New Roman"/>
          <w:sz w:val="32"/>
          <w:szCs w:val="32"/>
        </w:rPr>
        <w:t>其他需要说明的事项</w:t>
      </w:r>
    </w:p>
    <w:p>
      <w:pPr>
        <w:jc w:val="center"/>
      </w:pPr>
      <w:r>
        <w:rPr>
          <w:rFonts w:ascii="黑体" w:hAnsi="黑体" w:eastAsia="黑体" w:cs="黑体"/>
          <w:b/>
          <w:color w:val="000000"/>
          <w:sz w:val="30"/>
        </w:rPr>
        <w:t>第二部分  部门所属单位预算</w:t>
      </w:r>
    </w:p>
    <w:p>
      <w:pPr>
        <w:numPr>
          <w:ilvl w:val="0"/>
          <w:numId w:val="0"/>
        </w:numPr>
        <w:autoSpaceDE w:val="0"/>
        <w:autoSpaceDN w:val="0"/>
        <w:adjustRightInd w:val="0"/>
        <w:spacing w:line="480" w:lineRule="exact"/>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 xml:space="preserve">    1、秦皇岛北戴河新区人民检察院本级收支预算</w:t>
      </w: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部门预算收支总表</w:t>
      </w:r>
    </w:p>
    <w:tbl>
      <w:tblPr>
        <w:tblStyle w:val="3"/>
        <w:tblW w:w="142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6661"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w:t>
            </w:r>
          </w:p>
        </w:tc>
        <w:tc>
          <w:tcPr>
            <w:tcW w:w="6661"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预算数</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一、一般公共预算拨款收入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715.69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一、一般公共服务支出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二、政府性基金预算拨款收入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二、外交支出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三、国有资本经营预算拨款收入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三、国防支出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四、财政专户管理资金收入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四、公共安全支出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五、事业收入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五、教育支出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六、事业单位经营收入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六、科学技术支出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七、上级补助收入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七、文化旅游体育与传媒支出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八、附属单位上缴收入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八、社会保障和就业支出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九、其他收入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九、社会保险基金支出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十、卫生健康支出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十一、节能环保支出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十二、城乡社区支出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十三、农林水支出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十四、交通运输支出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十五、资源勘探工业信息等支出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十六、商业服务业等支出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十七、金融支出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十八、援助其他地区支出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十九、自然资源海洋气象等支出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二十、住房保障支出</w:t>
            </w:r>
          </w:p>
        </w:tc>
        <w:tc>
          <w:tcPr>
            <w:tcW w:w="2126" w:type="dxa"/>
            <w:shd w:val="clear" w:color="auto" w:fill="auto"/>
            <w:noWrap w:val="0"/>
            <w:vAlign w:val="center"/>
          </w:tcPr>
          <w:p>
            <w:pPr>
              <w:spacing w:line="300" w:lineRule="exact"/>
              <w:jc w:val="right"/>
              <w:rPr>
                <w:rFonts w:hint="eastAsia" w:ascii="Times New Roman" w:hAnsi="Times New Roman" w:eastAsia="方正书宋_GBK" w:cs="Times New Roman"/>
                <w:lang w:eastAsia="zh-CN"/>
              </w:rPr>
            </w:pPr>
            <w:r>
              <w:rPr>
                <w:rFonts w:hint="default" w:ascii="Times New Roman" w:hAnsi="Times New Roman" w:eastAsia="方正书宋_GBK" w:cs="Times New Roman"/>
              </w:rPr>
              <w:t>30.4</w:t>
            </w:r>
            <w:r>
              <w:rPr>
                <w:rFonts w:hint="eastAsia" w:eastAsia="方正书宋_GBK"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二十一、粮油物资储备支出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二十二、国有资本经营预算支出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二十三、灾害防治及应急管理支出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二十四、预备费</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二十五、其他支出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二十六、转移性支出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二十七、债务还本支出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二十八、债务付息支出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二十九、债务发行费用支出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三十、抗疫特别国债安排的支出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本年收入合计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本年支出合计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上年结转结余</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年终结转结余</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33</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收入总计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支出总计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r>
    </w:tbl>
    <w:p>
      <w:pPr>
        <w:spacing w:line="300" w:lineRule="exact"/>
        <w:jc w:val="left"/>
        <w:outlineLvl w:val="1"/>
        <w:rPr>
          <w:rFonts w:hint="default" w:ascii="Times New Roman" w:hAnsi="Times New Roman" w:cs="Times New Roman"/>
        </w:rPr>
        <w:sectPr>
          <w:pgSz w:w="16839" w:h="11907" w:orient="landscape"/>
          <w:pgMar w:top="1587" w:right="1134" w:bottom="1361" w:left="1134"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部门预算收入总表</w:t>
      </w:r>
    </w:p>
    <w:tbl>
      <w:tblPr>
        <w:tblStyle w:val="3"/>
        <w:tblW w:w="146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680"/>
        <w:gridCol w:w="931"/>
        <w:gridCol w:w="162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615"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9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2551"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1134"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9072" w:type="dxa"/>
            <w:gridSpan w:val="8"/>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本年收入</w:t>
            </w:r>
          </w:p>
        </w:tc>
        <w:tc>
          <w:tcPr>
            <w:tcW w:w="1134"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shd w:val="clear" w:color="auto" w:fill="auto"/>
            <w:noWrap w:val="0"/>
            <w:vAlign w:val="center"/>
          </w:tcPr>
          <w:p>
            <w:pPr>
              <w:spacing w:line="300" w:lineRule="exact"/>
              <w:jc w:val="left"/>
              <w:outlineLvl w:val="1"/>
              <w:rPr>
                <w:rFonts w:hint="default" w:ascii="Times New Roman" w:hAnsi="Times New Roman" w:cs="Times New Roman"/>
              </w:rPr>
            </w:pPr>
          </w:p>
        </w:tc>
        <w:tc>
          <w:tcPr>
            <w:tcW w:w="93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  编码</w:t>
            </w:r>
          </w:p>
        </w:tc>
        <w:tc>
          <w:tcPr>
            <w:tcW w:w="162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1134"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小计</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财政拨款 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财政专户 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事业收入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经营收入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上级补助收入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附属单位上缴收入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其他收入</w:t>
            </w:r>
          </w:p>
        </w:tc>
        <w:tc>
          <w:tcPr>
            <w:tcW w:w="1134"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93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162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6</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7</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8</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9</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10</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11</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162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公共安全支出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2040401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行政运行</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社会保障和就业支出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行政事业单位养老支出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2080505</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卫生健康支出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行政事业单位医疗</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2101101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行政单位医疗</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住房保障支出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住房改革支出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2210201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部门预算支出总表</w:t>
      </w:r>
    </w:p>
    <w:tbl>
      <w:tblPr>
        <w:tblStyle w:val="3"/>
        <w:tblW w:w="14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93"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527"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经营支出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上解上级 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9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  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9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6</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7</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596.79</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公共安全支出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行政运行</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社会保障和就业支出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行政事业单位养老支出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卫生健康支出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行政事业单位医疗</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行政单位医疗</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住房保障支出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住房改革支出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部门预算财政拨款收支总表</w:t>
      </w:r>
    </w:p>
    <w:tbl>
      <w:tblPr>
        <w:tblStyle w:val="3"/>
        <w:tblW w:w="15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2"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gridSpan w:val="2"/>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487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w:t>
            </w:r>
          </w:p>
        </w:tc>
        <w:tc>
          <w:tcPr>
            <w:tcW w:w="9298" w:type="dxa"/>
            <w:gridSpan w:val="5"/>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金额</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一般公共预算财政拨款</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政府性基金预算财政拨款</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6</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715.69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一、一般公共服务支出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二、外交支出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三、国防支出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四、公共安全支出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五、教育支出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六、科学技术支出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七、文化旅游体育与传媒支出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八、社会保障和就业支出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九、社会保险基金支出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十、卫生健康支出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十一、节能环保支出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十二、城乡社区支出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十三、农林水支出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十四、交通运输支出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十五、资源勘探工业信息等支出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16</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十六、商业服务业等支出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17</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十七、金融支出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18</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十八、援助其他地区支出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十九、自然资源海洋气象等支出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20</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二十、住房保障支出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21</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二十一、粮油物资储备支出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二十二、国有资本经营预算支出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二十三、灾害防治及应急管理支出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二十四、预备费</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二十五、其他支出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26</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二十六、转移性支出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27</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二十七、债务还本支出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28</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二十八、债务付息支出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二十九、债务发行费用支出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30</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三十、抗疫特别国债安排的支出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31</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本年收入合计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本年支出合计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年初财政拨款结转和结余</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年末财政拨款结转和结余</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36</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收入总计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支出总计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部门预算一般公共预算财政拨款支出表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596.79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公共安全支出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行政运行</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社会保障和就业支出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行政事业单位养老支出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卫生健康支出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行政事业单位医疗</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行政单位医疗</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住房保障支出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住房改革支出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部门预算一般公共预算财政拨款基本支出表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支出部门经济分类科目</w:t>
            </w:r>
          </w:p>
        </w:tc>
        <w:tc>
          <w:tcPr>
            <w:tcW w:w="7653" w:type="dxa"/>
            <w:gridSpan w:val="3"/>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人员经费</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596.79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507.86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工资福利支出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507.81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507.81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基本工资</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135.87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135.87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津贴补贴</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124.18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124.18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奖金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74.12</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74.12</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绩效工资</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61.08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61.08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职工基本医疗保险缴费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30112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其他社会保障缴费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2.23</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2.23</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30113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商品和服务支出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87.57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87.57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办公费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11.22</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电费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15.00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差旅费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6.46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会议费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5.40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18</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培训费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19</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公务接待费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20</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30228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工会经费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30229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福利费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3.79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30231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公务用车运行维护费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30239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其他交通费用</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14.09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对个人和家庭的补助</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30309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奖励金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资本性支出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31002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办公设备购置</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部门预算政府基金预算财政拨款支出表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bl>
    <w:p>
      <w:pPr>
        <w:ind w:firstLine="420" w:firstLineChars="200"/>
        <w:jc w:val="left"/>
        <w:rPr>
          <w:rFonts w:hint="default" w:ascii="Times New Roman" w:hAnsi="Times New Roman" w:eastAsia="宋体" w:cs="Times New Roman"/>
        </w:rPr>
      </w:pPr>
      <w:r>
        <w:rPr>
          <w:rFonts w:hint="default" w:ascii="Times New Roman" w:hAnsi="Times New Roman" w:eastAsia="方正书宋_GBK" w:cs="Times New Roman"/>
        </w:rPr>
        <w:t>注：无政府基金预算财政拨款预算，空表列示。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default" w:ascii="Times New Roman" w:hAnsi="Times New Roman" w:eastAsia="方正小标宋_GBK" w:cs="Times New Roman"/>
          <w:sz w:val="36"/>
        </w:rPr>
        <w:t>部门预算国有资本经营预算财政拨款支出表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bl>
    <w:p>
      <w:pPr>
        <w:ind w:firstLine="420" w:firstLineChars="200"/>
        <w:jc w:val="left"/>
        <w:rPr>
          <w:rFonts w:hint="default" w:ascii="Times New Roman" w:hAnsi="Times New Roman" w:eastAsia="宋体" w:cs="Times New Roman"/>
        </w:rPr>
      </w:pPr>
      <w:r>
        <w:rPr>
          <w:rFonts w:hint="default" w:ascii="Times New Roman" w:hAnsi="Times New Roman" w:eastAsia="方正书宋_GBK" w:cs="Times New Roman"/>
        </w:rPr>
        <w:t>注：无国有资本经营预算财政拨款预算，空表列示。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2"/>
        </w:rPr>
      </w:pPr>
      <w:r>
        <w:rPr>
          <w:rFonts w:hint="default" w:ascii="Times New Roman" w:hAnsi="Times New Roman" w:eastAsia="方正小标宋_GBK" w:cs="Times New Roman"/>
          <w:sz w:val="32"/>
        </w:rPr>
        <w:t>部门预算财政拨款“三公”经费支出表</w:t>
      </w:r>
    </w:p>
    <w:tbl>
      <w:tblPr>
        <w:tblStyle w:val="3"/>
        <w:tblW w:w="10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2861"/>
        <w:gridCol w:w="1792"/>
        <w:gridCol w:w="1792"/>
        <w:gridCol w:w="1792"/>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3587"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151秦皇岛北戴河新区人民检察院</w:t>
            </w:r>
          </w:p>
        </w:tc>
        <w:tc>
          <w:tcPr>
            <w:tcW w:w="179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37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72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28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7171" w:type="dxa"/>
            <w:gridSpan w:val="4"/>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3" w:hRule="atLeast"/>
          <w:tblHeader/>
          <w:jc w:val="center"/>
        </w:trPr>
        <w:tc>
          <w:tcPr>
            <w:tcW w:w="72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8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   财政拨款</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政府性基金     预算拨款</w:t>
            </w:r>
          </w:p>
        </w:tc>
        <w:tc>
          <w:tcPr>
            <w:tcW w:w="179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tblHeader/>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28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79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28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19.37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19.37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一、因公出国（境）费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二、公务用车购置及运维费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    其中：公务用车购置费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          公务用车运行维护费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三、公务接待费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widowControl/>
        <w:spacing w:line="480" w:lineRule="exact"/>
        <w:jc w:val="center"/>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秦皇岛北戴河新区人民检察院</w:t>
      </w:r>
    </w:p>
    <w:p>
      <w:pPr>
        <w:widowControl/>
        <w:spacing w:line="48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lang w:eastAsia="zh-CN"/>
        </w:rPr>
        <w:t>2021</w:t>
      </w:r>
      <w:r>
        <w:rPr>
          <w:rFonts w:hint="default" w:ascii="Times New Roman" w:hAnsi="Times New Roman" w:eastAsia="方正小标宋简体" w:cs="Times New Roman"/>
          <w:bCs/>
          <w:kern w:val="0"/>
          <w:sz w:val="44"/>
          <w:szCs w:val="44"/>
        </w:rPr>
        <w:t>年部门预算公开情况说明</w:t>
      </w:r>
    </w:p>
    <w:p>
      <w:pPr>
        <w:widowControl/>
        <w:spacing w:line="480" w:lineRule="exact"/>
        <w:jc w:val="center"/>
        <w:rPr>
          <w:rFonts w:hint="default" w:ascii="Times New Roman" w:hAnsi="Times New Roman" w:eastAsia="方正小标宋简体" w:cs="Times New Roman"/>
          <w:bCs/>
          <w:kern w:val="0"/>
          <w:sz w:val="44"/>
          <w:szCs w:val="44"/>
        </w:rPr>
      </w:pPr>
    </w:p>
    <w:p>
      <w:pPr>
        <w:adjustRightInd w:val="0"/>
        <w:spacing w:line="560" w:lineRule="exact"/>
        <w:ind w:firstLine="640" w:firstLineChars="200"/>
        <w:rPr>
          <w:rFonts w:hint="default" w:ascii="Times New Roman" w:hAnsi="Times New Roman" w:eastAsia="黑体" w:cs="Times New Roman"/>
          <w:b/>
          <w:kern w:val="0"/>
          <w:sz w:val="32"/>
          <w:szCs w:val="32"/>
        </w:rPr>
      </w:pPr>
      <w:r>
        <w:rPr>
          <w:rFonts w:hint="default" w:ascii="Times New Roman" w:hAnsi="Times New Roman" w:eastAsia="方正仿宋简体" w:cs="Times New Roman"/>
          <w:color w:val="auto"/>
          <w:kern w:val="0"/>
          <w:sz w:val="32"/>
          <w:szCs w:val="32"/>
          <w:lang w:eastAsia="zh-CN"/>
        </w:rPr>
        <w:t>按照《预算法》、《地方预决算公开操作规程》和《河北省省级预算公开办法》规定，现将秦皇岛北戴河新区人民检察院2021年部门预算公开如下：</w:t>
      </w:r>
    </w:p>
    <w:p>
      <w:pPr>
        <w:widowControl/>
        <w:adjustRightInd w:val="0"/>
        <w:spacing w:line="480" w:lineRule="exact"/>
        <w:ind w:firstLine="643" w:firstLineChars="200"/>
        <w:rPr>
          <w:rFonts w:hint="default" w:ascii="Times New Roman" w:hAnsi="Times New Roman" w:cs="Times New Roman"/>
          <w:kern w:val="0"/>
          <w:sz w:val="24"/>
        </w:rPr>
      </w:pPr>
      <w:r>
        <w:rPr>
          <w:rFonts w:hint="default" w:ascii="Times New Roman" w:hAnsi="Times New Roman" w:eastAsia="黑体" w:cs="Times New Roman"/>
          <w:b/>
          <w:kern w:val="0"/>
          <w:sz w:val="32"/>
          <w:szCs w:val="32"/>
        </w:rPr>
        <w:t>一、</w:t>
      </w:r>
      <w:r>
        <w:rPr>
          <w:rFonts w:hint="default" w:ascii="Times New Roman" w:hAnsi="Times New Roman" w:eastAsia="黑体" w:cs="Times New Roman"/>
          <w:kern w:val="0"/>
          <w:sz w:val="32"/>
          <w:szCs w:val="32"/>
        </w:rPr>
        <w:t>部门职责及机构设置情况</w:t>
      </w:r>
    </w:p>
    <w:p>
      <w:pPr>
        <w:spacing w:line="500" w:lineRule="exact"/>
        <w:ind w:firstLine="640" w:firstLineChars="200"/>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部门职责</w:t>
      </w:r>
      <w:r>
        <w:rPr>
          <w:rFonts w:hint="default" w:ascii="Times New Roman" w:hAnsi="Times New Roman" w:eastAsia="方正仿宋简体" w:cs="Times New Roman"/>
          <w:kern w:val="0"/>
          <w:sz w:val="32"/>
          <w:szCs w:val="32"/>
          <w:lang w:eastAsia="zh-CN"/>
        </w:rPr>
        <w:t>：</w:t>
      </w:r>
    </w:p>
    <w:p>
      <w:pPr>
        <w:spacing w:line="500" w:lineRule="exact"/>
        <w:ind w:firstLine="56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_GBK" w:cs="Times New Roman"/>
          <w:sz w:val="28"/>
        </w:rPr>
        <w:t>根据《秦皇岛北戴河新区人民检察院职能配置、内设机构和人员编制规定》， 秦皇岛北戴河新区人民检察院的主要职责是：</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(一)、执行国家法律法规，贯彻落实上级人民检察院、同级党委工作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部署，制定检察工作目标，完成各项检察工作任务。</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(二)、依法办理审查批准逮捕、决定逮捕案件，实施立案侦查监督、</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侦查活动监督。</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(三)、依法办理审查起诉、提起公诉、抗诉案件，对人民法院刑事审</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判活动实行监督工作。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(四)、对刑罚执行和监管活动实行监督，维护刑罚执行和监管活动的</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公平公正，维护监管秩序稳定。</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(五)、受理公民的报案、举报、控告和刑事申诉，依法处理举报线索，</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办理刑事申诉、国家赔偿、司法救助案件。</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(六)、对人民法院民事诉讼和行政诉讼实行法律监督。</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(七)、开展公益诉讼检察工作。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(八)、开展未成年人检察工作。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(九)、负责检察队伍建设和思想政治工作，对检察人员进行教育培训，</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负责检察机关党的思想、组织、作风建设。</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(十)、按照干部管理权限，协同地方党委、上级人民检察院管理本院</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检察人员，提请本级人民代表大会常务委员会决定任免副检察长、检察委</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员会委员、检察员。</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(十一)、规划落实检察机关财务装备工作，开展检察机关信息化建设、</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检察技术工作。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（十二）承办上级检察院交办的其他事项。</w:t>
      </w:r>
    </w:p>
    <w:p>
      <w:pPr>
        <w:numPr>
          <w:ilvl w:val="0"/>
          <w:numId w:val="3"/>
        </w:numPr>
        <w:adjustRightInd w:val="0"/>
        <w:spacing w:line="48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机构设置</w:t>
      </w:r>
    </w:p>
    <w:p>
      <w:pPr>
        <w:jc w:val="center"/>
        <w:outlineLvl w:val="0"/>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32"/>
          <w:szCs w:val="24"/>
        </w:rPr>
        <w:t>部门机构设置情况</w:t>
      </w:r>
    </w:p>
    <w:tbl>
      <w:tblPr>
        <w:tblStyle w:val="3"/>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r>
              <w:rPr>
                <w:rFonts w:hint="default" w:ascii="Times New Roman" w:hAnsi="Times New Roman" w:eastAsia="方正书宋_GBK" w:cs="Times New Roman"/>
                <w:lang w:eastAsia="zh-CN"/>
              </w:rPr>
              <w:t>秦皇岛</w:t>
            </w:r>
            <w:r>
              <w:rPr>
                <w:rFonts w:hint="default" w:ascii="Times New Roman" w:hAnsi="Times New Roman" w:eastAsia="方正书宋_GBK" w:cs="Times New Roman"/>
              </w:rPr>
              <w:t>北戴河新区人民检察院</w:t>
            </w:r>
          </w:p>
        </w:tc>
        <w:tc>
          <w:tcPr>
            <w:tcW w:w="1134"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正处级</w:t>
            </w:r>
          </w:p>
        </w:tc>
        <w:tc>
          <w:tcPr>
            <w:tcW w:w="2902"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lang w:eastAsia="zh-CN"/>
              </w:rPr>
              <w:t>秦皇岛</w:t>
            </w:r>
            <w:r>
              <w:rPr>
                <w:rFonts w:hint="default" w:ascii="Times New Roman" w:hAnsi="Times New Roman" w:eastAsia="方正书宋_GBK" w:cs="Times New Roman"/>
              </w:rPr>
              <w:t>北戴河新区人民检察院</w:t>
            </w:r>
            <w:r>
              <w:rPr>
                <w:rFonts w:hint="eastAsia" w:eastAsia="方正书宋_GBK" w:cs="Times New Roman"/>
                <w:lang w:val="en-US" w:eastAsia="zh-CN"/>
              </w:rPr>
              <w:t>本级</w:t>
            </w:r>
          </w:p>
        </w:tc>
        <w:tc>
          <w:tcPr>
            <w:tcW w:w="1134" w:type="dxa"/>
            <w:vAlign w:val="center"/>
          </w:tcPr>
          <w:p>
            <w:pPr>
              <w:spacing w:line="300" w:lineRule="exact"/>
              <w:jc w:val="center"/>
              <w:rPr>
                <w:rFonts w:hint="default"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rPr>
              <w:t>正处级</w:t>
            </w:r>
          </w:p>
        </w:tc>
        <w:tc>
          <w:tcPr>
            <w:tcW w:w="2902" w:type="dxa"/>
            <w:vAlign w:val="center"/>
          </w:tcPr>
          <w:p>
            <w:pPr>
              <w:spacing w:line="300" w:lineRule="exact"/>
              <w:jc w:val="center"/>
              <w:rPr>
                <w:rFonts w:hint="default"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rPr>
              <w:t>财政拨款</w:t>
            </w:r>
          </w:p>
        </w:tc>
      </w:tr>
    </w:tbl>
    <w:p>
      <w:pPr>
        <w:rPr>
          <w:rFonts w:hint="default" w:ascii="Times New Roman" w:hAnsi="Times New Roman" w:cs="Times New Roman"/>
        </w:rPr>
      </w:pPr>
    </w:p>
    <w:p>
      <w:pPr>
        <w:numPr>
          <w:ilvl w:val="0"/>
          <w:numId w:val="0"/>
        </w:numPr>
        <w:adjustRightInd w:val="0"/>
        <w:spacing w:line="4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二、部门预算安排总体情况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按照预算管理有关规定，目前我区部门预算的编制实行综合预算制度，即全部收入和支出都反映在预算中。</w:t>
      </w:r>
      <w:r>
        <w:rPr>
          <w:rFonts w:hint="default" w:ascii="Times New Roman" w:hAnsi="Times New Roman" w:eastAsia="方正仿宋简体" w:cs="Times New Roman"/>
          <w:sz w:val="32"/>
          <w:szCs w:val="32"/>
          <w:lang w:eastAsia="zh-CN"/>
        </w:rPr>
        <w:t>秦皇岛</w:t>
      </w:r>
      <w:r>
        <w:rPr>
          <w:rFonts w:hint="default" w:ascii="Times New Roman" w:hAnsi="Times New Roman" w:eastAsia="方正仿宋简体" w:cs="Times New Roman"/>
          <w:sz w:val="32"/>
          <w:szCs w:val="32"/>
        </w:rPr>
        <w:t>北戴河新区人民检察院的收支包含在部门预算中。</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1.收入说明</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反映本部门当年全部收入，202</w:t>
      </w:r>
      <w:r>
        <w:rPr>
          <w:rFonts w:hint="default"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rPr>
        <w:t>年预算收入</w:t>
      </w:r>
      <w:r>
        <w:rPr>
          <w:rFonts w:hint="default" w:ascii="Times New Roman" w:hAnsi="Times New Roman" w:eastAsia="方正仿宋简体" w:cs="Times New Roman"/>
          <w:b w:val="0"/>
          <w:bCs/>
          <w:sz w:val="32"/>
          <w:szCs w:val="32"/>
          <w:lang w:val="en-US" w:eastAsia="zh-CN"/>
        </w:rPr>
        <w:t>715.69</w:t>
      </w:r>
      <w:r>
        <w:rPr>
          <w:rFonts w:hint="default" w:ascii="Times New Roman" w:hAnsi="Times New Roman" w:eastAsia="方正仿宋简体" w:cs="Times New Roman"/>
          <w:b w:val="0"/>
          <w:bCs/>
          <w:sz w:val="32"/>
          <w:szCs w:val="32"/>
        </w:rPr>
        <w:t>万元，其中：一般公共预算拨款</w:t>
      </w:r>
      <w:r>
        <w:rPr>
          <w:rFonts w:hint="default" w:ascii="Times New Roman" w:hAnsi="Times New Roman" w:eastAsia="方正仿宋简体" w:cs="Times New Roman"/>
          <w:b w:val="0"/>
          <w:bCs/>
          <w:sz w:val="32"/>
          <w:szCs w:val="32"/>
          <w:lang w:val="en-US" w:eastAsia="zh-CN"/>
        </w:rPr>
        <w:t>715.69</w:t>
      </w:r>
      <w:r>
        <w:rPr>
          <w:rFonts w:hint="default" w:ascii="Times New Roman" w:hAnsi="Times New Roman" w:eastAsia="方正仿宋简体" w:cs="Times New Roman"/>
          <w:b w:val="0"/>
          <w:bCs/>
          <w:sz w:val="32"/>
          <w:szCs w:val="32"/>
        </w:rPr>
        <w:t>万元（非限额补助0万元，提前通知转移支付0万元）；基金预算拨款0万元。</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2.支出说明</w:t>
      </w:r>
    </w:p>
    <w:p>
      <w:pPr>
        <w:ind w:firstLine="480" w:firstLineChars="15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部门预算收支总表支出栏、基本支出表、项目支出表按经济分类和支出功能分类科目编制，反映部门预算中支出预算的总体情况。202</w:t>
      </w:r>
      <w:r>
        <w:rPr>
          <w:rFonts w:hint="default"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rPr>
        <w:t>年部门支出预算为</w:t>
      </w:r>
      <w:r>
        <w:rPr>
          <w:rFonts w:hint="default" w:ascii="Times New Roman" w:hAnsi="Times New Roman" w:eastAsia="方正仿宋简体" w:cs="Times New Roman"/>
          <w:b w:val="0"/>
          <w:bCs/>
          <w:sz w:val="32"/>
          <w:szCs w:val="32"/>
          <w:lang w:val="en-US" w:eastAsia="zh-CN"/>
        </w:rPr>
        <w:t>715.69</w:t>
      </w:r>
      <w:r>
        <w:rPr>
          <w:rFonts w:hint="default" w:ascii="Times New Roman" w:hAnsi="Times New Roman" w:eastAsia="方正仿宋简体" w:cs="Times New Roman"/>
          <w:b w:val="0"/>
          <w:bCs/>
          <w:sz w:val="32"/>
          <w:szCs w:val="32"/>
        </w:rPr>
        <w:t>万元，其中基本支出</w:t>
      </w:r>
      <w:r>
        <w:rPr>
          <w:rFonts w:hint="default" w:ascii="Times New Roman" w:hAnsi="Times New Roman" w:eastAsia="方正仿宋简体" w:cs="Times New Roman"/>
          <w:b w:val="0"/>
          <w:bCs/>
          <w:sz w:val="32"/>
          <w:szCs w:val="32"/>
          <w:lang w:val="en-US" w:eastAsia="zh-CN"/>
        </w:rPr>
        <w:t>596.79</w:t>
      </w:r>
      <w:r>
        <w:rPr>
          <w:rFonts w:hint="default" w:ascii="Times New Roman" w:hAnsi="Times New Roman" w:eastAsia="方正仿宋简体" w:cs="Times New Roman"/>
          <w:b w:val="0"/>
          <w:bCs/>
          <w:sz w:val="32"/>
          <w:szCs w:val="32"/>
        </w:rPr>
        <w:t>万元，包括人员经费</w:t>
      </w:r>
      <w:r>
        <w:rPr>
          <w:rFonts w:hint="default" w:ascii="Times New Roman" w:hAnsi="Times New Roman" w:eastAsia="方正仿宋简体" w:cs="Times New Roman"/>
          <w:b w:val="0"/>
          <w:bCs/>
          <w:sz w:val="32"/>
          <w:szCs w:val="32"/>
          <w:lang w:val="en-US" w:eastAsia="zh-CN"/>
        </w:rPr>
        <w:t>507.86</w:t>
      </w:r>
      <w:r>
        <w:rPr>
          <w:rFonts w:hint="default" w:ascii="Times New Roman" w:hAnsi="Times New Roman" w:eastAsia="方正仿宋简体" w:cs="Times New Roman"/>
          <w:b w:val="0"/>
          <w:bCs/>
          <w:sz w:val="32"/>
          <w:szCs w:val="32"/>
        </w:rPr>
        <w:t>万元和日常公用经费</w:t>
      </w:r>
      <w:r>
        <w:rPr>
          <w:rFonts w:hint="default" w:ascii="Times New Roman" w:hAnsi="Times New Roman" w:eastAsia="方正仿宋简体" w:cs="Times New Roman"/>
          <w:b w:val="0"/>
          <w:bCs/>
          <w:sz w:val="32"/>
          <w:szCs w:val="32"/>
          <w:lang w:val="en-US" w:eastAsia="zh-CN"/>
        </w:rPr>
        <w:t>88.93</w:t>
      </w:r>
      <w:r>
        <w:rPr>
          <w:rFonts w:hint="default" w:ascii="Times New Roman" w:hAnsi="Times New Roman" w:eastAsia="方正仿宋简体" w:cs="Times New Roman"/>
          <w:b w:val="0"/>
          <w:bCs/>
          <w:sz w:val="32"/>
          <w:szCs w:val="32"/>
        </w:rPr>
        <w:t>万元；项目支出118.9万元，全部为本级支出。</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年部门预算较20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123.19</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123.19</w:t>
      </w:r>
      <w:r>
        <w:rPr>
          <w:rFonts w:hint="default" w:ascii="Times New Roman" w:hAnsi="Times New Roman" w:eastAsia="方正仿宋简体" w:cs="Times New Roman"/>
          <w:sz w:val="32"/>
          <w:szCs w:val="32"/>
        </w:rPr>
        <w:t>万元，主要是</w:t>
      </w:r>
      <w:r>
        <w:rPr>
          <w:rFonts w:hint="default" w:ascii="Times New Roman" w:hAnsi="Times New Roman" w:eastAsia="方正仿宋简体" w:cs="Times New Roman"/>
          <w:sz w:val="32"/>
          <w:szCs w:val="32"/>
          <w:lang w:eastAsia="zh-CN"/>
        </w:rPr>
        <w:t>减少人员经费及日常公用经费</w:t>
      </w:r>
      <w:r>
        <w:rPr>
          <w:rFonts w:hint="default" w:ascii="Times New Roman" w:hAnsi="Times New Roman" w:eastAsia="方正仿宋简体" w:cs="Times New Roman"/>
          <w:sz w:val="32"/>
          <w:szCs w:val="32"/>
        </w:rPr>
        <w:t>；项目支出无增减变化。</w:t>
      </w:r>
    </w:p>
    <w:p>
      <w:pPr>
        <w:adjustRightInd w:val="0"/>
        <w:spacing w:line="4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lang w:val="en-US" w:eastAsia="zh-CN"/>
        </w:rPr>
        <w:t>88.93</w:t>
      </w:r>
      <w:r>
        <w:rPr>
          <w:rFonts w:hint="default" w:ascii="Times New Roman"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widowControl/>
        <w:adjustRightInd w:val="0"/>
        <w:spacing w:line="4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四、财政拔款“三公”经费预算情况及增减变化原因</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年，财政拨款“三公”经费预算安排19.</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7万元，其中：因公出国（境）费0万元；公务用车购置及运维费18.2万元（其中：公务用车运行费18.2万元)；公务接待费1.</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7万元。“三公”经费较上年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0.5%</w:t>
      </w:r>
      <w:r>
        <w:rPr>
          <w:rFonts w:hint="default" w:ascii="Times New Roman" w:hAnsi="Times New Roman" w:eastAsia="方正仿宋简体" w:cs="Times New Roman"/>
          <w:sz w:val="32"/>
          <w:szCs w:val="32"/>
        </w:rPr>
        <w:t>，主要原因是今年</w:t>
      </w:r>
      <w:r>
        <w:rPr>
          <w:rFonts w:hint="default" w:ascii="Times New Roman" w:hAnsi="Times New Roman" w:eastAsia="方正仿宋简体" w:cs="Times New Roman"/>
          <w:sz w:val="32"/>
          <w:szCs w:val="32"/>
          <w:lang w:eastAsia="zh-CN"/>
        </w:rPr>
        <w:t>压减公务接待费</w:t>
      </w:r>
      <w:r>
        <w:rPr>
          <w:rFonts w:hint="default" w:ascii="Times New Roman" w:hAnsi="Times New Roman" w:eastAsia="方正仿宋简体" w:cs="Times New Roman"/>
          <w:sz w:val="32"/>
          <w:szCs w:val="32"/>
        </w:rPr>
        <w:t>。</w:t>
      </w:r>
    </w:p>
    <w:p>
      <w:pPr>
        <w:spacing w:before="10" w:after="10" w:line="240" w:lineRule="auto"/>
        <w:ind w:firstLine="640"/>
        <w:jc w:val="left"/>
        <w:outlineLvl w:val="5"/>
      </w:pPr>
      <w:r>
        <w:rPr>
          <w:rFonts w:ascii="黑体" w:hAnsi="黑体" w:eastAsia="黑体" w:cs="黑体"/>
          <w:color w:val="000000"/>
          <w:sz w:val="32"/>
        </w:rPr>
        <w:t>五、预算绩效信息</w:t>
      </w:r>
    </w:p>
    <w:p>
      <w:pPr>
        <w:ind w:firstLine="640" w:firstLineChars="2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 xml:space="preserve">第一部分  部门整体绩效目标 </w:t>
      </w:r>
    </w:p>
    <w:p>
      <w:pPr>
        <w:ind w:firstLine="640" w:firstLineChars="2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（一）总体绩效目标</w:t>
      </w:r>
    </w:p>
    <w:p>
      <w:pPr>
        <w:spacing w:line="500" w:lineRule="exact"/>
        <w:ind w:firstLine="560" w:firstLineChars="200"/>
        <w:jc w:val="left"/>
        <w:rPr>
          <w:rFonts w:hint="default" w:ascii="Times New Roman" w:hAnsi="Times New Roman" w:cs="Times New Roman"/>
          <w:sz w:val="28"/>
        </w:rPr>
      </w:pPr>
      <w:r>
        <w:rPr>
          <w:rFonts w:hint="default" w:ascii="Times New Roman" w:hAnsi="Times New Roman" w:eastAsia="方正仿宋_GBK" w:cs="Times New Roman"/>
          <w:sz w:val="28"/>
        </w:rPr>
        <w:t>检察机关将以习近平新时代中国特色社会主义思想为统领，深入学习贯彻党的十九大精神，认真落实中央、全省、全市政法工作会议和全国、全省检察长会议精神，坚持党对检察工作的绝对领导，坚持以人民为中心的发展思想，深化“五强一创”工作思路，全力聚焦法律监督主责主业，深入推进司法体制改革，大力加强平安秦皇岛、法治秦皇岛、过硬队伍、智慧检务建设，努力打造检察工作亮点品牌，以实际行动履行“四项使命”、创造“四种环境”，为新时代加快建设沿海强市、美丽港城和国际化城市作出新的更大贡献。</w:t>
      </w:r>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 TC </w:instrText>
      </w:r>
      <w:bookmarkStart w:id="0" w:name="_Toc28866444"/>
      <w:r>
        <w:rPr>
          <w:rFonts w:hint="default" w:ascii="Times New Roman" w:hAnsi="Times New Roman" w:eastAsia="方正黑体_GBK" w:cs="Times New Roman"/>
          <w:sz w:val="28"/>
        </w:rPr>
        <w:instrText xml:space="preserve">总体绩效目标</w:instrText>
      </w:r>
      <w:bookmarkEnd w:id="0"/>
      <w:r>
        <w:rPr>
          <w:rFonts w:hint="default" w:ascii="Times New Roman" w:hAnsi="Times New Roman" w:eastAsia="方正黑体_GBK" w:cs="Times New Roman"/>
          <w:sz w:val="28"/>
        </w:rPr>
        <w:instrText xml:space="preserve"> \f A \l 1 </w:instrText>
      </w:r>
      <w:r>
        <w:rPr>
          <w:rFonts w:hint="default" w:ascii="Times New Roman" w:hAnsi="Times New Roman" w:eastAsia="方正黑体_GBK" w:cs="Times New Roman"/>
          <w:sz w:val="28"/>
        </w:rPr>
        <w:fldChar w:fldCharType="end"/>
      </w:r>
    </w:p>
    <w:p>
      <w:pPr>
        <w:ind w:firstLine="627" w:firstLineChars="196"/>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（二）分项绩效目标</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1" w:name="_Toc28866445"/>
      <w:r>
        <w:rPr>
          <w:rFonts w:hint="default" w:ascii="Times New Roman" w:hAnsi="Times New Roman" w:eastAsia="方正楷体简体" w:cs="Times New Roman"/>
          <w:sz w:val="32"/>
          <w:szCs w:val="32"/>
        </w:rPr>
        <w:instrText xml:space="preserve">分项绩效目标</w:instrText>
      </w:r>
      <w:bookmarkEnd w:id="1"/>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一、积极参与国家治理，为经济社会发展大局服务</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1、积极服务“六稳” “六保”,助力企业复工复产。持续推进“一号检察建议”落实。开展行政检察工作，加强个人信息保护。认真贯彻新制定的政法工作条例和修改修订的人民检察院组织法、刑事诉讼法、坚持依法正确履行法律监督职责，进一步找准服务经济社会发展的结合点、着力点，为建设沿海强市、美丽港城和国际化城市提供有力的司法保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持续推进扫黑除恶专项斗争。积极推进扫黑除恶专项斗争，加强组织领导，集中主要力量投身扫黑除恶专项斗争中，对涉黑涉恶案件坚持做到快捕快诉、“一案三查”、“破网打伞”、“打财断血”，按照“六清”行动目标要求，坚持斗争决心不动摇、深挖彻查不松劲、依法严惩不含糊，深入清剿黑恶势力，让人民群众带着满满的安全感迈入全面小康。</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3.全面推进公益诉讼工作。深入落实省两办《关于加强检察机关提起公益诉讼工作的通知》要求，准确把握法定案件范围，重点办理生态环境和食品药品安全领域案件，有效维护国家利益、社会公共利益和人民根本利益，严厉打击人民群众反映强烈的生产、销售假冒伪劣食品药品犯罪，切实保障食品药品安全，维护人民群众的健康权益。继续开展破坏环境资源犯罪专项立案监督活动，落实与环保、公安、法院等单位信息交流、线索移送、案件通报等工作机制，贯彻恢复性司法理念，对破坏环境资源的刑事案件提起刑事附带民事诉讼，落实损害赔偿、补偿和修复责任，促进生态环境综合治理。要把公益诉讼工作作为“一把手”工程重点抓、亲自抓、专门抓，打破部门界限，抽调精干力量组成公益诉讼办案团队，在线索摸排、证据收集、案件审查、舆论宣传引导等方面密切协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4.积极参与社会治理体系建设。全面落实中央《关于完善矛盾纠纷多元化解机制的意见》和省委政法委《运用法治思维和法治方式化解社会矛盾纠纷的意见》，积极推广“枫桥经验”，积极参与社会矛盾排查化解专项行动，正确适用刑事和解、简易程序、量刑建议以及不批捕、不起诉等程序规定，落实谁执法谁普法的责任，加强释法说理，最大限度减少社会对抗。切实深化检察环节综合治理措施，参与立体化社会治安防控体系建设，促进社会治理法治化。加强未成年人检察工作，完善“捕、诉、监、防”一体化机制，积极参与中小学、幼儿园安全风险防控体系建设，突出惩治侵害农村留守儿童权益犯罪、虐待幼儿犯罪，深化“法治进校园”巡讲等活动。</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绩效目标：保护公民、法人和其他单位的合法权益，促进司法公正，维护社会稳定。</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绩效指标:：本年度检察院案件受理数量≥150件；平均案件办理时间&lt;=</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30.00天</w:t>
      </w:r>
      <w:r>
        <w:rPr>
          <w:rFonts w:hint="default" w:ascii="Times New Roman" w:hAnsi="Times New Roman" w:eastAsia="方正仿宋_GBK" w:cs="Times New Roman"/>
          <w:sz w:val="28"/>
        </w:rPr>
        <w:tab/>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w:t>
      </w:r>
      <w:r>
        <w:rPr>
          <w:rFonts w:hint="default" w:ascii="Times New Roman" w:hAnsi="Times New Roman" w:eastAsia="方正仿宋_GBK" w:cs="Times New Roman"/>
          <w:sz w:val="28"/>
          <w:lang w:eastAsia="zh-CN"/>
        </w:rPr>
        <w:t>、</w:t>
      </w:r>
      <w:r>
        <w:rPr>
          <w:rFonts w:hint="default" w:ascii="Times New Roman" w:hAnsi="Times New Roman" w:eastAsia="方正仿宋_GBK" w:cs="Times New Roman"/>
          <w:sz w:val="28"/>
        </w:rPr>
        <w:t>恪守宪法定位，深耕检察监督主责主业</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检察机关是国家法律监督机关，修改后的刑事诉讼法、民事诉讼法、行政诉讼法赋予检察机关一系列新的监督职责，检察机关要聚焦主责主业，综合运用多种监督手段拓展法律监督工作的广度和深度，坚持敢于监督、善于监督、依法监督、规范监督，不断改进监督方式，加大监督力度，全面提升法律监督水平。</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加强刑事诉讼监督。立案监督要重点监督纠正有案不立、越权办案、插手经济纠纷等问题。侦查活动监督，要重点监督对刑讯逼供、暴力取证，违规扣押涉案财物，随意变更刑事强制措施等问题。刑事审判活动监督，要重点监督纠正庭审权益保障不到位、证据采信不规范、裁判结果不公正等问题。侦监部门、公诉部门要严把案件质量关，案管部门要加强督导，及时发现问题，及时提出纠正意见。</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加强民事行政检察监督。重点加强对民事诉讼中违法调解、虚假诉讼、审判人员违法行为和违法执行的监督。统筹推进生效裁判、审判程序和执行活动监督，综合运用抗诉、再审检察建议、检察建议等多种监督方式，切实维护人民群众合法权益。着力强化行政检察工作，进一步发挥“两法衔接”机制作用，加大对行政处罚案件的网上巡察和实地报备检查力度，着力解决有案不移、有案难移、以罚代刑、降格处理等问题，促进行政执法单位依法廉洁高效行政。</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加强刑事执行监督。重点监督纠正超期羁押、违法“减假暂”、审前未羁押罪犯判实刑未交付执行等问题。严格刑罚变更执行同步监督，持续强化对职务犯罪、金融犯罪、涉黑犯罪“三类罪犯”的监督。深化集中清理判处实刑罪犯未交付执行刑罚专项活动，认真履行交付执行常态化监督职责。强化对刑事强制措施的监督，加强羁押必要性审查，提升案件质量和社会效果。加强提审中讯问活动监督，防范和依法处置监管事故，维护在押人员合法权益。强化财产刑执行活动的监督，实现从摸清底数为向主动监督办案的转变。强化社区矫正法律监督，完善社区服刑罪犯脱管漏管的发现、纠正和责任追究机制。加强强制医疗执行监督，对法院、公安的交付执行活动进行监督，对强制医疗机构的收治、医疗、监管等活动是否合法进行监督。</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绩效目标：保护公民、法人和其他单位的合法权益，促进司法公正，维护社会稳定。</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绩效指标：平均办理案件成本&lt;=2400.00元/件</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w:t>
      </w:r>
      <w:r>
        <w:rPr>
          <w:rFonts w:hint="default" w:ascii="Times New Roman" w:hAnsi="Times New Roman" w:eastAsia="方正仿宋_GBK" w:cs="Times New Roman"/>
          <w:sz w:val="28"/>
          <w:lang w:eastAsia="zh-CN"/>
        </w:rPr>
        <w:t>、</w:t>
      </w:r>
      <w:r>
        <w:rPr>
          <w:rFonts w:hint="default" w:ascii="Times New Roman" w:hAnsi="Times New Roman" w:eastAsia="方正仿宋_GBK" w:cs="Times New Roman"/>
          <w:sz w:val="28"/>
        </w:rPr>
        <w:t>深化司法体制改革，全面推动检察改革任务落实落地</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当前，司法责任制改革面上的目标任务已基本完成，改革态势健康稳健，改革成效整体向好，但是改革不深入、不充分、不平衡、不精细等问题依然存在。习近平总书记在十九届二中全会上强调，各级审判机关、检察机关要深化司法体制综合配套改革，坚持完善中国特色社会主义司法制度，保证依法独立公正行使审判权、检察权，不断提高司法公信力。</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坚持把全面落实司法责任制抓紧抓实。深入落实中办《关于加强法官检察官正规化专业化职业化建设全面落实司法责任制的意见》，完善员额退出、增补机制。所有入额检察官必须配置在业务部门并从事司法办案工作，领导干部要带头办理重大疑难复杂案件，对入额后不办案或虽办案但达不到办案数量要求的，要坚决退出员额。强化司法绩效考核。树立正确导向，最大限度激励入额人员多办案、办好案。积极争取有关部门支持，抓紧落实按期晋升与择优选任相结合的晋升机制。加快推进内设机构改革和办案组织建设。根据业务特点和案件复杂程度，构建分工协作、优势互补的新型办案组织。加强监管机制建设。加强检察官联席会议制度，改革检委会制度，完善案件质量评查、网上办案流程监管、社会监督等机制</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 .坚持深化诉讼制度改革。认真落实上级关于推进刑事诉讼制度改革的指导意见，统一司法标准，优化职权配置，完善刑事案件分流机制，改进司法方式，建立刑事诉讼新格局。健全以证据为核心的刑事指控体系，用审判定罪量刑的标准规范约束审查起诉工作，构建新型检警、检法、检律关系。推动落实证人、鉴定人、侦查人员出庭作证制度。</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坚持配合深化国家监察体制改革。目前，全市两级院转隶工作基本完成，要进一步配合做好相关工作，及时做好自侦部门未转隶人员的转岗定岗等工作。《河北省检察机关与监察委员会办理职务犯罪案件衔接办法（试行）》已印发执行，对监察委移送案件、检察机关受理案件、留置和刑事强制措施衔接、退回补充调查和自行补充侦查等都作了明确规定。在执行中，要注意发现搜集遇到的问题，及时研究上报，推动与监察委不断完善相关机制，形成惩防腐败的合力。</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绩效目标：规范司法行为，有效实施民事案件审判监督，维护司法公正金额司法权威，保障国家法律的统一正确实施。</w:t>
      </w:r>
    </w:p>
    <w:p>
      <w:pPr>
        <w:spacing w:line="500" w:lineRule="exact"/>
        <w:ind w:firstLine="560" w:firstLineChars="200"/>
        <w:jc w:val="left"/>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rPr>
        <w:t xml:space="preserve"> 绩效指标：本年度购买检务保障中强检设备数量&gt;=18.00件 ；业务装备可持续利用年限固定资产使用年限&gt;=</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5.00；设备购置成本</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购入的计算机、打印机等设备成本</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&lt;=</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8000.00元/件</w:t>
      </w:r>
      <w:r>
        <w:rPr>
          <w:rFonts w:hint="default" w:ascii="Times New Roman" w:hAnsi="Times New Roman" w:eastAsia="方正仿宋_GBK" w:cs="Times New Roman"/>
          <w:sz w:val="28"/>
          <w:lang w:eastAsia="zh-CN"/>
        </w:rPr>
        <w:t>。</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四</w:t>
      </w:r>
      <w:r>
        <w:rPr>
          <w:rFonts w:hint="default" w:ascii="Times New Roman" w:hAnsi="Times New Roman" w:eastAsia="方正仿宋_GBK" w:cs="Times New Roman"/>
          <w:sz w:val="28"/>
          <w:lang w:eastAsia="zh-CN"/>
        </w:rPr>
        <w:t>、</w:t>
      </w:r>
      <w:r>
        <w:rPr>
          <w:rFonts w:hint="default" w:ascii="Times New Roman" w:hAnsi="Times New Roman" w:eastAsia="方正仿宋_GBK" w:cs="Times New Roman"/>
          <w:sz w:val="28"/>
        </w:rPr>
        <w:t>认真做好自身党风廉政建设和反腐败工作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推进全面从严治党、抓好党风廉政建设和反腐败工作，是党组的政治责任。各级院党组要切实加强自身建设，全面履行管党治党主体责任。党员领导干部要始终牢记自己的第一身份是共产党员，第一职责是为党工作，特别是作为“一把手”的党组书记、检察长，更要敢于担当、敢抓敢管，把全面从严治党深入融入各项检察工作。两级院领导班子成员和各部门负责同志要认真履行“一岗双责”。检察机关各内部监督部门要协助院党组抓好主体责任的落实。</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1.持续加强党风廉政建设。要认真贯彻习近平总书记关于作风建设永远在路上的重要批示精神，加强警示教育，以反面典型为借鉴，从严要求，从严管理，切实树牢“严管是爱，宽松是害”的观念理念。严格执行中央八项规定精神，严格遵守《准则》《条例》，盯紧“四风”问题的新动向新表现，扎实开展纠正“四风”和作风纪律专项整治。根据省委统一部署，继续深入开展“一问责八清理”专项行动，建立“问责+清理”长效机制。加强纪律规矩经常性教育，开展纪律作风状况经常性分析研判，建立群众反映问题及时核查机制，用好监督执纪“四种形态”，抓早抓小，防微杜渐。</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2.巩固巡视整改成效。要切实抓好整改措施和出台的考勤管理、党支部规范化建设等系列制度的落实，政治部、纪检组和机关党委要加强制度执行情况监督检查，广泛采取专项检查、定期检查、明察暗访等方式，强力推动党建和党风廉政建设任务落实。还要适时组织开展“回头看”，坚决防止反弹回潮；对分步推进和长期坚持的整改任务，加强跟踪督办，确保时间进度、整改质量、工作力度始终如一；要深入推进检务督察、系统内巡察，强化执纪问责。</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绩效目标：规范司法行为，有效实施民事案件审判监督，维护司法公正金额司法权威，保障国家法律的统一正确实施。</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绩效指标：本年度案件流转率100%。推进司法体制改革,强化自身建设</w:t>
      </w:r>
    </w:p>
    <w:p>
      <w:pPr>
        <w:spacing w:before="156" w:beforeLines="50" w:after="156" w:afterLines="50" w:line="500" w:lineRule="exact"/>
        <w:ind w:firstLine="640" w:firstLineChars="200"/>
        <w:jc w:val="left"/>
        <w:outlineLvl w:val="1"/>
        <w:rPr>
          <w:rFonts w:hint="default" w:ascii="Times New Roman" w:hAnsi="Times New Roman" w:eastAsia="宋体" w:cs="Times New Roman"/>
          <w:sz w:val="28"/>
        </w:rPr>
      </w:pPr>
      <w:bookmarkStart w:id="2" w:name="_Toc61883840"/>
      <w:r>
        <w:rPr>
          <w:rFonts w:hint="default" w:ascii="Times New Roman" w:hAnsi="Times New Roman" w:eastAsia="方正楷体简体" w:cs="Times New Roman"/>
          <w:sz w:val="32"/>
          <w:szCs w:val="32"/>
        </w:rPr>
        <w:t>三、工作保障措施</w:t>
      </w:r>
      <w:bookmarkEnd w:id="2"/>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 TC 工作保障措施 \f A \l 1 </w:instrText>
      </w:r>
      <w:r>
        <w:rPr>
          <w:rFonts w:hint="default" w:ascii="Times New Roman" w:hAnsi="Times New Roman" w:eastAsia="方正黑体_GBK" w:cs="Times New Roman"/>
          <w:sz w:val="28"/>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（一）完善制度建设。制定完善预算绩效管理制度、资金管理办法、工作保障制度等，为全年预算绩效目标的实现奠定制度基础。</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（二）加强支出管理</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（三）加强绩效运行监控</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（四）做好绩效自评。按要求开展上年度部门预算绩效自评和重点评价工作，对评价中发现的问题及时整改，调速优化支出结构，提高财政资金使用效益。</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（五）规范财务资产管理。完善财务管理制度，严格审批程序，加强固定资产登记、使用和报废处置管理，做到支出合理，物尽其用。</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八）综合办公室发挥保障、服务职能；积极推进各项综合工作；确保各项检察工作顺利开展。围绕重点工作推进办案网络信息化建设及检务公开工作，畅通检务公开渠道。为检察工作顺利开展提供检务保障。以十九届五中全会精神为统领，开创新区检察工作新局面。继续深入学习党的十九大、十九届三中、四中五中全会精神，学习习近平新时代中国特色社会主义思想的精髓，加强社会主义核心价值观引导，全面强化意识形态工作力度，确保全院干警牢固树立“四个意识”，切实做到“两个维护”，以新时代的新思想武装头脑，不断增强和激发新时代新区检察创新发展的动力和潜力。</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（九）案件管理办公室对本机关受理案件进行全程动态监控，规范司法行为。信访接待方面要构建依法有序信访秩序，及时依法解决群众诉求，不断提高队伍素质和执法能力，推进信息公开。</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刑事检察科保障人权、维护司法公正，有效提高批捕、批准立案、批延准确率。全面审查案件事实，核实证据，依法提起公诉、出庭提出审查意见，提高公诉案件审结率、出庭意见采纳率。民事行政监督方面要有效实施民事案件审判监督，维护司法公正和司法权威，保障国家法律的统一正确实施。提升服务发展“贡献率”，精准把握建设新时代的检察发展定位，坚决服务保障打好“三大攻坚战”，着力服务经济发展，依法平等保护民营企业合法权益。进一步做优刑事检察、做强民事检察、做实行政检察、做好检察公益诉讼工作，平衡推进各项法律监督工作。继续深化 “两法衔接”、公益诉讼、未检建设等特色工作，积极谋划培育创新性亮点工作，汇聚一批适应新时代检察工作创新发展的法治成果。要切实加强在基础建设、工业投资、民生工程等扩大内需方面投资使用情况的监督，保障政府投资安全。要调整工作思路和工作方式，为企业生产和经营创造一个宽松的环境。政治学习要从贯彻落实科学发展观入手，提高检察工作服务经济社会发展和社会和谐稳定的水平。树立“文化育检、文化兴检”思想，积极探索符合检察机关特点的检察文化建设的新途径和新方式，为新区检察工作科学发展提供精神和智力支撑。坚持把“政治建检”作为扬帆起航之本，把“学习兴检”作为争先创优之策，依靠学习提升素能、提速增效，持之以恒抓好检察业务建设，坚持学以致用，奋力追赶超越，做优做强“四大检察”，做实做好“十大业务”，推动检察工作高质量发展。把“人才强检”作为行稳致远之要，把检察队伍建设作为首要任务，依靠高素质队伍推动高质量发展。要坚持从严治检，加强队伍教育整顿，不断淬炼检魂，打造党和人民信得过、靠得住、能放心的过硬检察队伍。一是持续更新检察监督理念。坚守客观公正立场，切实做到对待犯罪不偏不倚、不枉不纵，维护社会公平正义。牢固树立“在办案中监督、在监督中办案”，努力解决“重刑轻民”观念，着力提升再审检察建议质效，以精准化为导向健全行政诉讼监督机制，推进公益诉讼向精细化转型、向规范化发展、向专业化迈步。不断增强检察建议的刚性，确保高质量、真管用。加强典型案例、“检答网”的学习应用，不断增强典型案例指导业务工作的实效。</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一）是坚持聚焦新区发展工作大局，全力保障经济发展和社会稳定。精准服务“三大攻坚战”。加强与监委的配合，严厉打击惩治吞噬扶贫资金的微腐败。进一步服务打好污染防治攻坚战，促进生态环境保护。加强与纪委监委工作衔接，严厉打击职务犯罪。打好防范化解重大风险攻坚战。严厉打击破坏市场经济秩序犯罪、金融犯罪、涉众型经济犯罪，切实把打击涉众型经济犯罪与化解风险、追赃挽损、维护稳定结合起来。把服务保障民营经济健康发展作为重要的政治任务，始终坚持依法保护、平等保护、全面保护原则，依法促进民营经济健康发展。全力做好检察环节的维稳工作，落实最高检“群众来信7日内程序性回复、3个月内办理结果或过程答复”的要求。</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二）是坚持以办案为中心，切实增强人民群众获得感幸福感安全感。践行为民司法，严惩恐爆枪、黄赌毒、黑拐骗等侵害群众切身利益、严重影响群众安全感的犯罪。严厉打击黑恶势力背后的“关系网”“保护伞”，坚决清除“害群之马”。主动参与综合治理，践行新时代“枫桥经验”，及时高效化解社会矛盾，推动平安法治建设再上新台阶。严厉打击刑事犯罪，加强刑事诉讼监督，坚决监督纠正侦查、审判、执行活动违法犯罪行为。做实做强做优民事行政法律监督，促进刑事、民事行政法律监督均衡发展。紧紧围绕县委政府工作中心，持续加大公益诉讼办案力度，构建良好的公益保护格局。</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三）是坚持以“四化”为方向，全面加强队伍素质能力建设。持续加强检察队伍的政治建设、素质建设、作风建设、党风廉政建设。高度重视意识形态工作，对干警的错误言行，及时引导纠正。抓实内部监督管理，明确检务督察部门与案管部门的职能职责，形成检察权运行内部监督制约新格局。</w:t>
      </w:r>
    </w:p>
    <w:p>
      <w:pPr>
        <w:ind w:firstLine="562" w:firstLineChars="200"/>
        <w:jc w:val="left"/>
        <w:outlineLvl w:val="1"/>
        <w:rPr>
          <w:rFonts w:hint="default" w:ascii="Times New Roman" w:hAnsi="Times New Roman" w:eastAsia="方正仿宋_GBK" w:cs="Times New Roman"/>
          <w:b/>
          <w:sz w:val="28"/>
        </w:rPr>
      </w:pPr>
      <w:r>
        <w:rPr>
          <w:rFonts w:hint="default" w:ascii="Times New Roman" w:hAnsi="Times New Roman" w:eastAsia="方正仿宋_GBK" w:cs="Times New Roman"/>
          <w:b/>
          <w:sz w:val="28"/>
        </w:rPr>
        <w:t>第</w:t>
      </w:r>
      <w:r>
        <w:rPr>
          <w:rFonts w:hint="default" w:ascii="Times New Roman" w:hAnsi="Times New Roman" w:eastAsia="方正仿宋_GBK" w:cs="Times New Roman"/>
          <w:b/>
          <w:sz w:val="28"/>
          <w:lang w:val="en-US" w:eastAsia="zh-CN"/>
        </w:rPr>
        <w:t>二</w:t>
      </w:r>
      <w:r>
        <w:rPr>
          <w:rFonts w:hint="default" w:ascii="Times New Roman" w:hAnsi="Times New Roman" w:eastAsia="方正仿宋_GBK" w:cs="Times New Roman"/>
          <w:b/>
          <w:sz w:val="28"/>
        </w:rPr>
        <w:t>部分  预算项目绩效目标</w:t>
      </w:r>
    </w:p>
    <w:p>
      <w:pPr>
        <w:ind w:firstLine="562" w:firstLineChars="200"/>
        <w:jc w:val="left"/>
        <w:outlineLvl w:val="1"/>
        <w:rPr>
          <w:rFonts w:hint="default" w:ascii="Times New Roman" w:hAnsi="Times New Roman" w:cs="Times New Roman"/>
          <w:b/>
          <w:sz w:val="28"/>
        </w:rPr>
      </w:pPr>
      <w:r>
        <w:rPr>
          <w:rFonts w:hint="default" w:ascii="Times New Roman" w:hAnsi="Times New Roman" w:eastAsia="方正仿宋_GBK" w:cs="Times New Roman"/>
          <w:b/>
          <w:sz w:val="28"/>
        </w:rPr>
        <w:t>1、办公用房租赁费项目绩效目标表</w:t>
      </w:r>
      <w:r>
        <w:rPr>
          <w:rFonts w:hint="default" w:ascii="Times New Roman" w:hAnsi="Times New Roman" w:cs="Times New Roman"/>
        </w:rPr>
        <w:fldChar w:fldCharType="begin"/>
      </w:r>
      <w:r>
        <w:rPr>
          <w:rFonts w:hint="default" w:ascii="Times New Roman" w:hAnsi="Times New Roman" w:eastAsia="方正仿宋_GBK" w:cs="Times New Roman"/>
          <w:b/>
          <w:sz w:val="28"/>
        </w:rPr>
        <w:instrText xml:space="preserve"> TC </w:instrText>
      </w:r>
      <w:bookmarkStart w:id="3" w:name="_Toc28866447"/>
      <w:r>
        <w:rPr>
          <w:rFonts w:hint="default" w:ascii="Times New Roman" w:hAnsi="Times New Roman" w:eastAsia="方正仿宋_GBK" w:cs="Times New Roman"/>
          <w:b/>
          <w:sz w:val="28"/>
        </w:rPr>
        <w:instrText xml:space="preserve">1、办案业务、办案设备及科技强检经费绩效目标表</w:instrText>
      </w:r>
      <w:bookmarkEnd w:id="3"/>
      <w:r>
        <w:rPr>
          <w:rFonts w:hint="default" w:ascii="Times New Roman" w:hAnsi="Times New Roman" w:eastAsia="方正仿宋_GBK" w:cs="Times New Roman"/>
          <w:b/>
          <w:sz w:val="28"/>
        </w:rPr>
        <w:instrText xml:space="preserve"> \f C \l 1 </w:instrText>
      </w:r>
      <w:r>
        <w:rPr>
          <w:rFonts w:hint="default" w:ascii="Times New Roman" w:hAnsi="Times New Roman" w:eastAsia="方正仿宋_GBK" w:cs="Times New Roman"/>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079" w:type="dxa"/>
            <w:tcBorders>
              <w:bottom w:val="nil"/>
            </w:tcBorders>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发挥检务保障服务职能,为确保各项检察工作顺利开展提供场所</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617"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5"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409"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房屋租赁面积</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秦皇岛北戴河新区人民检察院和秦皇岛北戴河新区人民法院租用位于黄金海岸一纬路和二经路交叉口的鑫田园大酒店院内1500平方米的场地（含围墙、门卫房等附属设施）租给</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1500平方米</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保障各项检察工作</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发挥检务保障服务职能，为确保各项检察工作顺利开展提供场所。</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发挥检务保障服务职能，为各项检察工作开展提供场所。</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租金足额支付率</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本年度房租租赁费支出完成率</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租期</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按照合同2021年度租期时效</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2021年4月16日到2022年4月15日</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房租租赁合同等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房屋租赁费</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房屋租赁费用和场地租赁金额</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68.5万元</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保障办公人数</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租赁办公用房保障办公需要人数</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≥37人</w:t>
            </w:r>
          </w:p>
        </w:tc>
        <w:tc>
          <w:tcPr>
            <w:tcW w:w="1701" w:type="dxa"/>
            <w:noWrap w:val="0"/>
            <w:vAlign w:val="center"/>
          </w:tcPr>
          <w:p>
            <w:pPr>
              <w:spacing w:line="300" w:lineRule="exact"/>
              <w:jc w:val="lef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可持续影响指标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为工作创造了条件和基础</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符合办公工作条件基本满足服务群众的办公场所</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为以后工作的发展创造了条件和基础</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5"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服务对象满意度指标</w:t>
            </w:r>
          </w:p>
        </w:tc>
        <w:tc>
          <w:tcPr>
            <w:tcW w:w="2409"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房屋租赁使工作人员满意度达标</w:t>
            </w:r>
          </w:p>
        </w:tc>
        <w:tc>
          <w:tcPr>
            <w:tcW w:w="1276"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≥95%</w:t>
            </w:r>
          </w:p>
        </w:tc>
        <w:tc>
          <w:tcPr>
            <w:tcW w:w="1701"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年度工作计划</w:t>
            </w:r>
          </w:p>
        </w:tc>
      </w:tr>
    </w:tbl>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cs="Times New Roman"/>
          <w:b/>
          <w:sz w:val="28"/>
        </w:rPr>
      </w:pPr>
      <w:r>
        <w:rPr>
          <w:rFonts w:hint="default" w:ascii="Times New Roman" w:hAnsi="Times New Roman" w:eastAsia="方正仿宋_GBK" w:cs="Times New Roman"/>
          <w:b/>
          <w:sz w:val="28"/>
        </w:rPr>
        <w:t>2、</w:t>
      </w:r>
      <w:r>
        <w:rPr>
          <w:rFonts w:hint="default" w:ascii="Times New Roman" w:hAnsi="Times New Roman" w:eastAsia="方正仿宋_GBK" w:cs="Times New Roman"/>
          <w:b/>
          <w:sz w:val="28"/>
          <w:lang w:eastAsia="zh-CN"/>
        </w:rPr>
        <w:t>办案业务强检经费</w:t>
      </w:r>
      <w:r>
        <w:rPr>
          <w:rFonts w:hint="default" w:ascii="Times New Roman" w:hAnsi="Times New Roman" w:eastAsia="方正仿宋_GBK" w:cs="Times New Roman"/>
          <w:b/>
          <w:sz w:val="28"/>
        </w:rPr>
        <w:t>项目绩效目标表</w:t>
      </w:r>
      <w:r>
        <w:rPr>
          <w:rFonts w:hint="default" w:ascii="Times New Roman" w:hAnsi="Times New Roman" w:cs="Times New Roman"/>
        </w:rPr>
        <w:fldChar w:fldCharType="begin"/>
      </w:r>
      <w:r>
        <w:rPr>
          <w:rFonts w:hint="default" w:ascii="Times New Roman" w:hAnsi="Times New Roman" w:eastAsia="方正仿宋_GBK" w:cs="Times New Roman"/>
          <w:b/>
          <w:sz w:val="28"/>
        </w:rPr>
        <w:instrText xml:space="preserve"> TC 1、办案业务、办案设备及科技强检经费绩效目标表 \f C \l 1 </w:instrText>
      </w:r>
      <w:r>
        <w:rPr>
          <w:rFonts w:hint="default" w:ascii="Times New Roman" w:hAnsi="Times New Roman" w:eastAsia="方正仿宋_GBK" w:cs="Times New Roman"/>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079" w:type="dxa"/>
            <w:tcBorders>
              <w:bottom w:val="nil"/>
            </w:tcBorders>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1.保护公民、法人和其他单位的合法权益，促进司法公正，维护社会稳定</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2.规范司法行为，有效实施民事案件审判监督，维护司法公正和司法权威，保障国家法律的统一正确实施。</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617"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5"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409"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购买设备数量</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检务保障中强检设备数量</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≥18件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检察院案件受理数量</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检察院案件受理数量</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≥150件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案件流转率</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案件流转率</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验收合格率</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购入设备依据合同规定标准验收情况</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平均案件办理时间</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案件高效高质量办理</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≤30天</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设备购置成本</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购入的计算机、打印机等设备成本</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≤8000元/件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平均办理案件成本</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平均办理案件成本，差旅耗材等</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≤2400元/件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推进司法体制改革,强化自身建设</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推进司法体制改革,强化自身建设</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推进司法体制改革,强化自身建设</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可持续影响指标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业务装备可持续利用年限</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本年度购入固定资产使用年限</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≥5年</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固定资产管理办法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业务装备满意度</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业务装备满意度</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人民满意度</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bl>
    <w:p>
      <w:pPr>
        <w:ind w:firstLine="640"/>
        <w:rPr>
          <w:rFonts w:hint="default" w:ascii="Times New Roman" w:hAnsi="Times New Roman" w:eastAsia="方正仿宋简体" w:cs="Times New Roman"/>
          <w:sz w:val="32"/>
          <w:szCs w:val="32"/>
        </w:rPr>
      </w:pPr>
    </w:p>
    <w:p>
      <w:pPr>
        <w:widowControl/>
        <w:adjustRightInd w:val="0"/>
        <w:spacing w:line="48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黑体" w:cs="Times New Roman"/>
          <w:kern w:val="0"/>
          <w:sz w:val="32"/>
          <w:szCs w:val="32"/>
        </w:rPr>
        <w:t>六、</w:t>
      </w:r>
      <w:r>
        <w:rPr>
          <w:rFonts w:hint="default" w:ascii="Times New Roman" w:hAnsi="Times New Roman" w:eastAsia="黑体" w:cs="Times New Roman"/>
          <w:kern w:val="0"/>
          <w:sz w:val="32"/>
          <w:szCs w:val="32"/>
        </w:rPr>
        <w:t>政府采购预算情况</w:t>
      </w:r>
    </w:p>
    <w:p>
      <w:pPr>
        <w:widowControl/>
        <w:adjustRightInd w:val="0"/>
        <w:spacing w:line="480" w:lineRule="exact"/>
        <w:ind w:firstLine="640" w:firstLineChars="200"/>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本部门无政府采购预算</w:t>
      </w:r>
    </w:p>
    <w:p>
      <w:pPr>
        <w:widowControl/>
        <w:adjustRightInd w:val="0"/>
        <w:spacing w:line="48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七、</w:t>
      </w:r>
      <w:r>
        <w:rPr>
          <w:rFonts w:hint="default" w:ascii="Times New Roman" w:hAnsi="Times New Roman" w:eastAsia="黑体" w:cs="Times New Roman"/>
          <w:kern w:val="0"/>
          <w:sz w:val="32"/>
          <w:szCs w:val="32"/>
        </w:rPr>
        <w:t>国有资产信息情况</w:t>
      </w:r>
    </w:p>
    <w:p>
      <w:pPr>
        <w:ind w:firstLine="640"/>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24"/>
        </w:rPr>
        <w:t>上年末固定资产金额为</w:t>
      </w:r>
      <w:r>
        <w:rPr>
          <w:rFonts w:hint="default" w:ascii="Times New Roman" w:hAnsi="Times New Roman" w:eastAsia="方正仿宋简体" w:cs="Times New Roman"/>
          <w:sz w:val="32"/>
          <w:szCs w:val="24"/>
          <w:lang w:val="en-US" w:eastAsia="zh-CN"/>
        </w:rPr>
        <w:t>381.22</w:t>
      </w:r>
      <w:r>
        <w:rPr>
          <w:rFonts w:hint="default" w:ascii="Times New Roman" w:hAnsi="Times New Roman" w:eastAsia="方正仿宋简体" w:cs="Times New Roman"/>
          <w:sz w:val="32"/>
          <w:szCs w:val="24"/>
        </w:rPr>
        <w:t>万元（详见下表），本年度各单位拟购置固定资产主要为计算机、一体机、打印机等，共计</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24"/>
        </w:rPr>
        <w:t>万元，均是20万元以下的设备。</w:t>
      </w:r>
    </w:p>
    <w:tbl>
      <w:tblPr>
        <w:tblStyle w:val="3"/>
        <w:tblW w:w="9600" w:type="dxa"/>
        <w:tblInd w:w="93" w:type="dxa"/>
        <w:tblLayout w:type="fixed"/>
        <w:tblCellMar>
          <w:top w:w="0" w:type="dxa"/>
          <w:left w:w="108" w:type="dxa"/>
          <w:bottom w:w="0" w:type="dxa"/>
          <w:right w:w="108" w:type="dxa"/>
        </w:tblCellMar>
      </w:tblPr>
      <w:tblGrid>
        <w:gridCol w:w="3305"/>
        <w:gridCol w:w="2070"/>
        <w:gridCol w:w="4225"/>
      </w:tblGrid>
      <w:tr>
        <w:tblPrEx>
          <w:tblCellMar>
            <w:top w:w="0" w:type="dxa"/>
            <w:left w:w="108" w:type="dxa"/>
            <w:bottom w:w="0" w:type="dxa"/>
            <w:right w:w="108" w:type="dxa"/>
          </w:tblCellMar>
        </w:tblPrEx>
        <w:trPr>
          <w:trHeight w:val="635" w:hRule="atLeast"/>
        </w:trPr>
        <w:tc>
          <w:tcPr>
            <w:tcW w:w="9600"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河北省省直部门固定资产占用情况表</w:t>
            </w:r>
          </w:p>
        </w:tc>
      </w:tr>
      <w:tr>
        <w:tblPrEx>
          <w:tblCellMar>
            <w:top w:w="0" w:type="dxa"/>
            <w:left w:w="108" w:type="dxa"/>
            <w:bottom w:w="0" w:type="dxa"/>
            <w:right w:w="108" w:type="dxa"/>
          </w:tblCellMar>
        </w:tblPrEx>
        <w:trPr>
          <w:trHeight w:val="529" w:hRule="atLeast"/>
        </w:trPr>
        <w:tc>
          <w:tcPr>
            <w:tcW w:w="5375"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编制部门：秦皇岛北戴河新区人民检察院</w:t>
            </w:r>
          </w:p>
        </w:tc>
        <w:tc>
          <w:tcPr>
            <w:tcW w:w="4225"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截止时间：20</w:t>
            </w:r>
            <w:r>
              <w:rPr>
                <w:rFonts w:hint="default" w:ascii="Times New Roman" w:hAnsi="Times New Roman" w:cs="Times New Roman"/>
                <w:kern w:val="0"/>
                <w:sz w:val="22"/>
                <w:lang w:val="en-US" w:eastAsia="zh-CN"/>
              </w:rPr>
              <w:t>20</w:t>
            </w:r>
            <w:r>
              <w:rPr>
                <w:rFonts w:hint="default" w:ascii="Times New Roman" w:hAnsi="Times New Roman" w:cs="Times New Roman"/>
                <w:kern w:val="0"/>
                <w:sz w:val="22"/>
              </w:rPr>
              <w:t xml:space="preserve">年12月31日  </w:t>
            </w:r>
          </w:p>
        </w:tc>
      </w:tr>
      <w:tr>
        <w:tblPrEx>
          <w:tblCellMar>
            <w:top w:w="0" w:type="dxa"/>
            <w:left w:w="108" w:type="dxa"/>
            <w:bottom w:w="0" w:type="dxa"/>
            <w:right w:w="108" w:type="dxa"/>
          </w:tblCellMar>
        </w:tblPrEx>
        <w:trPr>
          <w:trHeight w:val="600" w:hRule="atLeast"/>
        </w:trPr>
        <w:tc>
          <w:tcPr>
            <w:tcW w:w="33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   目</w:t>
            </w:r>
          </w:p>
        </w:tc>
        <w:tc>
          <w:tcPr>
            <w:tcW w:w="20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42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blPrEx>
          <w:tblCellMar>
            <w:top w:w="0" w:type="dxa"/>
            <w:left w:w="108" w:type="dxa"/>
            <w:bottom w:w="0" w:type="dxa"/>
            <w:right w:w="108" w:type="dxa"/>
          </w:tblCellMar>
        </w:tblPrEx>
        <w:trPr>
          <w:trHeight w:val="600" w:hRule="atLeast"/>
        </w:trPr>
        <w:tc>
          <w:tcPr>
            <w:tcW w:w="330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lang w:val="en-US"/>
              </w:rPr>
            </w:pPr>
            <w:r>
              <w:rPr>
                <w:rFonts w:hint="default" w:ascii="Times New Roman" w:hAnsi="Times New Roman" w:cs="Times New Roman"/>
                <w:kern w:val="0"/>
                <w:sz w:val="22"/>
                <w:lang w:val="en-US" w:eastAsia="zh-CN"/>
              </w:rPr>
              <w:t>381.22</w:t>
            </w:r>
          </w:p>
        </w:tc>
      </w:tr>
      <w:tr>
        <w:tblPrEx>
          <w:tblCellMar>
            <w:top w:w="0" w:type="dxa"/>
            <w:left w:w="108" w:type="dxa"/>
            <w:bottom w:w="0" w:type="dxa"/>
            <w:right w:w="108" w:type="dxa"/>
          </w:tblCellMar>
        </w:tblPrEx>
        <w:trPr>
          <w:trHeight w:val="600"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1、房屋（平方米）</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802"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其中：办公用房（平方米）</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00"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2、车辆（台、辆）</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7</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77.28</w:t>
            </w:r>
          </w:p>
        </w:tc>
      </w:tr>
      <w:tr>
        <w:tblPrEx>
          <w:tblCellMar>
            <w:top w:w="0" w:type="dxa"/>
            <w:left w:w="108" w:type="dxa"/>
            <w:bottom w:w="0" w:type="dxa"/>
            <w:right w:w="108" w:type="dxa"/>
          </w:tblCellMar>
        </w:tblPrEx>
        <w:trPr>
          <w:trHeight w:val="802"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3、单价在20万元以上设备</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18"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4、其他固定资产</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lang w:val="en-US"/>
              </w:rPr>
            </w:pPr>
            <w:r>
              <w:rPr>
                <w:rFonts w:hint="default" w:ascii="Times New Roman" w:hAnsi="Times New Roman" w:cs="Times New Roman"/>
                <w:kern w:val="0"/>
                <w:sz w:val="22"/>
                <w:lang w:val="en-US" w:eastAsia="zh-CN"/>
              </w:rPr>
              <w:t>303.94</w:t>
            </w:r>
          </w:p>
        </w:tc>
      </w:tr>
    </w:tbl>
    <w:p>
      <w:pPr>
        <w:widowControl/>
        <w:adjustRightInd w:val="0"/>
        <w:spacing w:line="480" w:lineRule="exact"/>
        <w:ind w:firstLine="640" w:firstLineChars="200"/>
        <w:rPr>
          <w:rFonts w:hint="default" w:ascii="Times New Roman" w:hAnsi="Times New Roman" w:cs="Times New Roman"/>
          <w:kern w:val="0"/>
          <w:sz w:val="24"/>
        </w:rPr>
      </w:pPr>
      <w:r>
        <w:rPr>
          <w:rFonts w:hint="eastAsia" w:eastAsia="黑体" w:cs="Times New Roman"/>
          <w:kern w:val="0"/>
          <w:sz w:val="32"/>
          <w:szCs w:val="32"/>
          <w:lang w:val="en-US" w:eastAsia="zh-CN"/>
        </w:rPr>
        <w:t>八</w:t>
      </w:r>
      <w:r>
        <w:rPr>
          <w:rFonts w:hint="default" w:ascii="Times New Roman" w:hAnsi="Times New Roman" w:eastAsia="黑体" w:cs="Times New Roman"/>
          <w:kern w:val="0"/>
          <w:sz w:val="32"/>
          <w:szCs w:val="32"/>
        </w:rPr>
        <w:t>、名词解释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480" w:lineRule="exact"/>
        <w:ind w:firstLine="640" w:firstLineChars="200"/>
        <w:rPr>
          <w:rFonts w:hint="default" w:ascii="Times New Roman" w:hAnsi="Times New Roman" w:eastAsia="方正仿宋简体" w:cs="Times New Roman"/>
          <w:kern w:val="0"/>
          <w:sz w:val="32"/>
          <w:szCs w:val="32"/>
        </w:rPr>
      </w:pPr>
      <w:r>
        <w:rPr>
          <w:rFonts w:hint="eastAsia" w:eastAsia="黑体" w:cs="Times New Roman"/>
          <w:kern w:val="0"/>
          <w:sz w:val="32"/>
          <w:szCs w:val="32"/>
          <w:lang w:val="en-US" w:eastAsia="zh-CN"/>
        </w:rPr>
        <w:t>九</w:t>
      </w:r>
      <w:r>
        <w:rPr>
          <w:rFonts w:hint="default" w:ascii="Times New Roman" w:hAnsi="Times New Roman" w:eastAsia="黑体" w:cs="Times New Roman"/>
          <w:kern w:val="0"/>
          <w:sz w:val="32"/>
          <w:szCs w:val="32"/>
        </w:rPr>
        <w:t>、其他需说明的事项</w:t>
      </w:r>
    </w:p>
    <w:p>
      <w:pPr>
        <w:spacing w:line="540" w:lineRule="exact"/>
        <w:ind w:firstLine="960" w:firstLineChars="300"/>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无。</w:t>
      </w:r>
    </w:p>
    <w:p>
      <w:pPr>
        <w:spacing w:line="560" w:lineRule="exact"/>
        <w:ind w:firstLine="640" w:firstLineChars="200"/>
        <w:rPr>
          <w:rFonts w:hint="default" w:ascii="Times New Roman" w:hAnsi="Times New Roman" w:eastAsia="方正仿宋简体"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ascii="方正小标宋_GBK" w:hAnsi="方正小标宋_GBK" w:eastAsia="方正小标宋_GBK" w:cs="方正小标宋_GBK"/>
          <w:color w:val="000000"/>
          <w:sz w:val="72"/>
        </w:rPr>
      </w:pPr>
    </w:p>
    <w:p>
      <w:pPr>
        <w:rPr>
          <w:rFonts w:ascii="方正小标宋_GBK" w:hAnsi="方正小标宋_GBK" w:eastAsia="方正小标宋_GBK" w:cs="方正小标宋_GBK"/>
          <w:color w:val="000000"/>
          <w:sz w:val="72"/>
        </w:rPr>
      </w:pPr>
    </w:p>
    <w:p>
      <w:pPr>
        <w:rPr>
          <w:rFonts w:ascii="方正小标宋_GBK" w:hAnsi="方正小标宋_GBK" w:eastAsia="方正小标宋_GBK" w:cs="方正小标宋_GBK"/>
          <w:color w:val="000000"/>
          <w:sz w:val="72"/>
        </w:rPr>
      </w:pPr>
    </w:p>
    <w:p>
      <w:pPr>
        <w:jc w:val="center"/>
        <w:rPr>
          <w:rFonts w:hint="default" w:ascii="Times New Roman" w:hAnsi="Times New Roman" w:cs="Times New Roman"/>
        </w:rPr>
      </w:pPr>
      <w:r>
        <w:rPr>
          <w:rFonts w:ascii="方正小标宋_GBK" w:hAnsi="方正小标宋_GBK" w:eastAsia="方正小标宋_GBK" w:cs="方正小标宋_GBK"/>
          <w:color w:val="000000"/>
          <w:sz w:val="72"/>
        </w:rPr>
        <w:t>第二部分  部门所属单位预算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3"/>
        <w:rPr>
          <w:rFonts w:hint="default" w:ascii="Times New Roman" w:hAnsi="Times New Roman" w:eastAsia="黑体" w:cs="Times New Roman"/>
          <w:sz w:val="32"/>
          <w:szCs w:val="32"/>
        </w:rPr>
      </w:pPr>
      <w:bookmarkStart w:id="4" w:name="_Toc_4_4_0000000019"/>
      <w:r>
        <w:rPr>
          <w:rFonts w:ascii="方正小标宋_GBK" w:hAnsi="方正小标宋_GBK" w:eastAsia="方正小标宋_GBK" w:cs="方正小标宋_GBK"/>
          <w:color w:val="000000"/>
          <w:sz w:val="44"/>
        </w:rPr>
        <w:t>一、秦皇岛北戴河新区</w:t>
      </w:r>
      <w:r>
        <w:rPr>
          <w:rFonts w:hint="eastAsia" w:ascii="方正小标宋_GBK" w:hAnsi="方正小标宋_GBK" w:eastAsia="方正小标宋_GBK" w:cs="方正小标宋_GBK"/>
          <w:color w:val="000000"/>
          <w:sz w:val="44"/>
          <w:lang w:val="en-US" w:eastAsia="zh-CN"/>
        </w:rPr>
        <w:t>人民检察院</w:t>
      </w:r>
      <w:r>
        <w:rPr>
          <w:rFonts w:ascii="方正小标宋_GBK" w:hAnsi="方正小标宋_GBK" w:eastAsia="方正小标宋_GBK" w:cs="方正小标宋_GBK"/>
          <w:color w:val="000000"/>
          <w:sz w:val="44"/>
        </w:rPr>
        <w:t>本级收支预算</w:t>
      </w:r>
      <w:bookmarkEnd w:id="4"/>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预算收支总表</w:t>
      </w:r>
    </w:p>
    <w:tbl>
      <w:tblPr>
        <w:tblStyle w:val="3"/>
        <w:tblW w:w="142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6661"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w:t>
            </w:r>
          </w:p>
        </w:tc>
        <w:tc>
          <w:tcPr>
            <w:tcW w:w="6661"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预算数</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1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一、一般公共预算拨款收入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715.69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一、一般公共服务支出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二、政府性基金预算拨款收入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二、外交支出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三、国有资本经营预算拨款收入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三、国防支出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四、财政专户管理资金收入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四、公共安全支出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五、事业收入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五、教育支出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六、事业单位经营收入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六、科学技术支出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七、上级补助收入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七、文化旅游体育与传媒支出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八、附属单位上缴收入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八、社会保障和就业支出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九、其他收入</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九、社会保险基金支出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十、卫生健康支出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十一、节能环保支出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十二、城乡社区支出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十三、农林水支出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十四、交通运输支出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十五、资源勘探工业信息等支出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十六、商业服务业等支出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十七、金融支出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十八、援助其他地区支出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十九、自然资源海洋气象等支出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二十、住房保障支出</w:t>
            </w:r>
          </w:p>
        </w:tc>
        <w:tc>
          <w:tcPr>
            <w:tcW w:w="2126" w:type="dxa"/>
            <w:shd w:val="clear" w:color="auto" w:fill="auto"/>
            <w:noWrap w:val="0"/>
            <w:vAlign w:val="center"/>
          </w:tcPr>
          <w:p>
            <w:pPr>
              <w:spacing w:line="300" w:lineRule="exact"/>
              <w:jc w:val="right"/>
              <w:rPr>
                <w:rFonts w:hint="eastAsia" w:ascii="Times New Roman" w:hAnsi="Times New Roman" w:eastAsia="方正书宋_GBK" w:cs="Times New Roman"/>
                <w:lang w:eastAsia="zh-CN"/>
              </w:rPr>
            </w:pPr>
            <w:r>
              <w:rPr>
                <w:rFonts w:hint="default" w:ascii="Times New Roman" w:hAnsi="Times New Roman" w:eastAsia="方正书宋_GBK" w:cs="Times New Roman"/>
              </w:rPr>
              <w:t>30.4</w:t>
            </w:r>
            <w:r>
              <w:rPr>
                <w:rFonts w:hint="eastAsia" w:eastAsia="方正书宋_GBK" w:cs="Times New Roman"/>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二十一、粮油物资储备支出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二十二、国有资本经营预算支出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二十三、灾害防治及应急管理支出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二十四、预备费</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二十五、其他支出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二十六、转移性支出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二十七、债务还本支出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二十八、债务付息支出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二十九、债务发行费用支出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三十、抗疫特别国债安排的支出</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本年收入合计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本年支出合计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上年结转结余</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年终结转结余</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33</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收入总计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支出总计</w:t>
            </w:r>
          </w:p>
        </w:tc>
        <w:tc>
          <w:tcPr>
            <w:tcW w:w="2126"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r>
    </w:tbl>
    <w:p>
      <w:pPr>
        <w:spacing w:line="300" w:lineRule="exact"/>
        <w:jc w:val="left"/>
        <w:outlineLvl w:val="1"/>
        <w:rPr>
          <w:rFonts w:hint="default" w:ascii="Times New Roman" w:hAnsi="Times New Roman" w:cs="Times New Roman"/>
        </w:rPr>
        <w:sectPr>
          <w:pgSz w:w="16839" w:h="11907" w:orient="landscape"/>
          <w:pgMar w:top="1587" w:right="1134" w:bottom="1361" w:left="1134"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预算收入总表</w:t>
      </w:r>
    </w:p>
    <w:tbl>
      <w:tblPr>
        <w:tblStyle w:val="3"/>
        <w:tblW w:w="146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680"/>
        <w:gridCol w:w="931"/>
        <w:gridCol w:w="162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615"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9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2551"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1134"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9072" w:type="dxa"/>
            <w:gridSpan w:val="8"/>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本年收入</w:t>
            </w:r>
          </w:p>
        </w:tc>
        <w:tc>
          <w:tcPr>
            <w:tcW w:w="1134"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shd w:val="clear" w:color="auto" w:fill="auto"/>
            <w:noWrap w:val="0"/>
            <w:vAlign w:val="center"/>
          </w:tcPr>
          <w:p>
            <w:pPr>
              <w:spacing w:line="300" w:lineRule="exact"/>
              <w:jc w:val="left"/>
              <w:outlineLvl w:val="1"/>
              <w:rPr>
                <w:rFonts w:hint="default" w:ascii="Times New Roman" w:hAnsi="Times New Roman" w:cs="Times New Roman"/>
              </w:rPr>
            </w:pPr>
          </w:p>
        </w:tc>
        <w:tc>
          <w:tcPr>
            <w:tcW w:w="93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  编码</w:t>
            </w:r>
          </w:p>
        </w:tc>
        <w:tc>
          <w:tcPr>
            <w:tcW w:w="162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1134"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小计</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财政拨款 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财政专户 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事业收入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经营收入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上级补助收入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附属单位上缴收入</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其他收入</w:t>
            </w:r>
          </w:p>
        </w:tc>
        <w:tc>
          <w:tcPr>
            <w:tcW w:w="1134"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93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162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6</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7</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8</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9</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10</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11</w:t>
            </w:r>
          </w:p>
        </w:tc>
        <w:tc>
          <w:tcPr>
            <w:tcW w:w="113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162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公共安全支出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2040401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行政运行</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社会保障和就业支出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行政事业单位养老支出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2080505</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卫生健康支出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行政事业单位医疗</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2101101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行政单位医疗</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住房保障支出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住房改革支出</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68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93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2210201</w:t>
            </w:r>
          </w:p>
        </w:tc>
        <w:tc>
          <w:tcPr>
            <w:tcW w:w="1620"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134"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预算支出总表</w:t>
      </w:r>
    </w:p>
    <w:tbl>
      <w:tblPr>
        <w:tblStyle w:val="3"/>
        <w:tblW w:w="14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493"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527"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经营支出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上解上级 支出</w:t>
            </w:r>
          </w:p>
        </w:tc>
        <w:tc>
          <w:tcPr>
            <w:tcW w:w="13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9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  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tblHeader/>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9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6</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7</w:t>
            </w:r>
          </w:p>
        </w:tc>
        <w:tc>
          <w:tcPr>
            <w:tcW w:w="13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596.79</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公共安全支出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行政运行</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社会保障和就业支出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行政事业单位养老支出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卫生健康支出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行政事业单位医疗</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行政单位医疗</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住房保障支出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住房改革支出</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cantSplit/>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99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361"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预算财政拨款收支总表</w:t>
      </w:r>
    </w:p>
    <w:tbl>
      <w:tblPr>
        <w:tblStyle w:val="3"/>
        <w:tblW w:w="15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2"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6" w:type="dxa"/>
            <w:gridSpan w:val="2"/>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487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w:t>
            </w:r>
          </w:p>
        </w:tc>
        <w:tc>
          <w:tcPr>
            <w:tcW w:w="9298" w:type="dxa"/>
            <w:gridSpan w:val="5"/>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金额</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一般公共预算财政拨款</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政府性基金预算财政拨款</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tblHeader/>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6</w:t>
            </w:r>
          </w:p>
        </w:tc>
        <w:tc>
          <w:tcPr>
            <w:tcW w:w="1474"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715.69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一、一般公共服务支出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二、外交支出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三、国防支出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四、公共安全支出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五、教育支出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六、科学技术支出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七、文化旅游体育与传媒支出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八、社会保障和就业支出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九、社会保险基金支出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十、卫生健康支出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十一、节能环保支出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十二、城乡社区支出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十三、农林水支出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十四、交通运输支出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十五、资源勘探工业信息等支出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16</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十六、商业服务业等支出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17</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十七、金融支出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18</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十八、援助其他地区支出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十九、自然资源海洋气象等支出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20</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二十、住房保障支出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21</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二十一、粮油物资储备支出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二十二、国有资本经营预算支出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二十三、灾害防治及应急管理支出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二十四、预备费</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二十五、其他支出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26</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二十六、转移性支出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27</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二十七、债务还本支出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28</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二十八、债务付息支出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29</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二十九、债务发行费用支出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30</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三十、抗疫特别国债安排的支出</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31</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本年收入合计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本年支出合计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32</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年初财政拨款结转和结余</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年末财政拨款结转和结余</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33</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34</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35</w:t>
            </w: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3402" w:type="dxa"/>
            <w:shd w:val="clear" w:color="auto" w:fill="auto"/>
            <w:noWrap w:val="0"/>
            <w:vAlign w:val="center"/>
          </w:tcPr>
          <w:p>
            <w:pPr>
              <w:spacing w:line="300" w:lineRule="exact"/>
              <w:jc w:val="lef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16" w:type="dxa"/>
          <w:trHeight w:val="369" w:hRule="atLeast"/>
          <w:jc w:val="center"/>
        </w:trPr>
        <w:tc>
          <w:tcPr>
            <w:tcW w:w="850"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36</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收入总计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340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支出总计</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474"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预算一般公共预算财政拨款支出表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715.69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596.79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公共安全支出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2040401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行政运行</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605.35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486.45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社会保障和就业支出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行政事业单位养老支出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2080505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卫生健康支出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行政事业单位医疗</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2101101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行政单位医疗</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住房保障支出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住房改革支出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2210201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预算一般公共预算财政拨款基本支出表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支出部门经济分类科目</w:t>
            </w:r>
          </w:p>
        </w:tc>
        <w:tc>
          <w:tcPr>
            <w:tcW w:w="7653" w:type="dxa"/>
            <w:gridSpan w:val="3"/>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人员经费</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596.79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507.86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工资福利支出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507.81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507.81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基本工资</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135.87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135.87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津贴补贴</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124.18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124.18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奖金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74.12</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74.12</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绩效工资</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61.08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61.08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30108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机关事业单位基本养老保险缴费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41.15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职工基本医疗保险缴费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38.77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30112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其他社会保障缴费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2.23</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2.23</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30113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住房公积金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30.41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商品和服务支出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87.57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87.57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办公费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11.22</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水费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30206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电费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15.00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差旅费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6.46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30215</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会议费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5.40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18</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30216</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培训费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3.81</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19</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30217</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公务接待费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20</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30228</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工会经费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5.08</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21</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30229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福利费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3.79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22</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30231</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公务用车运行维护费</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23</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30239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其他交通费用</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14.09</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24</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303</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对个人和家庭的补助</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25</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30309</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奖励金</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0.05</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26</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310</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资本性支出</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27</w:t>
            </w: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31002</w:t>
            </w:r>
          </w:p>
        </w:tc>
        <w:tc>
          <w:tcPr>
            <w:tcW w:w="4535"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办公设备购置</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1.36</w:t>
            </w:r>
          </w:p>
        </w:tc>
      </w:tr>
    </w:tbl>
    <w:p>
      <w:pPr>
        <w:spacing w:line="300" w:lineRule="exact"/>
        <w:jc w:val="left"/>
        <w:outlineLvl w:val="1"/>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预算政府基金预算财政拨款支出表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bl>
    <w:p>
      <w:pPr>
        <w:ind w:firstLine="420" w:firstLineChars="200"/>
        <w:jc w:val="left"/>
        <w:rPr>
          <w:rFonts w:hint="default" w:ascii="Times New Roman" w:hAnsi="Times New Roman" w:eastAsia="宋体" w:cs="Times New Roman"/>
        </w:rPr>
      </w:pPr>
      <w:r>
        <w:rPr>
          <w:rFonts w:hint="default" w:ascii="Times New Roman" w:hAnsi="Times New Roman" w:eastAsia="方正书宋_GBK" w:cs="Times New Roman"/>
        </w:rPr>
        <w:t>注：无政府基金预算财政拨款预算，空表列示。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6"/>
        </w:rPr>
      </w:pPr>
      <w:r>
        <w:rPr>
          <w:rFonts w:hint="eastAsia" w:eastAsia="方正小标宋_GBK" w:cs="Times New Roman"/>
          <w:sz w:val="36"/>
          <w:lang w:eastAsia="zh-CN"/>
        </w:rPr>
        <w:t>单位</w:t>
      </w:r>
      <w:r>
        <w:rPr>
          <w:rFonts w:hint="default" w:ascii="Times New Roman" w:hAnsi="Times New Roman" w:eastAsia="方正小标宋_GBK" w:cs="Times New Roman"/>
          <w:sz w:val="36"/>
        </w:rPr>
        <w:t>预算国有资本经营预算财政拨款支出表</w:t>
      </w:r>
    </w:p>
    <w:tbl>
      <w:tblPr>
        <w:tblStyle w:val="3"/>
        <w:tblW w:w="143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69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科目编码</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119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255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66" w:type="dxa"/>
            <w:shd w:val="clear" w:color="auto" w:fill="auto"/>
            <w:noWrap w:val="0"/>
            <w:vAlign w:val="center"/>
          </w:tcPr>
          <w:p>
            <w:pPr>
              <w:spacing w:line="300" w:lineRule="exact"/>
              <w:jc w:val="center"/>
              <w:rPr>
                <w:rFonts w:hint="default" w:ascii="Times New Roman" w:hAnsi="Times New Roman" w:eastAsia="方正书宋_GBK" w:cs="Times New Roman"/>
              </w:rPr>
            </w:pPr>
          </w:p>
        </w:tc>
        <w:tc>
          <w:tcPr>
            <w:tcW w:w="1191" w:type="dxa"/>
            <w:shd w:val="clear" w:color="auto" w:fill="auto"/>
            <w:noWrap w:val="0"/>
            <w:vAlign w:val="center"/>
          </w:tcPr>
          <w:p>
            <w:pPr>
              <w:spacing w:line="300" w:lineRule="exact"/>
              <w:jc w:val="left"/>
              <w:rPr>
                <w:rFonts w:hint="default" w:ascii="Times New Roman" w:hAnsi="Times New Roman" w:eastAsia="方正书宋_GBK" w:cs="Times New Roman"/>
                <w:b/>
              </w:rPr>
            </w:pPr>
          </w:p>
        </w:tc>
        <w:tc>
          <w:tcPr>
            <w:tcW w:w="4535" w:type="dxa"/>
            <w:shd w:val="clear" w:color="auto" w:fill="auto"/>
            <w:noWrap w:val="0"/>
            <w:vAlign w:val="center"/>
          </w:tcPr>
          <w:p>
            <w:pPr>
              <w:spacing w:line="300" w:lineRule="exact"/>
              <w:jc w:val="center"/>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2551"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bl>
    <w:p>
      <w:pPr>
        <w:ind w:firstLine="420" w:firstLineChars="200"/>
        <w:jc w:val="left"/>
        <w:rPr>
          <w:rFonts w:hint="default" w:ascii="Times New Roman" w:hAnsi="Times New Roman" w:eastAsia="宋体" w:cs="Times New Roman"/>
        </w:rPr>
      </w:pPr>
      <w:r>
        <w:rPr>
          <w:rFonts w:hint="default" w:ascii="Times New Roman" w:hAnsi="Times New Roman" w:eastAsia="方正书宋_GBK" w:cs="Times New Roman"/>
        </w:rPr>
        <w:t>注：无国有资本经营预算财政拨款预算，空表列示。</w:t>
      </w:r>
    </w:p>
    <w:p>
      <w:pPr>
        <w:ind w:firstLine="420" w:firstLineChars="200"/>
        <w:jc w:val="left"/>
        <w:rPr>
          <w:rFonts w:hint="default" w:ascii="Times New Roman" w:hAnsi="Times New Roman" w:cs="Times New Roman"/>
        </w:rPr>
        <w:sectPr>
          <w:pgSz w:w="16839" w:h="11907" w:orient="landscape"/>
          <w:pgMar w:top="1361" w:right="1020" w:bottom="1134" w:left="1020" w:header="851" w:footer="992" w:gutter="0"/>
          <w:cols w:space="425" w:num="1"/>
          <w:docGrid w:type="lines" w:linePitch="312" w:charSpace="0"/>
        </w:sectPr>
      </w:pPr>
    </w:p>
    <w:p>
      <w:pPr>
        <w:jc w:val="center"/>
        <w:outlineLvl w:val="1"/>
        <w:rPr>
          <w:rFonts w:hint="default" w:ascii="Times New Roman" w:hAnsi="Times New Roman" w:eastAsia="宋体" w:cs="Times New Roman"/>
          <w:sz w:val="32"/>
        </w:rPr>
      </w:pPr>
      <w:r>
        <w:rPr>
          <w:rFonts w:hint="eastAsia" w:eastAsia="方正小标宋_GBK" w:cs="Times New Roman"/>
          <w:sz w:val="32"/>
          <w:lang w:eastAsia="zh-CN"/>
        </w:rPr>
        <w:t>单位</w:t>
      </w:r>
      <w:r>
        <w:rPr>
          <w:rFonts w:hint="default" w:ascii="Times New Roman" w:hAnsi="Times New Roman" w:eastAsia="方正小标宋_GBK" w:cs="Times New Roman"/>
          <w:sz w:val="32"/>
        </w:rPr>
        <w:t>预算财政拨款“三公”经费支出表</w:t>
      </w:r>
    </w:p>
    <w:tbl>
      <w:tblPr>
        <w:tblStyle w:val="3"/>
        <w:tblW w:w="10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2861"/>
        <w:gridCol w:w="1792"/>
        <w:gridCol w:w="1792"/>
        <w:gridCol w:w="1792"/>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3587"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eastAsia" w:eastAsia="方正小标宋_GBK" w:cs="Times New Roman"/>
                <w:sz w:val="24"/>
                <w:lang w:val="en-US" w:eastAsia="zh-CN"/>
              </w:rPr>
              <w:t>001</w:t>
            </w:r>
            <w:r>
              <w:rPr>
                <w:rFonts w:hint="default" w:ascii="Times New Roman" w:hAnsi="Times New Roman" w:eastAsia="方正小标宋_GBK" w:cs="Times New Roman"/>
                <w:sz w:val="24"/>
              </w:rPr>
              <w:t>秦皇岛北戴河新区人民检察院</w:t>
            </w:r>
          </w:p>
        </w:tc>
        <w:tc>
          <w:tcPr>
            <w:tcW w:w="179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hint="default" w:ascii="Times New Roman" w:hAnsi="Times New Roman" w:eastAsia="方正小标宋_GBK" w:cs="Times New Roman"/>
                <w:sz w:val="24"/>
              </w:rPr>
            </w:pPr>
            <w:r>
              <w:rPr>
                <w:rFonts w:hint="default" w:ascii="Times New Roman" w:hAnsi="Times New Roman" w:eastAsia="方正小标宋_GBK" w:cs="Times New Roman"/>
                <w:sz w:val="24"/>
              </w:rPr>
              <w:t>预算年度：2021</w:t>
            </w:r>
          </w:p>
        </w:tc>
        <w:tc>
          <w:tcPr>
            <w:tcW w:w="537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726"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序号</w:t>
            </w:r>
          </w:p>
        </w:tc>
        <w:tc>
          <w:tcPr>
            <w:tcW w:w="2861" w:type="dxa"/>
            <w:vMerge w:val="restart"/>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  目</w:t>
            </w:r>
          </w:p>
        </w:tc>
        <w:tc>
          <w:tcPr>
            <w:tcW w:w="7171" w:type="dxa"/>
            <w:gridSpan w:val="4"/>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3" w:hRule="atLeast"/>
          <w:tblHeader/>
          <w:jc w:val="center"/>
        </w:trPr>
        <w:tc>
          <w:tcPr>
            <w:tcW w:w="726"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2861" w:type="dxa"/>
            <w:vMerge w:val="continue"/>
            <w:shd w:val="clear" w:color="auto" w:fill="auto"/>
            <w:noWrap w:val="0"/>
            <w:vAlign w:val="center"/>
          </w:tcPr>
          <w:p>
            <w:pPr>
              <w:spacing w:line="300" w:lineRule="exact"/>
              <w:jc w:val="left"/>
              <w:outlineLvl w:val="1"/>
              <w:rPr>
                <w:rFonts w:hint="default" w:ascii="Times New Roman" w:hAnsi="Times New Roman" w:cs="Times New Roman"/>
              </w:rPr>
            </w:pP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   财政拨款</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政府性基金     预算拨款</w:t>
            </w:r>
          </w:p>
        </w:tc>
        <w:tc>
          <w:tcPr>
            <w:tcW w:w="179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tblHeader/>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栏次</w:t>
            </w:r>
          </w:p>
        </w:tc>
        <w:tc>
          <w:tcPr>
            <w:tcW w:w="28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1</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2</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3</w:t>
            </w:r>
          </w:p>
        </w:tc>
        <w:tc>
          <w:tcPr>
            <w:tcW w:w="1792"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4</w:t>
            </w:r>
          </w:p>
        </w:tc>
        <w:tc>
          <w:tcPr>
            <w:tcW w:w="1795"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2861" w:type="dxa"/>
            <w:shd w:val="clear" w:color="auto" w:fill="auto"/>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19.37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19.37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b/>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2</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一、因公出国（境）费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二、公务用车购置及运维费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    其中：公务用车购置费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          公务用车运行维护费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18.20</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726" w:type="dxa"/>
            <w:shd w:val="clear" w:color="auto" w:fill="auto"/>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w:t>
            </w:r>
          </w:p>
        </w:tc>
        <w:tc>
          <w:tcPr>
            <w:tcW w:w="2861" w:type="dxa"/>
            <w:shd w:val="clear" w:color="auto" w:fill="auto"/>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三、公务接待费</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1.17</w:t>
            </w:r>
          </w:p>
        </w:tc>
        <w:tc>
          <w:tcPr>
            <w:tcW w:w="1792" w:type="dxa"/>
            <w:shd w:val="clear" w:color="auto" w:fill="auto"/>
            <w:noWrap w:val="0"/>
            <w:vAlign w:val="center"/>
          </w:tcPr>
          <w:p>
            <w:pPr>
              <w:spacing w:line="300" w:lineRule="exact"/>
              <w:jc w:val="right"/>
              <w:rPr>
                <w:rFonts w:hint="default" w:ascii="Times New Roman" w:hAnsi="Times New Roman" w:eastAsia="方正书宋_GBK" w:cs="Times New Roman"/>
              </w:rPr>
            </w:pPr>
          </w:p>
        </w:tc>
        <w:tc>
          <w:tcPr>
            <w:tcW w:w="1795" w:type="dxa"/>
            <w:shd w:val="clear" w:color="auto" w:fill="auto"/>
            <w:noWrap w:val="0"/>
            <w:vAlign w:val="center"/>
          </w:tcPr>
          <w:p>
            <w:pPr>
              <w:spacing w:line="300" w:lineRule="exact"/>
              <w:jc w:val="right"/>
              <w:rPr>
                <w:rFonts w:hint="default" w:ascii="Times New Roman" w:hAnsi="Times New Roman" w:eastAsia="方正书宋_GBK" w:cs="Times New Roman"/>
              </w:rPr>
            </w:pPr>
          </w:p>
        </w:tc>
      </w:tr>
    </w:tbl>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spacing w:line="480" w:lineRule="exact"/>
        <w:ind w:firstLine="640" w:firstLineChars="200"/>
        <w:rPr>
          <w:rFonts w:hint="default" w:ascii="Times New Roman" w:hAnsi="Times New Roman" w:eastAsia="黑体" w:cs="Times New Roman"/>
          <w:sz w:val="32"/>
          <w:szCs w:val="32"/>
        </w:rPr>
      </w:pPr>
    </w:p>
    <w:p>
      <w:pPr>
        <w:widowControl/>
        <w:spacing w:line="480" w:lineRule="exact"/>
        <w:rPr>
          <w:rFonts w:hint="default" w:ascii="Times New Roman" w:hAnsi="Times New Roman" w:cs="Times New Roman"/>
          <w:kern w:val="0"/>
          <w:sz w:val="24"/>
        </w:rPr>
      </w:pPr>
    </w:p>
    <w:p>
      <w:pPr>
        <w:widowControl/>
        <w:spacing w:line="480" w:lineRule="exact"/>
        <w:jc w:val="center"/>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秦皇岛北戴河新区人民检察院</w:t>
      </w:r>
      <w:r>
        <w:rPr>
          <w:rFonts w:hint="eastAsia" w:eastAsia="方正小标宋简体" w:cs="Times New Roman"/>
          <w:bCs/>
          <w:kern w:val="0"/>
          <w:sz w:val="44"/>
          <w:szCs w:val="44"/>
          <w:lang w:eastAsia="zh-CN"/>
        </w:rPr>
        <w:t>本级</w:t>
      </w:r>
    </w:p>
    <w:p>
      <w:pPr>
        <w:widowControl/>
        <w:spacing w:line="48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lang w:eastAsia="zh-CN"/>
        </w:rPr>
        <w:t>2021</w:t>
      </w:r>
      <w:r>
        <w:rPr>
          <w:rFonts w:hint="default" w:ascii="Times New Roman" w:hAnsi="Times New Roman" w:eastAsia="方正小标宋简体" w:cs="Times New Roman"/>
          <w:bCs/>
          <w:kern w:val="0"/>
          <w:sz w:val="44"/>
          <w:szCs w:val="44"/>
        </w:rPr>
        <w:t>年</w:t>
      </w:r>
      <w:r>
        <w:rPr>
          <w:rFonts w:hint="eastAsia" w:eastAsia="方正小标宋简体" w:cs="Times New Roman"/>
          <w:bCs/>
          <w:kern w:val="0"/>
          <w:sz w:val="44"/>
          <w:szCs w:val="44"/>
          <w:lang w:eastAsia="zh-CN"/>
        </w:rPr>
        <w:t>单位</w:t>
      </w:r>
      <w:r>
        <w:rPr>
          <w:rFonts w:hint="default" w:ascii="Times New Roman" w:hAnsi="Times New Roman" w:eastAsia="方正小标宋简体" w:cs="Times New Roman"/>
          <w:bCs/>
          <w:kern w:val="0"/>
          <w:sz w:val="44"/>
          <w:szCs w:val="44"/>
        </w:rPr>
        <w:t>预算公开情况说明</w:t>
      </w:r>
    </w:p>
    <w:p>
      <w:pPr>
        <w:widowControl/>
        <w:spacing w:line="480" w:lineRule="exact"/>
        <w:jc w:val="center"/>
        <w:rPr>
          <w:rFonts w:hint="default" w:ascii="Times New Roman" w:hAnsi="Times New Roman" w:eastAsia="方正小标宋简体" w:cs="Times New Roman"/>
          <w:bCs/>
          <w:kern w:val="0"/>
          <w:sz w:val="44"/>
          <w:szCs w:val="44"/>
        </w:rPr>
      </w:pPr>
    </w:p>
    <w:p>
      <w:pPr>
        <w:adjustRightInd w:val="0"/>
        <w:spacing w:line="560" w:lineRule="exact"/>
        <w:ind w:firstLine="640" w:firstLineChars="200"/>
        <w:rPr>
          <w:rFonts w:hint="default" w:ascii="Times New Roman" w:hAnsi="Times New Roman" w:eastAsia="黑体" w:cs="Times New Roman"/>
          <w:b/>
          <w:kern w:val="0"/>
          <w:sz w:val="32"/>
          <w:szCs w:val="32"/>
        </w:rPr>
      </w:pPr>
      <w:r>
        <w:rPr>
          <w:rFonts w:hint="default" w:ascii="Times New Roman" w:hAnsi="Times New Roman" w:eastAsia="方正仿宋简体" w:cs="Times New Roman"/>
          <w:color w:val="auto"/>
          <w:kern w:val="0"/>
          <w:sz w:val="32"/>
          <w:szCs w:val="32"/>
          <w:lang w:eastAsia="zh-CN"/>
        </w:rPr>
        <w:t>按照《预算法》、《地方预决算公开操作规程》和《河北省省级预算公开办法》规定，现将秦皇岛北戴河新区人民检察院2021年</w:t>
      </w:r>
      <w:r>
        <w:rPr>
          <w:rFonts w:hint="eastAsia" w:eastAsia="方正仿宋简体" w:cs="Times New Roman"/>
          <w:color w:val="auto"/>
          <w:kern w:val="0"/>
          <w:sz w:val="32"/>
          <w:szCs w:val="32"/>
          <w:lang w:eastAsia="zh-CN"/>
        </w:rPr>
        <w:t>单位</w:t>
      </w:r>
      <w:r>
        <w:rPr>
          <w:rFonts w:hint="default" w:ascii="Times New Roman" w:hAnsi="Times New Roman" w:eastAsia="方正仿宋简体" w:cs="Times New Roman"/>
          <w:color w:val="auto"/>
          <w:kern w:val="0"/>
          <w:sz w:val="32"/>
          <w:szCs w:val="32"/>
          <w:lang w:eastAsia="zh-CN"/>
        </w:rPr>
        <w:t>预算公开如下：</w:t>
      </w:r>
    </w:p>
    <w:p>
      <w:pPr>
        <w:widowControl/>
        <w:adjustRightInd w:val="0"/>
        <w:spacing w:line="480" w:lineRule="exact"/>
        <w:ind w:firstLine="643" w:firstLineChars="200"/>
        <w:rPr>
          <w:rFonts w:hint="default" w:ascii="Times New Roman" w:hAnsi="Times New Roman" w:cs="Times New Roman"/>
          <w:kern w:val="0"/>
          <w:sz w:val="24"/>
        </w:rPr>
      </w:pPr>
      <w:r>
        <w:rPr>
          <w:rFonts w:hint="default" w:ascii="Times New Roman" w:hAnsi="Times New Roman" w:eastAsia="黑体" w:cs="Times New Roman"/>
          <w:b/>
          <w:kern w:val="0"/>
          <w:sz w:val="32"/>
          <w:szCs w:val="32"/>
        </w:rPr>
        <w:t>一、</w:t>
      </w:r>
      <w:r>
        <w:rPr>
          <w:rFonts w:hint="eastAsia" w:eastAsia="黑体" w:cs="Times New Roman"/>
          <w:kern w:val="0"/>
          <w:sz w:val="32"/>
          <w:szCs w:val="32"/>
          <w:lang w:eastAsia="zh-CN"/>
        </w:rPr>
        <w:t>单位</w:t>
      </w:r>
      <w:r>
        <w:rPr>
          <w:rFonts w:hint="default" w:ascii="Times New Roman" w:hAnsi="Times New Roman" w:eastAsia="黑体" w:cs="Times New Roman"/>
          <w:kern w:val="0"/>
          <w:sz w:val="32"/>
          <w:szCs w:val="32"/>
        </w:rPr>
        <w:t>职责及机构设置情况</w:t>
      </w:r>
    </w:p>
    <w:p>
      <w:pPr>
        <w:spacing w:line="500" w:lineRule="exact"/>
        <w:ind w:firstLine="640" w:firstLineChars="200"/>
        <w:jc w:val="left"/>
        <w:rPr>
          <w:rFonts w:hint="default" w:ascii="Times New Roman" w:hAnsi="Times New Roman" w:eastAsia="方正仿宋简体" w:cs="Times New Roman"/>
          <w:kern w:val="0"/>
          <w:sz w:val="32"/>
          <w:szCs w:val="32"/>
          <w:lang w:eastAsia="zh-CN"/>
        </w:rPr>
      </w:pPr>
      <w:r>
        <w:rPr>
          <w:rFonts w:hint="eastAsia" w:eastAsia="方正仿宋简体" w:cs="Times New Roman"/>
          <w:kern w:val="0"/>
          <w:sz w:val="32"/>
          <w:szCs w:val="32"/>
          <w:lang w:eastAsia="zh-CN"/>
        </w:rPr>
        <w:t>单位</w:t>
      </w:r>
      <w:r>
        <w:rPr>
          <w:rFonts w:hint="default" w:ascii="Times New Roman" w:hAnsi="Times New Roman" w:eastAsia="方正仿宋简体" w:cs="Times New Roman"/>
          <w:kern w:val="0"/>
          <w:sz w:val="32"/>
          <w:szCs w:val="32"/>
        </w:rPr>
        <w:t>职责</w:t>
      </w:r>
      <w:r>
        <w:rPr>
          <w:rFonts w:hint="default" w:ascii="Times New Roman" w:hAnsi="Times New Roman" w:eastAsia="方正仿宋简体" w:cs="Times New Roman"/>
          <w:kern w:val="0"/>
          <w:sz w:val="32"/>
          <w:szCs w:val="32"/>
          <w:lang w:eastAsia="zh-CN"/>
        </w:rPr>
        <w:t>：</w:t>
      </w:r>
    </w:p>
    <w:p>
      <w:pPr>
        <w:spacing w:line="500" w:lineRule="exact"/>
        <w:ind w:firstLine="56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_GBK" w:cs="Times New Roman"/>
          <w:sz w:val="28"/>
        </w:rPr>
        <w:t>根据《秦皇岛北戴河新区人民检察院职能配置、内设机构和人员编制规定》， 秦皇岛北戴河新区人民检察院的主要职责是：</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(一)、执行国家法律法规，贯彻落实上级人民检察院、同级党委工作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部署，制定检察工作目标，完成各项检察工作任务。</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(二)、依法办理审查批准逮捕、决定逮捕案件，实施立案侦查监督、</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侦查活动监督。</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(三)、依法办理审查起诉、提起公诉、抗诉案件，对人民法院刑事审</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判活动实行监督工作。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(四)、对刑罚执行和监管活动实行监督，维护刑罚执行和监管活动的</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公平公正，维护监管秩序稳定。</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(五)、受理公民的报案、举报、控告和刑事申诉，依法处理举报线索，</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办理刑事申诉、国家赔偿、司法救助案件。</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(六)、对人民法院民事诉讼和行政诉讼实行法律监督。</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(七)、开展公益诉讼检察工作。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(八)、开展未成年人检察工作。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(九)、负责检察队伍建设和思想政治工作，对检察人员进行教育培训，</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负责检察机关党的思想、组织、作风建设。</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(十)、按照干部管理权限，协同地方党委、上级人民检察院管理本院</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检察人员，提请本级人民代表大会常务委员会决定任免副检察长、检察委</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员会委员、检察员。</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(十一)、规划落实检察机关财务装备工作，开展检察机关信息化建设、</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检察技术工作。</w:t>
      </w:r>
      <w:r>
        <w:rPr>
          <w:rFonts w:hint="default" w:ascii="Times New Roman" w:hAnsi="Times New Roman" w:eastAsia="方正仿宋_GBK" w:cs="Times New Roman"/>
          <w:sz w:val="28"/>
        </w:rPr>
        <w:br w:type="textWrapping"/>
      </w:r>
      <w:r>
        <w:rPr>
          <w:rFonts w:hint="default" w:ascii="Times New Roman" w:hAnsi="Times New Roman" w:eastAsia="方正仿宋_GBK" w:cs="Times New Roman"/>
          <w:sz w:val="28"/>
        </w:rPr>
        <w:t>（十二）承办上级检察院交办的其他事项。</w:t>
      </w:r>
    </w:p>
    <w:p>
      <w:pPr>
        <w:numPr>
          <w:ilvl w:val="0"/>
          <w:numId w:val="3"/>
        </w:numPr>
        <w:adjustRightInd w:val="0"/>
        <w:spacing w:line="48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机构设置</w:t>
      </w:r>
    </w:p>
    <w:p>
      <w:pPr>
        <w:jc w:val="center"/>
        <w:outlineLvl w:val="0"/>
        <w:rPr>
          <w:rFonts w:hint="default" w:ascii="Times New Roman" w:hAnsi="Times New Roman" w:eastAsia="方正小标宋_GBK" w:cs="Times New Roman"/>
          <w:sz w:val="32"/>
          <w:szCs w:val="24"/>
        </w:rPr>
      </w:pPr>
      <w:r>
        <w:rPr>
          <w:rFonts w:hint="eastAsia" w:eastAsia="方正小标宋_GBK" w:cs="Times New Roman"/>
          <w:sz w:val="32"/>
          <w:szCs w:val="24"/>
          <w:lang w:eastAsia="zh-CN"/>
        </w:rPr>
        <w:t>单位</w:t>
      </w:r>
      <w:r>
        <w:rPr>
          <w:rFonts w:hint="default" w:ascii="Times New Roman" w:hAnsi="Times New Roman" w:eastAsia="方正小标宋_GBK" w:cs="Times New Roman"/>
          <w:sz w:val="32"/>
          <w:szCs w:val="24"/>
        </w:rPr>
        <w:t>机构设置情况</w:t>
      </w:r>
    </w:p>
    <w:tbl>
      <w:tblPr>
        <w:tblStyle w:val="3"/>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lang w:eastAsia="zh-CN"/>
              </w:rPr>
              <w:t>秦皇岛</w:t>
            </w:r>
            <w:r>
              <w:rPr>
                <w:rFonts w:hint="default" w:ascii="Times New Roman" w:hAnsi="Times New Roman" w:eastAsia="方正书宋_GBK" w:cs="Times New Roman"/>
              </w:rPr>
              <w:t>北戴河新区人民检察院</w:t>
            </w:r>
            <w:r>
              <w:rPr>
                <w:rFonts w:hint="eastAsia" w:eastAsia="方正书宋_GBK" w:cs="Times New Roman"/>
                <w:lang w:val="en-US" w:eastAsia="zh-CN"/>
              </w:rPr>
              <w:t>本级</w:t>
            </w:r>
          </w:p>
        </w:tc>
        <w:tc>
          <w:tcPr>
            <w:tcW w:w="1134" w:type="dxa"/>
            <w:vAlign w:val="center"/>
          </w:tcPr>
          <w:p>
            <w:pPr>
              <w:spacing w:line="300" w:lineRule="exact"/>
              <w:jc w:val="center"/>
              <w:rPr>
                <w:rFonts w:hint="default"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rPr>
              <w:t>正处级</w:t>
            </w:r>
          </w:p>
        </w:tc>
        <w:tc>
          <w:tcPr>
            <w:tcW w:w="2902" w:type="dxa"/>
            <w:vAlign w:val="center"/>
          </w:tcPr>
          <w:p>
            <w:pPr>
              <w:spacing w:line="300" w:lineRule="exact"/>
              <w:jc w:val="center"/>
              <w:rPr>
                <w:rFonts w:hint="default" w:ascii="Times New Roman" w:hAnsi="Times New Roman" w:eastAsia="方正书宋_GBK" w:cs="Times New Roman"/>
                <w:kern w:val="2"/>
                <w:sz w:val="21"/>
                <w:szCs w:val="24"/>
                <w:lang w:val="en-US" w:eastAsia="zh-CN" w:bidi="ar-SA"/>
              </w:rPr>
            </w:pPr>
            <w:r>
              <w:rPr>
                <w:rFonts w:hint="default" w:ascii="Times New Roman" w:hAnsi="Times New Roman" w:eastAsia="方正书宋_GBK" w:cs="Times New Roman"/>
              </w:rPr>
              <w:t>财政拨款</w:t>
            </w:r>
          </w:p>
        </w:tc>
      </w:tr>
    </w:tbl>
    <w:p>
      <w:pPr>
        <w:rPr>
          <w:rFonts w:hint="default" w:ascii="Times New Roman" w:hAnsi="Times New Roman" w:cs="Times New Roman"/>
        </w:rPr>
      </w:pPr>
    </w:p>
    <w:p>
      <w:pPr>
        <w:numPr>
          <w:ilvl w:val="0"/>
          <w:numId w:val="0"/>
        </w:numPr>
        <w:adjustRightInd w:val="0"/>
        <w:spacing w:line="4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w:t>
      </w:r>
      <w:r>
        <w:rPr>
          <w:rFonts w:hint="eastAsia" w:eastAsia="黑体" w:cs="Times New Roman"/>
          <w:kern w:val="0"/>
          <w:sz w:val="32"/>
          <w:szCs w:val="32"/>
          <w:lang w:eastAsia="zh-CN"/>
        </w:rPr>
        <w:t>单位</w:t>
      </w:r>
      <w:r>
        <w:rPr>
          <w:rFonts w:hint="default" w:ascii="Times New Roman" w:hAnsi="Times New Roman" w:eastAsia="黑体" w:cs="Times New Roman"/>
          <w:kern w:val="0"/>
          <w:sz w:val="32"/>
          <w:szCs w:val="32"/>
        </w:rPr>
        <w:t>预算安排总体情况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按照预算管理有关规定，目前我区</w:t>
      </w:r>
      <w:r>
        <w:rPr>
          <w:rFonts w:hint="eastAsia" w:eastAsia="方正仿宋简体" w:cs="Times New Roman"/>
          <w:sz w:val="32"/>
          <w:szCs w:val="32"/>
          <w:lang w:eastAsia="zh-CN"/>
        </w:rPr>
        <w:t>单位</w:t>
      </w:r>
      <w:r>
        <w:rPr>
          <w:rFonts w:hint="default" w:ascii="Times New Roman" w:hAnsi="Times New Roman" w:eastAsia="方正仿宋简体" w:cs="Times New Roman"/>
          <w:sz w:val="32"/>
          <w:szCs w:val="32"/>
        </w:rPr>
        <w:t>预算的编制实行综合预算制度，即全部收入和支出都反映在预算中。</w:t>
      </w:r>
      <w:r>
        <w:rPr>
          <w:rFonts w:hint="default" w:ascii="Times New Roman" w:hAnsi="Times New Roman" w:eastAsia="方正仿宋简体" w:cs="Times New Roman"/>
          <w:sz w:val="32"/>
          <w:szCs w:val="32"/>
          <w:lang w:eastAsia="zh-CN"/>
        </w:rPr>
        <w:t>秦皇岛</w:t>
      </w:r>
      <w:r>
        <w:rPr>
          <w:rFonts w:hint="default" w:ascii="Times New Roman" w:hAnsi="Times New Roman" w:eastAsia="方正仿宋简体" w:cs="Times New Roman"/>
          <w:sz w:val="32"/>
          <w:szCs w:val="32"/>
        </w:rPr>
        <w:t>北戴河新区人民检察院的收支包含在预算中。</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1.收入说明</w:t>
      </w:r>
    </w:p>
    <w:p>
      <w:pPr>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反映本</w:t>
      </w:r>
      <w:r>
        <w:rPr>
          <w:rFonts w:hint="eastAsia" w:eastAsia="方正仿宋简体" w:cs="Times New Roman"/>
          <w:b w:val="0"/>
          <w:bCs/>
          <w:sz w:val="32"/>
          <w:szCs w:val="32"/>
          <w:lang w:eastAsia="zh-CN"/>
        </w:rPr>
        <w:t>单位</w:t>
      </w:r>
      <w:r>
        <w:rPr>
          <w:rFonts w:hint="default" w:ascii="Times New Roman" w:hAnsi="Times New Roman" w:eastAsia="方正仿宋简体" w:cs="Times New Roman"/>
          <w:b w:val="0"/>
          <w:bCs/>
          <w:sz w:val="32"/>
          <w:szCs w:val="32"/>
        </w:rPr>
        <w:t>当年全部收入，202</w:t>
      </w:r>
      <w:r>
        <w:rPr>
          <w:rFonts w:hint="default"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rPr>
        <w:t>年预算收入</w:t>
      </w:r>
      <w:r>
        <w:rPr>
          <w:rFonts w:hint="default" w:ascii="Times New Roman" w:hAnsi="Times New Roman" w:eastAsia="方正仿宋简体" w:cs="Times New Roman"/>
          <w:b w:val="0"/>
          <w:bCs/>
          <w:sz w:val="32"/>
          <w:szCs w:val="32"/>
          <w:lang w:val="en-US" w:eastAsia="zh-CN"/>
        </w:rPr>
        <w:t>715.69</w:t>
      </w:r>
      <w:r>
        <w:rPr>
          <w:rFonts w:hint="default" w:ascii="Times New Roman" w:hAnsi="Times New Roman" w:eastAsia="方正仿宋简体" w:cs="Times New Roman"/>
          <w:b w:val="0"/>
          <w:bCs/>
          <w:sz w:val="32"/>
          <w:szCs w:val="32"/>
        </w:rPr>
        <w:t>万元，其中：一般公共预算拨款</w:t>
      </w:r>
      <w:r>
        <w:rPr>
          <w:rFonts w:hint="default" w:ascii="Times New Roman" w:hAnsi="Times New Roman" w:eastAsia="方正仿宋简体" w:cs="Times New Roman"/>
          <w:b w:val="0"/>
          <w:bCs/>
          <w:sz w:val="32"/>
          <w:szCs w:val="32"/>
          <w:lang w:val="en-US" w:eastAsia="zh-CN"/>
        </w:rPr>
        <w:t>715.69</w:t>
      </w:r>
      <w:r>
        <w:rPr>
          <w:rFonts w:hint="default" w:ascii="Times New Roman" w:hAnsi="Times New Roman" w:eastAsia="方正仿宋简体" w:cs="Times New Roman"/>
          <w:b w:val="0"/>
          <w:bCs/>
          <w:sz w:val="32"/>
          <w:szCs w:val="32"/>
        </w:rPr>
        <w:t>万元（非限额补助0万元，提前通知转移支付0万元）；基金预算拨款0万元。</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2.支出说明</w:t>
      </w:r>
    </w:p>
    <w:p>
      <w:pPr>
        <w:ind w:firstLine="480" w:firstLineChars="150"/>
        <w:rPr>
          <w:rFonts w:hint="default" w:ascii="Times New Roman" w:hAnsi="Times New Roman" w:eastAsia="方正仿宋简体" w:cs="Times New Roman"/>
          <w:b w:val="0"/>
          <w:bCs/>
          <w:sz w:val="32"/>
          <w:szCs w:val="32"/>
        </w:rPr>
      </w:pPr>
      <w:r>
        <w:rPr>
          <w:rFonts w:hint="eastAsia" w:eastAsia="方正仿宋简体" w:cs="Times New Roman"/>
          <w:b w:val="0"/>
          <w:bCs/>
          <w:sz w:val="32"/>
          <w:szCs w:val="32"/>
          <w:lang w:eastAsia="zh-CN"/>
        </w:rPr>
        <w:t>单位</w:t>
      </w:r>
      <w:r>
        <w:rPr>
          <w:rFonts w:hint="default" w:ascii="Times New Roman" w:hAnsi="Times New Roman" w:eastAsia="方正仿宋简体" w:cs="Times New Roman"/>
          <w:b w:val="0"/>
          <w:bCs/>
          <w:sz w:val="32"/>
          <w:szCs w:val="32"/>
        </w:rPr>
        <w:t>预算收支总表支出栏、基本支出表、项目支出表按经济分类和支出功能分类科目编制，反映</w:t>
      </w:r>
      <w:r>
        <w:rPr>
          <w:rFonts w:hint="eastAsia" w:eastAsia="方正仿宋简体" w:cs="Times New Roman"/>
          <w:b w:val="0"/>
          <w:bCs/>
          <w:sz w:val="32"/>
          <w:szCs w:val="32"/>
          <w:lang w:eastAsia="zh-CN"/>
        </w:rPr>
        <w:t>单位</w:t>
      </w:r>
      <w:r>
        <w:rPr>
          <w:rFonts w:hint="default" w:ascii="Times New Roman" w:hAnsi="Times New Roman" w:eastAsia="方正仿宋简体" w:cs="Times New Roman"/>
          <w:b w:val="0"/>
          <w:bCs/>
          <w:sz w:val="32"/>
          <w:szCs w:val="32"/>
        </w:rPr>
        <w:t>预算中支出预算的总体情况。202</w:t>
      </w:r>
      <w:r>
        <w:rPr>
          <w:rFonts w:hint="default"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rPr>
        <w:t>年</w:t>
      </w:r>
      <w:r>
        <w:rPr>
          <w:rFonts w:hint="eastAsia" w:eastAsia="方正仿宋简体" w:cs="Times New Roman"/>
          <w:b w:val="0"/>
          <w:bCs/>
          <w:sz w:val="32"/>
          <w:szCs w:val="32"/>
          <w:lang w:eastAsia="zh-CN"/>
        </w:rPr>
        <w:t>单位</w:t>
      </w:r>
      <w:r>
        <w:rPr>
          <w:rFonts w:hint="default" w:ascii="Times New Roman" w:hAnsi="Times New Roman" w:eastAsia="方正仿宋简体" w:cs="Times New Roman"/>
          <w:b w:val="0"/>
          <w:bCs/>
          <w:sz w:val="32"/>
          <w:szCs w:val="32"/>
        </w:rPr>
        <w:t>支出预算为</w:t>
      </w:r>
      <w:r>
        <w:rPr>
          <w:rFonts w:hint="default" w:ascii="Times New Roman" w:hAnsi="Times New Roman" w:eastAsia="方正仿宋简体" w:cs="Times New Roman"/>
          <w:b w:val="0"/>
          <w:bCs/>
          <w:sz w:val="32"/>
          <w:szCs w:val="32"/>
          <w:lang w:val="en-US" w:eastAsia="zh-CN"/>
        </w:rPr>
        <w:t>715.69</w:t>
      </w:r>
      <w:r>
        <w:rPr>
          <w:rFonts w:hint="default" w:ascii="Times New Roman" w:hAnsi="Times New Roman" w:eastAsia="方正仿宋简体" w:cs="Times New Roman"/>
          <w:b w:val="0"/>
          <w:bCs/>
          <w:sz w:val="32"/>
          <w:szCs w:val="32"/>
        </w:rPr>
        <w:t>万元，其中基本支出</w:t>
      </w:r>
      <w:r>
        <w:rPr>
          <w:rFonts w:hint="default" w:ascii="Times New Roman" w:hAnsi="Times New Roman" w:eastAsia="方正仿宋简体" w:cs="Times New Roman"/>
          <w:b w:val="0"/>
          <w:bCs/>
          <w:sz w:val="32"/>
          <w:szCs w:val="32"/>
          <w:lang w:val="en-US" w:eastAsia="zh-CN"/>
        </w:rPr>
        <w:t>596.79</w:t>
      </w:r>
      <w:r>
        <w:rPr>
          <w:rFonts w:hint="default" w:ascii="Times New Roman" w:hAnsi="Times New Roman" w:eastAsia="方正仿宋简体" w:cs="Times New Roman"/>
          <w:b w:val="0"/>
          <w:bCs/>
          <w:sz w:val="32"/>
          <w:szCs w:val="32"/>
        </w:rPr>
        <w:t>万元，包括人员经费</w:t>
      </w:r>
      <w:r>
        <w:rPr>
          <w:rFonts w:hint="default" w:ascii="Times New Roman" w:hAnsi="Times New Roman" w:eastAsia="方正仿宋简体" w:cs="Times New Roman"/>
          <w:b w:val="0"/>
          <w:bCs/>
          <w:sz w:val="32"/>
          <w:szCs w:val="32"/>
          <w:lang w:val="en-US" w:eastAsia="zh-CN"/>
        </w:rPr>
        <w:t>507.86</w:t>
      </w:r>
      <w:r>
        <w:rPr>
          <w:rFonts w:hint="default" w:ascii="Times New Roman" w:hAnsi="Times New Roman" w:eastAsia="方正仿宋简体" w:cs="Times New Roman"/>
          <w:b w:val="0"/>
          <w:bCs/>
          <w:sz w:val="32"/>
          <w:szCs w:val="32"/>
        </w:rPr>
        <w:t>万元和日常公用经费</w:t>
      </w:r>
      <w:r>
        <w:rPr>
          <w:rFonts w:hint="default" w:ascii="Times New Roman" w:hAnsi="Times New Roman" w:eastAsia="方正仿宋简体" w:cs="Times New Roman"/>
          <w:b w:val="0"/>
          <w:bCs/>
          <w:sz w:val="32"/>
          <w:szCs w:val="32"/>
          <w:lang w:val="en-US" w:eastAsia="zh-CN"/>
        </w:rPr>
        <w:t>88.93</w:t>
      </w:r>
      <w:r>
        <w:rPr>
          <w:rFonts w:hint="default" w:ascii="Times New Roman" w:hAnsi="Times New Roman" w:eastAsia="方正仿宋简体" w:cs="Times New Roman"/>
          <w:b w:val="0"/>
          <w:bCs/>
          <w:sz w:val="32"/>
          <w:szCs w:val="32"/>
        </w:rPr>
        <w:t>万元；项目支出118.9万元，全部为本级支出。</w:t>
      </w:r>
    </w:p>
    <w:p>
      <w:pPr>
        <w:ind w:left="64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w:t>
      </w:r>
      <w:r>
        <w:rPr>
          <w:rFonts w:hint="eastAsia" w:eastAsia="方正仿宋简体" w:cs="Times New Roman"/>
          <w:sz w:val="32"/>
          <w:szCs w:val="32"/>
          <w:lang w:eastAsia="zh-CN"/>
        </w:rPr>
        <w:t>单位</w:t>
      </w:r>
      <w:r>
        <w:rPr>
          <w:rFonts w:hint="default" w:ascii="Times New Roman" w:hAnsi="Times New Roman" w:eastAsia="方正仿宋简体" w:cs="Times New Roman"/>
          <w:sz w:val="32"/>
          <w:szCs w:val="32"/>
        </w:rPr>
        <w:t>预算较20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123.19</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eastAsia="zh-CN"/>
        </w:rPr>
        <w:t>减少</w:t>
      </w:r>
      <w:r>
        <w:rPr>
          <w:rFonts w:hint="default" w:ascii="Times New Roman" w:hAnsi="Times New Roman" w:eastAsia="方正仿宋简体" w:cs="Times New Roman"/>
          <w:sz w:val="32"/>
          <w:szCs w:val="32"/>
          <w:lang w:val="en-US" w:eastAsia="zh-CN"/>
        </w:rPr>
        <w:t>123.19</w:t>
      </w:r>
      <w:r>
        <w:rPr>
          <w:rFonts w:hint="default" w:ascii="Times New Roman" w:hAnsi="Times New Roman" w:eastAsia="方正仿宋简体" w:cs="Times New Roman"/>
          <w:sz w:val="32"/>
          <w:szCs w:val="32"/>
        </w:rPr>
        <w:t>万元，主要是</w:t>
      </w:r>
      <w:r>
        <w:rPr>
          <w:rFonts w:hint="default" w:ascii="Times New Roman" w:hAnsi="Times New Roman" w:eastAsia="方正仿宋简体" w:cs="Times New Roman"/>
          <w:sz w:val="32"/>
          <w:szCs w:val="32"/>
          <w:lang w:eastAsia="zh-CN"/>
        </w:rPr>
        <w:t>减少人员经费及日常公用经费</w:t>
      </w:r>
      <w:r>
        <w:rPr>
          <w:rFonts w:hint="default" w:ascii="Times New Roman" w:hAnsi="Times New Roman" w:eastAsia="方正仿宋简体" w:cs="Times New Roman"/>
          <w:sz w:val="32"/>
          <w:szCs w:val="32"/>
        </w:rPr>
        <w:t>；项目支出无增减变化。</w:t>
      </w:r>
    </w:p>
    <w:p>
      <w:pPr>
        <w:adjustRightInd w:val="0"/>
        <w:spacing w:line="4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lang w:val="en-US" w:eastAsia="zh-CN"/>
        </w:rPr>
        <w:t>88.93</w:t>
      </w:r>
      <w:r>
        <w:rPr>
          <w:rFonts w:hint="default" w:ascii="Times New Roman"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widowControl/>
        <w:adjustRightInd w:val="0"/>
        <w:spacing w:line="4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四、财政拔款“三公”经费预算情况及增减变化原因</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年，财政拨款“三公”经费预算安排19.</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7万元，其中：因公出国（境）费0万元；公务用车购置及运维费18.2万元（其中：公务用车运行费18.2万元)；公务接待费1.</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7万元。“三公”经费较上年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0.5%</w:t>
      </w:r>
      <w:r>
        <w:rPr>
          <w:rFonts w:hint="default" w:ascii="Times New Roman" w:hAnsi="Times New Roman" w:eastAsia="方正仿宋简体" w:cs="Times New Roman"/>
          <w:sz w:val="32"/>
          <w:szCs w:val="32"/>
        </w:rPr>
        <w:t>，主要原因是今年</w:t>
      </w:r>
      <w:r>
        <w:rPr>
          <w:rFonts w:hint="default" w:ascii="Times New Roman" w:hAnsi="Times New Roman" w:eastAsia="方正仿宋简体" w:cs="Times New Roman"/>
          <w:sz w:val="32"/>
          <w:szCs w:val="32"/>
          <w:lang w:eastAsia="zh-CN"/>
        </w:rPr>
        <w:t>压减公务接待费</w:t>
      </w:r>
      <w:r>
        <w:rPr>
          <w:rFonts w:hint="default" w:ascii="Times New Roman" w:hAnsi="Times New Roman" w:eastAsia="方正仿宋简体" w:cs="Times New Roman"/>
          <w:sz w:val="32"/>
          <w:szCs w:val="32"/>
        </w:rPr>
        <w:t>。</w:t>
      </w:r>
    </w:p>
    <w:p>
      <w:pPr>
        <w:spacing w:before="10" w:after="10" w:line="240" w:lineRule="auto"/>
        <w:ind w:firstLine="640"/>
        <w:jc w:val="left"/>
        <w:outlineLvl w:val="5"/>
      </w:pPr>
      <w:r>
        <w:rPr>
          <w:rFonts w:ascii="黑体" w:hAnsi="黑体" w:eastAsia="黑体" w:cs="黑体"/>
          <w:color w:val="000000"/>
          <w:sz w:val="32"/>
        </w:rPr>
        <w:t>五、预算绩效信息</w:t>
      </w:r>
    </w:p>
    <w:p>
      <w:pPr>
        <w:ind w:firstLine="562" w:firstLineChars="200"/>
        <w:jc w:val="left"/>
        <w:outlineLvl w:val="1"/>
        <w:rPr>
          <w:rFonts w:hint="default" w:ascii="Times New Roman" w:hAnsi="Times New Roman" w:cs="Times New Roman"/>
          <w:b/>
          <w:sz w:val="28"/>
        </w:rPr>
      </w:pPr>
      <w:r>
        <w:rPr>
          <w:rFonts w:hint="default" w:ascii="Times New Roman" w:hAnsi="Times New Roman" w:eastAsia="方正仿宋_GBK" w:cs="Times New Roman"/>
          <w:b/>
          <w:sz w:val="28"/>
        </w:rPr>
        <w:t>1、办公用房租赁费项目绩效目标表</w:t>
      </w:r>
      <w:r>
        <w:rPr>
          <w:rFonts w:hint="default" w:ascii="Times New Roman" w:hAnsi="Times New Roman" w:cs="Times New Roman"/>
        </w:rPr>
        <w:fldChar w:fldCharType="begin"/>
      </w:r>
      <w:r>
        <w:rPr>
          <w:rFonts w:hint="default" w:ascii="Times New Roman" w:hAnsi="Times New Roman" w:eastAsia="方正仿宋_GBK" w:cs="Times New Roman"/>
          <w:b/>
          <w:sz w:val="28"/>
        </w:rPr>
        <w:instrText xml:space="preserve"> TC 1、办案业务、办案设备及科技强检经费绩效目标表 \f C \l 1 </w:instrText>
      </w:r>
      <w:r>
        <w:rPr>
          <w:rFonts w:hint="default" w:ascii="Times New Roman" w:hAnsi="Times New Roman" w:eastAsia="方正仿宋_GBK" w:cs="Times New Roman"/>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079" w:type="dxa"/>
            <w:tcBorders>
              <w:bottom w:val="nil"/>
            </w:tcBorders>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发挥检务保障服务职能,为确保各项检察工作顺利开展提供场所</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617"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5"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409"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房屋租赁面积</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秦皇岛北戴河新区人民检察院和秦皇岛北戴河新区人民法院租用位于黄金海岸一纬路和二经路交叉口的鑫田园大酒店院内1500平方米的场地（含围墙、门卫房等附属设施）租给</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1500平方米</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保障各项检察工作</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发挥检务保障服务职能，为确保各项检察工作顺利开展提供场所。</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发挥检务保障服务职能，为各项检察工作开展提供场所。</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租金足额支付率</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本年度房租租赁费支出完成率</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租期</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按照合同2021年度租期时效</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2021年4月16日到2022年4月15日</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房租租赁合同等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房屋租赁费</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房屋租赁费用和场地租赁金额</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68.5万元</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保障办公人数</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租赁办公用房保障办公需要人数</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≥37人</w:t>
            </w:r>
          </w:p>
        </w:tc>
        <w:tc>
          <w:tcPr>
            <w:tcW w:w="1701" w:type="dxa"/>
            <w:noWrap w:val="0"/>
            <w:vAlign w:val="center"/>
          </w:tcPr>
          <w:p>
            <w:pPr>
              <w:spacing w:line="300" w:lineRule="exact"/>
              <w:jc w:val="lef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可持续影响指标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为工作创造了条件和基础</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符合办公工作条件基本满足服务群众的办公场所</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为以后工作的发展创造了条件和基础</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5"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服务对象满意度指标</w:t>
            </w:r>
          </w:p>
        </w:tc>
        <w:tc>
          <w:tcPr>
            <w:tcW w:w="2409"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房屋租赁使工作人员满意度达标</w:t>
            </w:r>
          </w:p>
        </w:tc>
        <w:tc>
          <w:tcPr>
            <w:tcW w:w="1276"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≥95%</w:t>
            </w:r>
          </w:p>
        </w:tc>
        <w:tc>
          <w:tcPr>
            <w:tcW w:w="1701" w:type="dxa"/>
            <w:noWrap w:val="0"/>
            <w:vAlign w:val="center"/>
          </w:tcPr>
          <w:p>
            <w:pPr>
              <w:spacing w:line="300" w:lineRule="exact"/>
              <w:jc w:val="left"/>
              <w:rPr>
                <w:rFonts w:hint="default" w:ascii="Times New Roman" w:hAnsi="Times New Roman" w:eastAsia="方正书宋_GBK" w:cs="Times New Roman"/>
                <w:kern w:val="2"/>
                <w:sz w:val="21"/>
                <w:lang w:val="en-US" w:eastAsia="zh-CN" w:bidi="ar-SA"/>
              </w:rPr>
            </w:pPr>
            <w:r>
              <w:rPr>
                <w:rFonts w:hint="default" w:ascii="Times New Roman" w:hAnsi="Times New Roman" w:eastAsia="方正书宋_GBK" w:cs="Times New Roman"/>
              </w:rPr>
              <w:t>年度工作计划</w:t>
            </w:r>
          </w:p>
        </w:tc>
      </w:tr>
    </w:tbl>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eastAsia="方正仿宋_GBK" w:cs="Times New Roman"/>
          <w:b/>
          <w:sz w:val="28"/>
        </w:rPr>
      </w:pPr>
    </w:p>
    <w:p>
      <w:pPr>
        <w:ind w:firstLine="562" w:firstLineChars="200"/>
        <w:jc w:val="left"/>
        <w:outlineLvl w:val="1"/>
        <w:rPr>
          <w:rFonts w:hint="default" w:ascii="Times New Roman" w:hAnsi="Times New Roman" w:cs="Times New Roman"/>
          <w:b/>
          <w:sz w:val="28"/>
        </w:rPr>
      </w:pPr>
      <w:r>
        <w:rPr>
          <w:rFonts w:hint="default" w:ascii="Times New Roman" w:hAnsi="Times New Roman" w:eastAsia="方正仿宋_GBK" w:cs="Times New Roman"/>
          <w:b/>
          <w:sz w:val="28"/>
        </w:rPr>
        <w:t>2、</w:t>
      </w:r>
      <w:r>
        <w:rPr>
          <w:rFonts w:hint="default" w:ascii="Times New Roman" w:hAnsi="Times New Roman" w:eastAsia="方正仿宋_GBK" w:cs="Times New Roman"/>
          <w:b/>
          <w:sz w:val="28"/>
          <w:lang w:eastAsia="zh-CN"/>
        </w:rPr>
        <w:t>办案业务强检经费</w:t>
      </w:r>
      <w:r>
        <w:rPr>
          <w:rFonts w:hint="default" w:ascii="Times New Roman" w:hAnsi="Times New Roman" w:eastAsia="方正仿宋_GBK" w:cs="Times New Roman"/>
          <w:b/>
          <w:sz w:val="28"/>
        </w:rPr>
        <w:t>项目绩效目标表</w:t>
      </w:r>
      <w:r>
        <w:rPr>
          <w:rFonts w:hint="default" w:ascii="Times New Roman" w:hAnsi="Times New Roman" w:cs="Times New Roman"/>
        </w:rPr>
        <w:fldChar w:fldCharType="begin"/>
      </w:r>
      <w:r>
        <w:rPr>
          <w:rFonts w:hint="default" w:ascii="Times New Roman" w:hAnsi="Times New Roman" w:eastAsia="方正仿宋_GBK" w:cs="Times New Roman"/>
          <w:b/>
          <w:sz w:val="28"/>
        </w:rPr>
        <w:instrText xml:space="preserve"> TC 1、办案业务、办案设备及科技强检经费绩效目标表 \f C \l 1 </w:instrText>
      </w:r>
      <w:r>
        <w:rPr>
          <w:rFonts w:hint="default" w:ascii="Times New Roman" w:hAnsi="Times New Roman" w:eastAsia="方正仿宋_GBK" w:cs="Times New Roman"/>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8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3" w:type="dxa"/>
            <w:tcBorders>
              <w:bottom w:val="nil"/>
            </w:tcBorders>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079" w:type="dxa"/>
            <w:tcBorders>
              <w:bottom w:val="nil"/>
            </w:tcBorders>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1.保护公民、法人和其他单位的合法权益，促进司法公正，维护社会稳定</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2.规范司法行为，有效实施民事案件审判监督，维护司法公正和司法权威，保障国家法律的统一正确实施。</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617"/>
        <w:gridCol w:w="1275"/>
        <w:gridCol w:w="240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617"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5"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409"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noWrap w:val="0"/>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购买设备数量</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检务保障中强检设备数量</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≥18件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检察院案件受理数量</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检察院案件受理数量</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≥150件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案件流转率</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案件流转率</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验收合格率</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购入设备依据合同规定标准验收情况</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平均案件办理时间</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案件高效高质量办理</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≤30天</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设备购置成本</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购入的计算机、打印机等设备成本</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≤8000元/件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平均办理案件成本</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平均办理案件成本，差旅耗材等</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≤2400元/件</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推进司法体制改革,强化自身建设</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推进司法体制改革,强化自身建设</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推进司法体制改革,强化自身建设</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可持续影响指标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业务装备可持续利用年限</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本年度购入固定资产使用年限</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≥5年</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固定资产管理办法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业务装备满意度</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业务装备满意度</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default" w:ascii="Times New Roman" w:hAnsi="Times New Roman" w:eastAsia="方正书宋_GBK" w:cs="Times New Roman"/>
              </w:rPr>
            </w:pPr>
          </w:p>
        </w:tc>
        <w:tc>
          <w:tcPr>
            <w:tcW w:w="1617"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5"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w:t>
            </w:r>
          </w:p>
        </w:tc>
        <w:tc>
          <w:tcPr>
            <w:tcW w:w="2409"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人民满意度</w:t>
            </w:r>
          </w:p>
        </w:tc>
        <w:tc>
          <w:tcPr>
            <w:tcW w:w="1276"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noWrap w:val="0"/>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检察职能运行规律</w:t>
            </w:r>
          </w:p>
        </w:tc>
      </w:tr>
    </w:tbl>
    <w:p>
      <w:pPr>
        <w:widowControl/>
        <w:adjustRightInd w:val="0"/>
        <w:spacing w:line="480" w:lineRule="exact"/>
        <w:rPr>
          <w:rFonts w:hint="default" w:ascii="Times New Roman" w:hAnsi="Times New Roman" w:eastAsia="黑体" w:cs="Times New Roman"/>
          <w:kern w:val="0"/>
          <w:sz w:val="32"/>
          <w:szCs w:val="32"/>
        </w:rPr>
      </w:pPr>
    </w:p>
    <w:p>
      <w:pPr>
        <w:widowControl/>
        <w:adjustRightInd w:val="0"/>
        <w:spacing w:line="480" w:lineRule="exact"/>
        <w:ind w:firstLine="640" w:firstLineChars="200"/>
        <w:rPr>
          <w:rFonts w:hint="default" w:ascii="Times New Roman" w:hAnsi="Times New Roman" w:eastAsia="方正仿宋简体" w:cs="Times New Roman"/>
          <w:kern w:val="0"/>
          <w:sz w:val="32"/>
          <w:szCs w:val="32"/>
        </w:rPr>
      </w:pPr>
      <w:r>
        <w:rPr>
          <w:rFonts w:hint="eastAsia" w:eastAsia="黑体" w:cs="Times New Roman"/>
          <w:kern w:val="0"/>
          <w:sz w:val="32"/>
          <w:szCs w:val="32"/>
          <w:lang w:val="en-US" w:eastAsia="zh-CN"/>
        </w:rPr>
        <w:t>六</w:t>
      </w:r>
      <w:r>
        <w:rPr>
          <w:rFonts w:hint="default" w:ascii="Times New Roman" w:hAnsi="Times New Roman" w:eastAsia="黑体" w:cs="Times New Roman"/>
          <w:kern w:val="0"/>
          <w:sz w:val="32"/>
          <w:szCs w:val="32"/>
        </w:rPr>
        <w:t>、政府采购预算情况</w:t>
      </w:r>
    </w:p>
    <w:p>
      <w:pPr>
        <w:widowControl/>
        <w:adjustRightInd w:val="0"/>
        <w:spacing w:line="480" w:lineRule="exact"/>
        <w:ind w:firstLine="640" w:firstLineChars="200"/>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本</w:t>
      </w:r>
      <w:r>
        <w:rPr>
          <w:rFonts w:hint="eastAsia" w:eastAsia="方正仿宋简体" w:cs="Times New Roman"/>
          <w:sz w:val="32"/>
          <w:szCs w:val="24"/>
          <w:lang w:eastAsia="zh-CN"/>
        </w:rPr>
        <w:t>单位</w:t>
      </w:r>
      <w:r>
        <w:rPr>
          <w:rFonts w:hint="default" w:ascii="Times New Roman" w:hAnsi="Times New Roman" w:eastAsia="方正仿宋简体" w:cs="Times New Roman"/>
          <w:sz w:val="32"/>
          <w:szCs w:val="24"/>
        </w:rPr>
        <w:t>无政府采购预算</w:t>
      </w:r>
    </w:p>
    <w:p>
      <w:pPr>
        <w:widowControl/>
        <w:adjustRightInd w:val="0"/>
        <w:spacing w:line="480" w:lineRule="exact"/>
        <w:ind w:firstLine="640" w:firstLineChars="200"/>
        <w:rPr>
          <w:rFonts w:hint="default" w:ascii="Times New Roman" w:hAnsi="Times New Roman" w:eastAsia="黑体" w:cs="Times New Roman"/>
          <w:kern w:val="0"/>
          <w:sz w:val="32"/>
          <w:szCs w:val="32"/>
        </w:rPr>
      </w:pPr>
      <w:r>
        <w:rPr>
          <w:rFonts w:hint="eastAsia" w:eastAsia="黑体" w:cs="Times New Roman"/>
          <w:kern w:val="0"/>
          <w:sz w:val="32"/>
          <w:szCs w:val="32"/>
          <w:lang w:val="en-US" w:eastAsia="zh-CN"/>
        </w:rPr>
        <w:t>七</w:t>
      </w:r>
      <w:r>
        <w:rPr>
          <w:rFonts w:hint="default" w:ascii="Times New Roman" w:hAnsi="Times New Roman" w:eastAsia="黑体" w:cs="Times New Roman"/>
          <w:kern w:val="0"/>
          <w:sz w:val="32"/>
          <w:szCs w:val="32"/>
        </w:rPr>
        <w:t>、国有资产信息情况</w:t>
      </w:r>
    </w:p>
    <w:p>
      <w:pPr>
        <w:ind w:firstLine="640"/>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24"/>
        </w:rPr>
        <w:t>上年末固定资产金额为</w:t>
      </w:r>
      <w:r>
        <w:rPr>
          <w:rFonts w:hint="default" w:ascii="Times New Roman" w:hAnsi="Times New Roman" w:eastAsia="方正仿宋简体" w:cs="Times New Roman"/>
          <w:sz w:val="32"/>
          <w:szCs w:val="24"/>
          <w:lang w:val="en-US" w:eastAsia="zh-CN"/>
        </w:rPr>
        <w:t>381.22</w:t>
      </w:r>
      <w:r>
        <w:rPr>
          <w:rFonts w:hint="default" w:ascii="Times New Roman" w:hAnsi="Times New Roman" w:eastAsia="方正仿宋简体" w:cs="Times New Roman"/>
          <w:sz w:val="32"/>
          <w:szCs w:val="24"/>
        </w:rPr>
        <w:t>万元（详见下表），本年度各单位拟购置固定资产主要为计算机、一体机、打印机等，共计</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24"/>
        </w:rPr>
        <w:t>万元，均是20万元以下的设备。</w:t>
      </w:r>
    </w:p>
    <w:tbl>
      <w:tblPr>
        <w:tblStyle w:val="3"/>
        <w:tblW w:w="9600" w:type="dxa"/>
        <w:tblInd w:w="93" w:type="dxa"/>
        <w:tblLayout w:type="fixed"/>
        <w:tblCellMar>
          <w:top w:w="0" w:type="dxa"/>
          <w:left w:w="108" w:type="dxa"/>
          <w:bottom w:w="0" w:type="dxa"/>
          <w:right w:w="108" w:type="dxa"/>
        </w:tblCellMar>
      </w:tblPr>
      <w:tblGrid>
        <w:gridCol w:w="3305"/>
        <w:gridCol w:w="2070"/>
        <w:gridCol w:w="4225"/>
      </w:tblGrid>
      <w:tr>
        <w:tblPrEx>
          <w:tblCellMar>
            <w:top w:w="0" w:type="dxa"/>
            <w:left w:w="108" w:type="dxa"/>
            <w:bottom w:w="0" w:type="dxa"/>
            <w:right w:w="108" w:type="dxa"/>
          </w:tblCellMar>
        </w:tblPrEx>
        <w:trPr>
          <w:trHeight w:val="635" w:hRule="atLeast"/>
        </w:trPr>
        <w:tc>
          <w:tcPr>
            <w:tcW w:w="9600"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河北省省直部门固定资产占用情况表</w:t>
            </w:r>
          </w:p>
        </w:tc>
      </w:tr>
      <w:tr>
        <w:tblPrEx>
          <w:tblCellMar>
            <w:top w:w="0" w:type="dxa"/>
            <w:left w:w="108" w:type="dxa"/>
            <w:bottom w:w="0" w:type="dxa"/>
            <w:right w:w="108" w:type="dxa"/>
          </w:tblCellMar>
        </w:tblPrEx>
        <w:trPr>
          <w:trHeight w:val="529" w:hRule="atLeast"/>
        </w:trPr>
        <w:tc>
          <w:tcPr>
            <w:tcW w:w="5375" w:type="dxa"/>
            <w:gridSpan w:val="2"/>
            <w:tcBorders>
              <w:top w:val="nil"/>
              <w:left w:val="nil"/>
              <w:bottom w:val="nil"/>
              <w:right w:val="nil"/>
            </w:tcBorders>
            <w:vAlign w:val="center"/>
          </w:tcPr>
          <w:p>
            <w:pPr>
              <w:widowControl/>
              <w:jc w:val="left"/>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编制部门：秦皇岛北戴河新区人民检察院</w:t>
            </w:r>
            <w:r>
              <w:rPr>
                <w:rFonts w:hint="eastAsia" w:cs="Times New Roman"/>
                <w:kern w:val="0"/>
                <w:sz w:val="22"/>
                <w:lang w:val="en-US" w:eastAsia="zh-CN"/>
              </w:rPr>
              <w:t>本级</w:t>
            </w:r>
          </w:p>
        </w:tc>
        <w:tc>
          <w:tcPr>
            <w:tcW w:w="4225"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截止时间：20</w:t>
            </w:r>
            <w:r>
              <w:rPr>
                <w:rFonts w:hint="default" w:ascii="Times New Roman" w:hAnsi="Times New Roman" w:cs="Times New Roman"/>
                <w:kern w:val="0"/>
                <w:sz w:val="22"/>
                <w:lang w:val="en-US" w:eastAsia="zh-CN"/>
              </w:rPr>
              <w:t>20</w:t>
            </w:r>
            <w:r>
              <w:rPr>
                <w:rFonts w:hint="default" w:ascii="Times New Roman" w:hAnsi="Times New Roman" w:cs="Times New Roman"/>
                <w:kern w:val="0"/>
                <w:sz w:val="22"/>
              </w:rPr>
              <w:t xml:space="preserve">年12月31日  </w:t>
            </w:r>
          </w:p>
        </w:tc>
      </w:tr>
      <w:tr>
        <w:tblPrEx>
          <w:tblCellMar>
            <w:top w:w="0" w:type="dxa"/>
            <w:left w:w="108" w:type="dxa"/>
            <w:bottom w:w="0" w:type="dxa"/>
            <w:right w:w="108" w:type="dxa"/>
          </w:tblCellMar>
        </w:tblPrEx>
        <w:trPr>
          <w:trHeight w:val="600" w:hRule="atLeast"/>
        </w:trPr>
        <w:tc>
          <w:tcPr>
            <w:tcW w:w="33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   目</w:t>
            </w:r>
          </w:p>
        </w:tc>
        <w:tc>
          <w:tcPr>
            <w:tcW w:w="20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42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blPrEx>
          <w:tblCellMar>
            <w:top w:w="0" w:type="dxa"/>
            <w:left w:w="108" w:type="dxa"/>
            <w:bottom w:w="0" w:type="dxa"/>
            <w:right w:w="108" w:type="dxa"/>
          </w:tblCellMar>
        </w:tblPrEx>
        <w:trPr>
          <w:trHeight w:val="600" w:hRule="atLeast"/>
        </w:trPr>
        <w:tc>
          <w:tcPr>
            <w:tcW w:w="330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lang w:val="en-US"/>
              </w:rPr>
            </w:pPr>
            <w:r>
              <w:rPr>
                <w:rFonts w:hint="default" w:ascii="Times New Roman" w:hAnsi="Times New Roman" w:cs="Times New Roman"/>
                <w:kern w:val="0"/>
                <w:sz w:val="22"/>
                <w:lang w:val="en-US" w:eastAsia="zh-CN"/>
              </w:rPr>
              <w:t>381.22</w:t>
            </w:r>
          </w:p>
        </w:tc>
      </w:tr>
      <w:tr>
        <w:tblPrEx>
          <w:tblCellMar>
            <w:top w:w="0" w:type="dxa"/>
            <w:left w:w="108" w:type="dxa"/>
            <w:bottom w:w="0" w:type="dxa"/>
            <w:right w:w="108" w:type="dxa"/>
          </w:tblCellMar>
        </w:tblPrEx>
        <w:trPr>
          <w:trHeight w:val="600"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1、房屋（平方米）</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802"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其中：办公用房（平方米）</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00"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2、车辆（台、辆）</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7</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lang w:val="en-US" w:eastAsia="zh-CN"/>
              </w:rPr>
              <w:t>77.28</w:t>
            </w:r>
          </w:p>
        </w:tc>
      </w:tr>
      <w:tr>
        <w:tblPrEx>
          <w:tblCellMar>
            <w:top w:w="0" w:type="dxa"/>
            <w:left w:w="108" w:type="dxa"/>
            <w:bottom w:w="0" w:type="dxa"/>
            <w:right w:w="108" w:type="dxa"/>
          </w:tblCellMar>
        </w:tblPrEx>
        <w:trPr>
          <w:trHeight w:val="802"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3、单价在20万元以上设备</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18" w:hRule="atLeast"/>
        </w:trPr>
        <w:tc>
          <w:tcPr>
            <w:tcW w:w="3305"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4、其他固定资产</w:t>
            </w:r>
          </w:p>
        </w:tc>
        <w:tc>
          <w:tcPr>
            <w:tcW w:w="207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422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lang w:val="en-US"/>
              </w:rPr>
            </w:pPr>
            <w:r>
              <w:rPr>
                <w:rFonts w:hint="default" w:ascii="Times New Roman" w:hAnsi="Times New Roman" w:cs="Times New Roman"/>
                <w:kern w:val="0"/>
                <w:sz w:val="22"/>
                <w:lang w:val="en-US" w:eastAsia="zh-CN"/>
              </w:rPr>
              <w:t>303.94</w:t>
            </w:r>
          </w:p>
        </w:tc>
      </w:tr>
    </w:tbl>
    <w:p>
      <w:pPr>
        <w:widowControl/>
        <w:adjustRightInd w:val="0"/>
        <w:spacing w:line="480" w:lineRule="exact"/>
        <w:ind w:firstLine="640" w:firstLineChars="200"/>
        <w:rPr>
          <w:rFonts w:hint="default" w:ascii="Times New Roman" w:hAnsi="Times New Roman" w:cs="Times New Roman"/>
          <w:kern w:val="0"/>
          <w:sz w:val="24"/>
        </w:rPr>
      </w:pPr>
      <w:r>
        <w:rPr>
          <w:rFonts w:hint="eastAsia" w:eastAsia="黑体" w:cs="Times New Roman"/>
          <w:kern w:val="0"/>
          <w:sz w:val="32"/>
          <w:szCs w:val="32"/>
          <w:lang w:val="en-US" w:eastAsia="zh-CN"/>
        </w:rPr>
        <w:t>八</w:t>
      </w:r>
      <w:r>
        <w:rPr>
          <w:rFonts w:hint="default" w:ascii="Times New Roman" w:hAnsi="Times New Roman" w:eastAsia="黑体" w:cs="Times New Roman"/>
          <w:kern w:val="0"/>
          <w:sz w:val="32"/>
          <w:szCs w:val="32"/>
        </w:rPr>
        <w:t>、名词解释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480" w:lineRule="exact"/>
        <w:ind w:firstLine="640" w:firstLineChars="200"/>
        <w:rPr>
          <w:rFonts w:hint="default" w:ascii="Times New Roman" w:hAnsi="Times New Roman" w:eastAsia="方正仿宋简体" w:cs="Times New Roman"/>
          <w:kern w:val="0"/>
          <w:sz w:val="32"/>
          <w:szCs w:val="32"/>
        </w:rPr>
      </w:pPr>
      <w:r>
        <w:rPr>
          <w:rFonts w:hint="eastAsia" w:eastAsia="黑体" w:cs="Times New Roman"/>
          <w:kern w:val="0"/>
          <w:sz w:val="32"/>
          <w:szCs w:val="32"/>
          <w:lang w:val="en-US" w:eastAsia="zh-CN"/>
        </w:rPr>
        <w:t>九</w:t>
      </w:r>
      <w:r>
        <w:rPr>
          <w:rFonts w:hint="default" w:ascii="Times New Roman" w:hAnsi="Times New Roman" w:eastAsia="黑体" w:cs="Times New Roman"/>
          <w:kern w:val="0"/>
          <w:sz w:val="32"/>
          <w:szCs w:val="32"/>
        </w:rPr>
        <w:t>、其他需说明的事项</w:t>
      </w:r>
    </w:p>
    <w:p>
      <w:pPr>
        <w:spacing w:line="540" w:lineRule="exact"/>
        <w:ind w:firstLine="960" w:firstLineChars="300"/>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无。</w:t>
      </w:r>
    </w:p>
    <w:p>
      <w:pPr>
        <w:widowControl/>
        <w:spacing w:line="540" w:lineRule="exact"/>
        <w:rPr>
          <w:rFonts w:hint="default" w:ascii="Times New Roman" w:hAnsi="Times New Roman" w:cs="Times New Roman"/>
          <w:kern w:val="0"/>
          <w:sz w:val="24"/>
        </w:rPr>
      </w:pPr>
    </w:p>
    <w:p>
      <w:pPr>
        <w:widowControl/>
        <w:spacing w:line="540" w:lineRule="exact"/>
        <w:rPr>
          <w:rFonts w:hint="default" w:ascii="Times New Roman" w:hAnsi="Times New Roman" w:cs="Times New Roman"/>
          <w:kern w:val="0"/>
          <w:sz w:val="24"/>
        </w:rPr>
      </w:pPr>
    </w:p>
    <w:p>
      <w:pPr>
        <w:rPr>
          <w:rFonts w:hint="default" w:ascii="Times New Roman" w:hAnsi="Times New Roman" w:cs="Times New Roma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5A318D2F"/>
    <w:multiLevelType w:val="singleLevel"/>
    <w:tmpl w:val="5A318D2F"/>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F4F6A"/>
    <w:rsid w:val="02F364A6"/>
    <w:rsid w:val="0D7B37E2"/>
    <w:rsid w:val="13DC48A5"/>
    <w:rsid w:val="18506EB3"/>
    <w:rsid w:val="195F5A03"/>
    <w:rsid w:val="24C2477C"/>
    <w:rsid w:val="529C0B23"/>
    <w:rsid w:val="586B63D0"/>
    <w:rsid w:val="5BCF4F6A"/>
    <w:rsid w:val="5F2C1950"/>
    <w:rsid w:val="60EE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2021-02-25T02:03:00Z</dcterms:created>
  <dc:creator>dell</dc:creator>
  <cp:lastModifiedBy>Administrator</cp:lastModifiedBy>
  <dcterms:modified xsi:type="dcterms:W3CDTF">2022-09-20T03:12:08Z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