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after="0" w:line="240" w:lineRule="auto"/>
        <w:ind w:firstLine="0"/>
        <w:jc w:val="center"/>
        <w:outlineLvl w:val="0"/>
        <w:rPr>
          <w:rFonts w:ascii="Times New Roman" w:hAnsi="Times New Roman" w:eastAsia="Times New Roman"/>
          <w:kern w:val="0"/>
          <w:sz w:val="24"/>
          <w:lang w:eastAsia="uk-UA"/>
        </w:rPr>
      </w:pPr>
      <w:r>
        <w:rPr>
          <w:rFonts w:ascii="黑体" w:hAnsi="黑体" w:eastAsia="黑体" w:cs="黑体"/>
          <w:b/>
          <w:color w:val="000000"/>
          <w:kern w:val="0"/>
          <w:sz w:val="44"/>
          <w:lang w:eastAsia="uk-UA"/>
        </w:rPr>
        <w:t>202</w:t>
      </w:r>
      <w:r>
        <w:rPr>
          <w:rFonts w:hint="eastAsia" w:ascii="黑体" w:hAnsi="黑体" w:eastAsia="黑体" w:cs="黑体"/>
          <w:b/>
          <w:color w:val="000000"/>
          <w:kern w:val="0"/>
          <w:sz w:val="44"/>
          <w:lang w:val="en-US" w:eastAsia="zh-CN"/>
        </w:rPr>
        <w:t>1</w:t>
      </w:r>
      <w:r>
        <w:rPr>
          <w:rFonts w:ascii="黑体" w:hAnsi="黑体" w:eastAsia="黑体" w:cs="黑体"/>
          <w:b/>
          <w:color w:val="000000"/>
          <w:kern w:val="0"/>
          <w:sz w:val="44"/>
          <w:lang w:eastAsia="uk-UA"/>
        </w:rPr>
        <w:t>年部门预算信息公开目录</w:t>
      </w:r>
    </w:p>
    <w:p>
      <w:pPr>
        <w:widowControl/>
        <w:spacing w:before="0" w:after="0" w:line="240" w:lineRule="auto"/>
        <w:ind w:firstLine="0"/>
        <w:jc w:val="center"/>
        <w:outlineLvl w:val="9"/>
        <w:rPr>
          <w:rFonts w:ascii="Times New Roman" w:hAnsi="Times New Roman" w:eastAsia="Times New Roman"/>
          <w:kern w:val="0"/>
          <w:sz w:val="24"/>
          <w:lang w:eastAsia="uk-UA"/>
        </w:rPr>
      </w:pPr>
      <w:r>
        <w:rPr>
          <w:rFonts w:ascii="黑体" w:hAnsi="黑体" w:eastAsia="黑体" w:cs="黑体"/>
          <w:b/>
          <w:color w:val="000000"/>
          <w:kern w:val="0"/>
          <w:sz w:val="30"/>
          <w:lang w:eastAsia="uk-UA"/>
        </w:rPr>
        <w:t xml:space="preserve"> </w:t>
      </w:r>
    </w:p>
    <w:p>
      <w:pPr>
        <w:widowControl/>
        <w:spacing w:before="0" w:after="0" w:line="240" w:lineRule="auto"/>
        <w:ind w:firstLine="0"/>
        <w:jc w:val="center"/>
        <w:outlineLvl w:val="9"/>
        <w:rPr>
          <w:rFonts w:ascii="Times New Roman" w:hAnsi="Times New Roman" w:eastAsia="Times New Roman"/>
          <w:kern w:val="0"/>
          <w:sz w:val="24"/>
          <w:lang w:eastAsia="uk-UA"/>
        </w:rPr>
      </w:pPr>
      <w:r>
        <w:rPr>
          <w:rFonts w:ascii="黑体" w:hAnsi="黑体" w:eastAsia="黑体" w:cs="黑体"/>
          <w:b/>
          <w:color w:val="000000"/>
          <w:kern w:val="0"/>
          <w:sz w:val="30"/>
          <w:lang w:eastAsia="uk-UA"/>
        </w:rPr>
        <w:t>第一部分  部门预算</w:t>
      </w:r>
    </w:p>
    <w:p>
      <w:pPr>
        <w:widowControl/>
        <w:tabs>
          <w:tab w:val="left" w:pos="1260"/>
        </w:tabs>
        <w:spacing w:before="0" w:after="0" w:line="240" w:lineRule="auto"/>
        <w:ind w:firstLine="0"/>
        <w:jc w:val="left"/>
        <w:outlineLvl w:val="9"/>
        <w:rPr>
          <w:rFonts w:ascii="Times New Roman" w:hAnsi="Times New Roman" w:eastAsia="Times New Roman"/>
          <w:kern w:val="0"/>
          <w:sz w:val="24"/>
          <w:lang w:eastAsia="uk-UA"/>
        </w:rPr>
      </w:pPr>
      <w:r>
        <w:rPr>
          <w:rFonts w:ascii="方正楷体_GBK" w:hAnsi="方正楷体_GBK" w:eastAsia="方正楷体_GBK" w:cs="方正楷体_GBK"/>
          <w:b/>
          <w:color w:val="000000"/>
          <w:kern w:val="0"/>
          <w:sz w:val="28"/>
          <w:lang w:eastAsia="uk-UA"/>
        </w:rPr>
        <w:t>部门预算公开表</w:t>
      </w:r>
    </w:p>
    <w:p>
      <w:pPr>
        <w:pStyle w:val="3"/>
        <w:widowControl/>
        <w:tabs>
          <w:tab w:val="right" w:leader="dot" w:pos="14562"/>
        </w:tabs>
        <w:jc w:val="left"/>
        <w:rPr>
          <w:kern w:val="0"/>
        </w:rPr>
      </w:pPr>
      <w:r>
        <w:rPr>
          <w:kern w:val="0"/>
        </w:rPr>
        <w:fldChar w:fldCharType="begin"/>
      </w:r>
      <w:r>
        <w:rPr>
          <w:kern w:val="0"/>
        </w:rPr>
        <w:instrText xml:space="preserve">TOC \o "2-2" \h \z \u</w:instrText>
      </w:r>
      <w:r>
        <w:rPr>
          <w:kern w:val="0"/>
        </w:rPr>
        <w:fldChar w:fldCharType="separate"/>
      </w:r>
      <w:r>
        <w:rPr>
          <w:kern w:val="0"/>
        </w:rPr>
        <w:fldChar w:fldCharType="begin"/>
      </w:r>
      <w:r>
        <w:rPr>
          <w:kern w:val="0"/>
        </w:rPr>
        <w:instrText xml:space="preserve"> HYPERLINK \l "_Toc_2_2_0000000001" </w:instrText>
      </w:r>
      <w:r>
        <w:rPr>
          <w:kern w:val="0"/>
        </w:rPr>
        <w:fldChar w:fldCharType="separate"/>
      </w:r>
      <w:r>
        <w:rPr>
          <w:kern w:val="0"/>
        </w:rPr>
        <w:t>部门预算收支总表</w:t>
      </w:r>
      <w:r>
        <w:rPr>
          <w:kern w:val="0"/>
        </w:rPr>
        <w:tab/>
      </w:r>
      <w:r>
        <w:rPr>
          <w:kern w:val="0"/>
        </w:rPr>
        <w:fldChar w:fldCharType="begin"/>
      </w:r>
      <w:r>
        <w:rPr>
          <w:kern w:val="0"/>
        </w:rPr>
        <w:instrText xml:space="preserve">PAGEREF _Toc_2_2_0000000001 \h</w:instrText>
      </w:r>
      <w:r>
        <w:rPr>
          <w:kern w:val="0"/>
        </w:rPr>
        <w:fldChar w:fldCharType="separate"/>
      </w:r>
      <w:r>
        <w:rPr>
          <w:kern w:val="0"/>
        </w:rPr>
        <w:t>2</w:t>
      </w:r>
      <w:r>
        <w:rPr>
          <w:kern w:val="0"/>
        </w:rPr>
        <w:fldChar w:fldCharType="end"/>
      </w:r>
      <w:r>
        <w:rPr>
          <w:kern w:val="0"/>
        </w:rPr>
        <w:fldChar w:fldCharType="end"/>
      </w:r>
    </w:p>
    <w:p>
      <w:pPr>
        <w:pStyle w:val="3"/>
        <w:widowControl/>
        <w:tabs>
          <w:tab w:val="right" w:leader="dot" w:pos="14562"/>
        </w:tabs>
        <w:jc w:val="left"/>
        <w:rPr>
          <w:kern w:val="0"/>
        </w:rPr>
      </w:pPr>
      <w:r>
        <w:rPr>
          <w:kern w:val="0"/>
        </w:rPr>
        <w:fldChar w:fldCharType="begin"/>
      </w:r>
      <w:r>
        <w:rPr>
          <w:kern w:val="0"/>
        </w:rPr>
        <w:instrText xml:space="preserve"> HYPERLINK \l "_Toc_2_2_0000000002" </w:instrText>
      </w:r>
      <w:r>
        <w:rPr>
          <w:kern w:val="0"/>
        </w:rPr>
        <w:fldChar w:fldCharType="separate"/>
      </w:r>
      <w:r>
        <w:rPr>
          <w:kern w:val="0"/>
        </w:rPr>
        <w:t>部门预算收入总表</w:t>
      </w:r>
      <w:r>
        <w:rPr>
          <w:kern w:val="0"/>
        </w:rPr>
        <w:tab/>
      </w:r>
      <w:r>
        <w:rPr>
          <w:kern w:val="0"/>
        </w:rPr>
        <w:fldChar w:fldCharType="begin"/>
      </w:r>
      <w:r>
        <w:rPr>
          <w:kern w:val="0"/>
        </w:rPr>
        <w:instrText xml:space="preserve">PAGEREF _Toc_2_2_0000000002 \h</w:instrText>
      </w:r>
      <w:r>
        <w:rPr>
          <w:kern w:val="0"/>
        </w:rPr>
        <w:fldChar w:fldCharType="separate"/>
      </w:r>
      <w:r>
        <w:rPr>
          <w:kern w:val="0"/>
        </w:rPr>
        <w:t>4</w:t>
      </w:r>
      <w:r>
        <w:rPr>
          <w:kern w:val="0"/>
        </w:rPr>
        <w:fldChar w:fldCharType="end"/>
      </w:r>
      <w:r>
        <w:rPr>
          <w:kern w:val="0"/>
        </w:rPr>
        <w:fldChar w:fldCharType="end"/>
      </w:r>
    </w:p>
    <w:p>
      <w:pPr>
        <w:pStyle w:val="3"/>
        <w:widowControl/>
        <w:tabs>
          <w:tab w:val="right" w:leader="dot" w:pos="14562"/>
        </w:tabs>
        <w:jc w:val="left"/>
        <w:rPr>
          <w:kern w:val="0"/>
        </w:rPr>
      </w:pPr>
      <w:r>
        <w:rPr>
          <w:kern w:val="0"/>
        </w:rPr>
        <w:fldChar w:fldCharType="begin"/>
      </w:r>
      <w:r>
        <w:rPr>
          <w:kern w:val="0"/>
        </w:rPr>
        <w:instrText xml:space="preserve"> HYPERLINK \l "_Toc_2_2_0000000003" </w:instrText>
      </w:r>
      <w:r>
        <w:rPr>
          <w:kern w:val="0"/>
        </w:rPr>
        <w:fldChar w:fldCharType="separate"/>
      </w:r>
      <w:r>
        <w:rPr>
          <w:kern w:val="0"/>
        </w:rPr>
        <w:t>部门预算支出总表</w:t>
      </w:r>
      <w:r>
        <w:rPr>
          <w:kern w:val="0"/>
        </w:rPr>
        <w:tab/>
      </w:r>
      <w:r>
        <w:rPr>
          <w:kern w:val="0"/>
        </w:rPr>
        <w:fldChar w:fldCharType="begin"/>
      </w:r>
      <w:r>
        <w:rPr>
          <w:kern w:val="0"/>
        </w:rPr>
        <w:instrText xml:space="preserve">PAGEREF _Toc_2_2_0000000003 \h</w:instrText>
      </w:r>
      <w:r>
        <w:rPr>
          <w:kern w:val="0"/>
        </w:rPr>
        <w:fldChar w:fldCharType="separate"/>
      </w:r>
      <w:r>
        <w:rPr>
          <w:kern w:val="0"/>
        </w:rPr>
        <w:t>5</w:t>
      </w:r>
      <w:r>
        <w:rPr>
          <w:kern w:val="0"/>
        </w:rPr>
        <w:fldChar w:fldCharType="end"/>
      </w:r>
      <w:r>
        <w:rPr>
          <w:kern w:val="0"/>
        </w:rPr>
        <w:fldChar w:fldCharType="end"/>
      </w:r>
    </w:p>
    <w:p>
      <w:pPr>
        <w:pStyle w:val="3"/>
        <w:widowControl/>
        <w:tabs>
          <w:tab w:val="right" w:leader="dot" w:pos="14562"/>
        </w:tabs>
        <w:jc w:val="left"/>
        <w:rPr>
          <w:kern w:val="0"/>
        </w:rPr>
      </w:pPr>
      <w:r>
        <w:rPr>
          <w:kern w:val="0"/>
        </w:rPr>
        <w:fldChar w:fldCharType="begin"/>
      </w:r>
      <w:r>
        <w:rPr>
          <w:kern w:val="0"/>
        </w:rPr>
        <w:instrText xml:space="preserve"> HYPERLINK \l "_Toc_2_2_0000000004" </w:instrText>
      </w:r>
      <w:r>
        <w:rPr>
          <w:kern w:val="0"/>
        </w:rPr>
        <w:fldChar w:fldCharType="separate"/>
      </w:r>
      <w:r>
        <w:rPr>
          <w:kern w:val="0"/>
        </w:rPr>
        <w:t>部门预算财政拨款收支总表</w:t>
      </w:r>
      <w:r>
        <w:rPr>
          <w:kern w:val="0"/>
        </w:rPr>
        <w:tab/>
      </w:r>
      <w:r>
        <w:rPr>
          <w:kern w:val="0"/>
        </w:rPr>
        <w:fldChar w:fldCharType="begin"/>
      </w:r>
      <w:r>
        <w:rPr>
          <w:kern w:val="0"/>
        </w:rPr>
        <w:instrText xml:space="preserve">PAGEREF _Toc_2_2_0000000004 \h</w:instrText>
      </w:r>
      <w:r>
        <w:rPr>
          <w:kern w:val="0"/>
        </w:rPr>
        <w:fldChar w:fldCharType="separate"/>
      </w:r>
      <w:r>
        <w:rPr>
          <w:kern w:val="0"/>
        </w:rPr>
        <w:t>6</w:t>
      </w:r>
      <w:r>
        <w:rPr>
          <w:kern w:val="0"/>
        </w:rPr>
        <w:fldChar w:fldCharType="end"/>
      </w:r>
      <w:r>
        <w:rPr>
          <w:kern w:val="0"/>
        </w:rPr>
        <w:fldChar w:fldCharType="end"/>
      </w:r>
    </w:p>
    <w:p>
      <w:pPr>
        <w:pStyle w:val="3"/>
        <w:widowControl/>
        <w:tabs>
          <w:tab w:val="right" w:leader="dot" w:pos="14562"/>
        </w:tabs>
        <w:jc w:val="left"/>
        <w:rPr>
          <w:kern w:val="0"/>
        </w:rPr>
      </w:pPr>
      <w:r>
        <w:rPr>
          <w:kern w:val="0"/>
        </w:rPr>
        <w:fldChar w:fldCharType="begin"/>
      </w:r>
      <w:r>
        <w:rPr>
          <w:kern w:val="0"/>
        </w:rPr>
        <w:instrText xml:space="preserve"> HYPERLINK \l "_Toc_2_2_0000000005" </w:instrText>
      </w:r>
      <w:r>
        <w:rPr>
          <w:kern w:val="0"/>
        </w:rPr>
        <w:fldChar w:fldCharType="separate"/>
      </w:r>
      <w:r>
        <w:rPr>
          <w:kern w:val="0"/>
        </w:rPr>
        <w:t>部门预算一般公共预算财政拨款支出表</w:t>
      </w:r>
      <w:r>
        <w:rPr>
          <w:kern w:val="0"/>
        </w:rPr>
        <w:tab/>
      </w:r>
      <w:r>
        <w:rPr>
          <w:kern w:val="0"/>
        </w:rPr>
        <w:fldChar w:fldCharType="begin"/>
      </w:r>
      <w:r>
        <w:rPr>
          <w:kern w:val="0"/>
        </w:rPr>
        <w:instrText xml:space="preserve">PAGEREF _Toc_2_2_0000000005 \h</w:instrText>
      </w:r>
      <w:r>
        <w:rPr>
          <w:kern w:val="0"/>
        </w:rPr>
        <w:fldChar w:fldCharType="separate"/>
      </w:r>
      <w:r>
        <w:rPr>
          <w:kern w:val="0"/>
        </w:rPr>
        <w:t>8</w:t>
      </w:r>
      <w:r>
        <w:rPr>
          <w:kern w:val="0"/>
        </w:rPr>
        <w:fldChar w:fldCharType="end"/>
      </w:r>
      <w:r>
        <w:rPr>
          <w:kern w:val="0"/>
        </w:rPr>
        <w:fldChar w:fldCharType="end"/>
      </w:r>
    </w:p>
    <w:p>
      <w:pPr>
        <w:pStyle w:val="3"/>
        <w:widowControl/>
        <w:tabs>
          <w:tab w:val="right" w:leader="dot" w:pos="14562"/>
        </w:tabs>
        <w:jc w:val="left"/>
        <w:rPr>
          <w:kern w:val="0"/>
        </w:rPr>
      </w:pPr>
      <w:r>
        <w:rPr>
          <w:kern w:val="0"/>
        </w:rPr>
        <w:fldChar w:fldCharType="begin"/>
      </w:r>
      <w:r>
        <w:rPr>
          <w:kern w:val="0"/>
        </w:rPr>
        <w:instrText xml:space="preserve"> HYPERLINK \l "_Toc_2_2_0000000006" </w:instrText>
      </w:r>
      <w:r>
        <w:rPr>
          <w:kern w:val="0"/>
        </w:rPr>
        <w:fldChar w:fldCharType="separate"/>
      </w:r>
      <w:r>
        <w:rPr>
          <w:kern w:val="0"/>
        </w:rPr>
        <w:t>部门预算一般公共预算财政拨款基本支出表</w:t>
      </w:r>
      <w:r>
        <w:rPr>
          <w:kern w:val="0"/>
        </w:rPr>
        <w:tab/>
      </w:r>
      <w:r>
        <w:rPr>
          <w:kern w:val="0"/>
        </w:rPr>
        <w:fldChar w:fldCharType="begin"/>
      </w:r>
      <w:r>
        <w:rPr>
          <w:kern w:val="0"/>
        </w:rPr>
        <w:instrText xml:space="preserve">PAGEREF _Toc_2_2_0000000006 \h</w:instrText>
      </w:r>
      <w:r>
        <w:rPr>
          <w:kern w:val="0"/>
        </w:rPr>
        <w:fldChar w:fldCharType="separate"/>
      </w:r>
      <w:r>
        <w:rPr>
          <w:kern w:val="0"/>
        </w:rPr>
        <w:t>9</w:t>
      </w:r>
      <w:r>
        <w:rPr>
          <w:kern w:val="0"/>
        </w:rPr>
        <w:fldChar w:fldCharType="end"/>
      </w:r>
      <w:r>
        <w:rPr>
          <w:kern w:val="0"/>
        </w:rPr>
        <w:fldChar w:fldCharType="end"/>
      </w:r>
    </w:p>
    <w:p>
      <w:pPr>
        <w:pStyle w:val="3"/>
        <w:widowControl/>
        <w:tabs>
          <w:tab w:val="right" w:leader="dot" w:pos="14562"/>
        </w:tabs>
        <w:jc w:val="left"/>
        <w:rPr>
          <w:kern w:val="0"/>
        </w:rPr>
      </w:pPr>
      <w:r>
        <w:rPr>
          <w:kern w:val="0"/>
        </w:rPr>
        <w:fldChar w:fldCharType="begin"/>
      </w:r>
      <w:r>
        <w:rPr>
          <w:kern w:val="0"/>
        </w:rPr>
        <w:instrText xml:space="preserve"> HYPERLINK \l "_Toc_2_2_0000000007" </w:instrText>
      </w:r>
      <w:r>
        <w:rPr>
          <w:kern w:val="0"/>
        </w:rPr>
        <w:fldChar w:fldCharType="separate"/>
      </w:r>
      <w:r>
        <w:rPr>
          <w:kern w:val="0"/>
        </w:rPr>
        <w:t>部门预算政府基金预算财政拨款支出表</w:t>
      </w:r>
      <w:r>
        <w:rPr>
          <w:kern w:val="0"/>
        </w:rPr>
        <w:tab/>
      </w:r>
      <w:r>
        <w:rPr>
          <w:kern w:val="0"/>
        </w:rPr>
        <w:fldChar w:fldCharType="begin"/>
      </w:r>
      <w:r>
        <w:rPr>
          <w:kern w:val="0"/>
        </w:rPr>
        <w:instrText xml:space="preserve">PAGEREF _Toc_2_2_0000000007 \h</w:instrText>
      </w:r>
      <w:r>
        <w:rPr>
          <w:kern w:val="0"/>
        </w:rPr>
        <w:fldChar w:fldCharType="separate"/>
      </w:r>
      <w:r>
        <w:rPr>
          <w:kern w:val="0"/>
        </w:rPr>
        <w:t>11</w:t>
      </w:r>
      <w:r>
        <w:rPr>
          <w:kern w:val="0"/>
        </w:rPr>
        <w:fldChar w:fldCharType="end"/>
      </w:r>
      <w:r>
        <w:rPr>
          <w:kern w:val="0"/>
        </w:rPr>
        <w:fldChar w:fldCharType="end"/>
      </w:r>
    </w:p>
    <w:p>
      <w:pPr>
        <w:pStyle w:val="3"/>
        <w:widowControl/>
        <w:tabs>
          <w:tab w:val="right" w:leader="dot" w:pos="14562"/>
        </w:tabs>
        <w:jc w:val="left"/>
        <w:rPr>
          <w:kern w:val="0"/>
        </w:rPr>
      </w:pPr>
      <w:r>
        <w:rPr>
          <w:kern w:val="0"/>
        </w:rPr>
        <w:fldChar w:fldCharType="begin"/>
      </w:r>
      <w:r>
        <w:rPr>
          <w:kern w:val="0"/>
        </w:rPr>
        <w:instrText xml:space="preserve"> HYPERLINK \l "_Toc_2_2_0000000008" </w:instrText>
      </w:r>
      <w:r>
        <w:rPr>
          <w:kern w:val="0"/>
        </w:rPr>
        <w:fldChar w:fldCharType="separate"/>
      </w:r>
      <w:r>
        <w:rPr>
          <w:kern w:val="0"/>
        </w:rPr>
        <w:t>部门预算国有资本经营预算财政拨款支出表</w:t>
      </w:r>
      <w:r>
        <w:rPr>
          <w:kern w:val="0"/>
        </w:rPr>
        <w:tab/>
      </w:r>
      <w:r>
        <w:rPr>
          <w:kern w:val="0"/>
        </w:rPr>
        <w:fldChar w:fldCharType="begin"/>
      </w:r>
      <w:r>
        <w:rPr>
          <w:kern w:val="0"/>
        </w:rPr>
        <w:instrText xml:space="preserve">PAGEREF _Toc_2_2_0000000008 \h</w:instrText>
      </w:r>
      <w:r>
        <w:rPr>
          <w:kern w:val="0"/>
        </w:rPr>
        <w:fldChar w:fldCharType="separate"/>
      </w:r>
      <w:r>
        <w:rPr>
          <w:kern w:val="0"/>
        </w:rPr>
        <w:t>12</w:t>
      </w:r>
      <w:r>
        <w:rPr>
          <w:kern w:val="0"/>
        </w:rPr>
        <w:fldChar w:fldCharType="end"/>
      </w:r>
      <w:r>
        <w:rPr>
          <w:kern w:val="0"/>
        </w:rPr>
        <w:fldChar w:fldCharType="end"/>
      </w:r>
    </w:p>
    <w:p>
      <w:pPr>
        <w:pStyle w:val="3"/>
        <w:widowControl/>
        <w:tabs>
          <w:tab w:val="right" w:leader="dot" w:pos="14562"/>
        </w:tabs>
        <w:jc w:val="left"/>
        <w:rPr>
          <w:kern w:val="0"/>
        </w:rPr>
      </w:pPr>
      <w:r>
        <w:rPr>
          <w:kern w:val="0"/>
        </w:rPr>
        <w:fldChar w:fldCharType="begin"/>
      </w:r>
      <w:r>
        <w:rPr>
          <w:kern w:val="0"/>
        </w:rPr>
        <w:instrText xml:space="preserve"> HYPERLINK \l "_Toc_2_2_0000000009" </w:instrText>
      </w:r>
      <w:r>
        <w:rPr>
          <w:kern w:val="0"/>
        </w:rPr>
        <w:fldChar w:fldCharType="separate"/>
      </w:r>
      <w:r>
        <w:rPr>
          <w:kern w:val="0"/>
        </w:rPr>
        <w:t>部门预算财政拨款“三公”经费支出表</w:t>
      </w:r>
      <w:r>
        <w:rPr>
          <w:kern w:val="0"/>
        </w:rPr>
        <w:tab/>
      </w:r>
      <w:r>
        <w:rPr>
          <w:kern w:val="0"/>
        </w:rPr>
        <w:fldChar w:fldCharType="begin"/>
      </w:r>
      <w:r>
        <w:rPr>
          <w:kern w:val="0"/>
        </w:rPr>
        <w:instrText xml:space="preserve">PAGEREF _Toc_2_2_0000000009 \h</w:instrText>
      </w:r>
      <w:r>
        <w:rPr>
          <w:kern w:val="0"/>
        </w:rPr>
        <w:fldChar w:fldCharType="separate"/>
      </w:r>
      <w:r>
        <w:rPr>
          <w:kern w:val="0"/>
        </w:rPr>
        <w:t>13</w:t>
      </w:r>
      <w:r>
        <w:rPr>
          <w:kern w:val="0"/>
        </w:rPr>
        <w:fldChar w:fldCharType="end"/>
      </w:r>
      <w:r>
        <w:rPr>
          <w:kern w:val="0"/>
        </w:rPr>
        <w:fldChar w:fldCharType="end"/>
      </w:r>
    </w:p>
    <w:p>
      <w:pPr>
        <w:widowControl/>
        <w:jc w:val="left"/>
        <w:rPr>
          <w:rFonts w:ascii="Times New Roman" w:hAnsi="Times New Roman" w:eastAsia="Times New Roman"/>
          <w:kern w:val="0"/>
          <w:sz w:val="24"/>
          <w:lang w:eastAsia="uk-UA"/>
        </w:rPr>
      </w:pPr>
      <w:r>
        <w:rPr>
          <w:rFonts w:ascii="Times New Roman" w:hAnsi="Times New Roman" w:eastAsia="Times New Roman"/>
          <w:kern w:val="0"/>
          <w:sz w:val="24"/>
          <w:lang w:eastAsia="uk-UA"/>
        </w:rPr>
        <w:fldChar w:fldCharType="end"/>
      </w:r>
    </w:p>
    <w:p>
      <w:pPr>
        <w:widowControl/>
        <w:spacing w:before="0" w:after="0" w:line="240" w:lineRule="auto"/>
        <w:ind w:firstLine="0"/>
        <w:jc w:val="left"/>
        <w:outlineLvl w:val="9"/>
        <w:rPr>
          <w:rFonts w:ascii="Times New Roman" w:hAnsi="Times New Roman" w:eastAsia="Times New Roman"/>
          <w:kern w:val="0"/>
          <w:sz w:val="24"/>
          <w:lang w:eastAsia="uk-UA"/>
        </w:rPr>
      </w:pPr>
      <w:r>
        <w:rPr>
          <w:rFonts w:ascii="方正楷体_GBK" w:hAnsi="方正楷体_GBK" w:eastAsia="方正楷体_GBK" w:cs="方正楷体_GBK"/>
          <w:b/>
          <w:color w:val="000000"/>
          <w:kern w:val="0"/>
          <w:sz w:val="28"/>
          <w:lang w:eastAsia="uk-UA"/>
        </w:rPr>
        <w:t>部门预算信息公开情况说明</w:t>
      </w:r>
    </w:p>
    <w:p>
      <w:pPr>
        <w:pStyle w:val="3"/>
        <w:widowControl/>
        <w:tabs>
          <w:tab w:val="right" w:leader="dot" w:pos="14562"/>
        </w:tabs>
        <w:jc w:val="left"/>
        <w:rPr>
          <w:kern w:val="0"/>
        </w:rPr>
      </w:pPr>
      <w:r>
        <w:rPr>
          <w:kern w:val="0"/>
        </w:rPr>
        <w:fldChar w:fldCharType="begin"/>
      </w:r>
      <w:r>
        <w:rPr>
          <w:kern w:val="0"/>
        </w:rPr>
        <w:instrText xml:space="preserve">TOC \o "3-3" \h \z \u</w:instrText>
      </w:r>
      <w:r>
        <w:rPr>
          <w:kern w:val="0"/>
        </w:rPr>
        <w:fldChar w:fldCharType="separate"/>
      </w:r>
      <w:r>
        <w:rPr>
          <w:kern w:val="0"/>
        </w:rPr>
        <w:fldChar w:fldCharType="begin"/>
      </w:r>
      <w:r>
        <w:rPr>
          <w:kern w:val="0"/>
        </w:rPr>
        <w:instrText xml:space="preserve"> HYPERLINK \l "_Toc_3_3_0000000010" </w:instrText>
      </w:r>
      <w:r>
        <w:rPr>
          <w:kern w:val="0"/>
        </w:rPr>
        <w:fldChar w:fldCharType="separate"/>
      </w:r>
      <w:r>
        <w:rPr>
          <w:kern w:val="0"/>
        </w:rPr>
        <w:t>一、部门职责及机构设置情况</w:t>
      </w:r>
      <w:r>
        <w:rPr>
          <w:kern w:val="0"/>
        </w:rPr>
        <w:tab/>
      </w:r>
      <w:r>
        <w:rPr>
          <w:kern w:val="0"/>
        </w:rPr>
        <w:fldChar w:fldCharType="begin"/>
      </w:r>
      <w:r>
        <w:rPr>
          <w:kern w:val="0"/>
        </w:rPr>
        <w:instrText xml:space="preserve">PAGEREF _Toc_3_3_0000000010 \h</w:instrText>
      </w:r>
      <w:r>
        <w:rPr>
          <w:kern w:val="0"/>
        </w:rPr>
        <w:fldChar w:fldCharType="separate"/>
      </w:r>
      <w:r>
        <w:rPr>
          <w:kern w:val="0"/>
        </w:rPr>
        <w:t>14</w:t>
      </w:r>
      <w:r>
        <w:rPr>
          <w:kern w:val="0"/>
        </w:rPr>
        <w:fldChar w:fldCharType="end"/>
      </w:r>
      <w:r>
        <w:rPr>
          <w:kern w:val="0"/>
        </w:rPr>
        <w:fldChar w:fldCharType="end"/>
      </w:r>
    </w:p>
    <w:p>
      <w:pPr>
        <w:pStyle w:val="3"/>
        <w:widowControl/>
        <w:tabs>
          <w:tab w:val="right" w:leader="dot" w:pos="14562"/>
        </w:tabs>
        <w:jc w:val="left"/>
        <w:rPr>
          <w:kern w:val="0"/>
        </w:rPr>
      </w:pPr>
      <w:r>
        <w:rPr>
          <w:kern w:val="0"/>
        </w:rPr>
        <w:fldChar w:fldCharType="begin"/>
      </w:r>
      <w:r>
        <w:rPr>
          <w:kern w:val="0"/>
        </w:rPr>
        <w:instrText xml:space="preserve"> HYPERLINK \l "_Toc_3_3_0000000011" </w:instrText>
      </w:r>
      <w:r>
        <w:rPr>
          <w:kern w:val="0"/>
        </w:rPr>
        <w:fldChar w:fldCharType="separate"/>
      </w:r>
      <w:r>
        <w:rPr>
          <w:kern w:val="0"/>
        </w:rPr>
        <w:t>二、部门预算安排的总体情况</w:t>
      </w:r>
      <w:r>
        <w:rPr>
          <w:kern w:val="0"/>
        </w:rPr>
        <w:tab/>
      </w:r>
      <w:r>
        <w:rPr>
          <w:kern w:val="0"/>
        </w:rPr>
        <w:fldChar w:fldCharType="begin"/>
      </w:r>
      <w:r>
        <w:rPr>
          <w:kern w:val="0"/>
        </w:rPr>
        <w:instrText xml:space="preserve">PAGEREF _Toc_3_3_0000000011 \h</w:instrText>
      </w:r>
      <w:r>
        <w:rPr>
          <w:kern w:val="0"/>
        </w:rPr>
        <w:fldChar w:fldCharType="separate"/>
      </w:r>
      <w:r>
        <w:rPr>
          <w:kern w:val="0"/>
        </w:rPr>
        <w:t>14</w:t>
      </w:r>
      <w:r>
        <w:rPr>
          <w:kern w:val="0"/>
        </w:rPr>
        <w:fldChar w:fldCharType="end"/>
      </w:r>
      <w:r>
        <w:rPr>
          <w:kern w:val="0"/>
        </w:rPr>
        <w:fldChar w:fldCharType="end"/>
      </w:r>
    </w:p>
    <w:p>
      <w:pPr>
        <w:pStyle w:val="3"/>
        <w:widowControl/>
        <w:tabs>
          <w:tab w:val="right" w:leader="dot" w:pos="14562"/>
        </w:tabs>
        <w:jc w:val="left"/>
        <w:rPr>
          <w:kern w:val="0"/>
        </w:rPr>
      </w:pPr>
      <w:r>
        <w:rPr>
          <w:kern w:val="0"/>
        </w:rPr>
        <w:fldChar w:fldCharType="begin"/>
      </w:r>
      <w:r>
        <w:rPr>
          <w:kern w:val="0"/>
        </w:rPr>
        <w:instrText xml:space="preserve"> HYPERLINK \l "_Toc_3_3_0000000012" </w:instrText>
      </w:r>
      <w:r>
        <w:rPr>
          <w:kern w:val="0"/>
        </w:rPr>
        <w:fldChar w:fldCharType="separate"/>
      </w:r>
      <w:r>
        <w:rPr>
          <w:kern w:val="0"/>
        </w:rPr>
        <w:t>三、机关运行经费安排情况</w:t>
      </w:r>
      <w:r>
        <w:rPr>
          <w:kern w:val="0"/>
        </w:rPr>
        <w:tab/>
      </w:r>
      <w:r>
        <w:rPr>
          <w:kern w:val="0"/>
        </w:rPr>
        <w:fldChar w:fldCharType="begin"/>
      </w:r>
      <w:r>
        <w:rPr>
          <w:kern w:val="0"/>
        </w:rPr>
        <w:instrText xml:space="preserve">PAGEREF _Toc_3_3_0000000012 \h</w:instrText>
      </w:r>
      <w:r>
        <w:rPr>
          <w:kern w:val="0"/>
        </w:rPr>
        <w:fldChar w:fldCharType="separate"/>
      </w:r>
      <w:r>
        <w:rPr>
          <w:kern w:val="0"/>
        </w:rPr>
        <w:t>15</w:t>
      </w:r>
      <w:r>
        <w:rPr>
          <w:kern w:val="0"/>
        </w:rPr>
        <w:fldChar w:fldCharType="end"/>
      </w:r>
      <w:r>
        <w:rPr>
          <w:kern w:val="0"/>
        </w:rPr>
        <w:fldChar w:fldCharType="end"/>
      </w:r>
    </w:p>
    <w:p>
      <w:pPr>
        <w:pStyle w:val="3"/>
        <w:widowControl/>
        <w:tabs>
          <w:tab w:val="right" w:leader="dot" w:pos="14562"/>
        </w:tabs>
        <w:jc w:val="left"/>
        <w:rPr>
          <w:kern w:val="0"/>
        </w:rPr>
      </w:pPr>
      <w:r>
        <w:rPr>
          <w:kern w:val="0"/>
        </w:rPr>
        <w:fldChar w:fldCharType="begin"/>
      </w:r>
      <w:r>
        <w:rPr>
          <w:kern w:val="0"/>
        </w:rPr>
        <w:instrText xml:space="preserve"> HYPERLINK \l "_Toc_3_3_0000000013" </w:instrText>
      </w:r>
      <w:r>
        <w:rPr>
          <w:kern w:val="0"/>
        </w:rPr>
        <w:fldChar w:fldCharType="separate"/>
      </w:r>
      <w:r>
        <w:rPr>
          <w:kern w:val="0"/>
        </w:rPr>
        <w:t>四、财政拨款“三公”经费预算情况及增减变化原因</w:t>
      </w:r>
      <w:r>
        <w:rPr>
          <w:kern w:val="0"/>
        </w:rPr>
        <w:tab/>
      </w:r>
      <w:r>
        <w:rPr>
          <w:kern w:val="0"/>
        </w:rPr>
        <w:fldChar w:fldCharType="begin"/>
      </w:r>
      <w:r>
        <w:rPr>
          <w:kern w:val="0"/>
        </w:rPr>
        <w:instrText xml:space="preserve">PAGEREF _Toc_3_3_0000000013 \h</w:instrText>
      </w:r>
      <w:r>
        <w:rPr>
          <w:kern w:val="0"/>
        </w:rPr>
        <w:fldChar w:fldCharType="separate"/>
      </w:r>
      <w:r>
        <w:rPr>
          <w:kern w:val="0"/>
        </w:rPr>
        <w:t>15</w:t>
      </w:r>
      <w:r>
        <w:rPr>
          <w:kern w:val="0"/>
        </w:rPr>
        <w:fldChar w:fldCharType="end"/>
      </w:r>
      <w:r>
        <w:rPr>
          <w:kern w:val="0"/>
        </w:rPr>
        <w:fldChar w:fldCharType="end"/>
      </w:r>
    </w:p>
    <w:p>
      <w:pPr>
        <w:pStyle w:val="3"/>
        <w:widowControl/>
        <w:tabs>
          <w:tab w:val="right" w:leader="dot" w:pos="14562"/>
        </w:tabs>
        <w:jc w:val="left"/>
        <w:rPr>
          <w:kern w:val="0"/>
        </w:rPr>
      </w:pPr>
      <w:r>
        <w:rPr>
          <w:kern w:val="0"/>
        </w:rPr>
        <w:fldChar w:fldCharType="begin"/>
      </w:r>
      <w:r>
        <w:rPr>
          <w:kern w:val="0"/>
        </w:rPr>
        <w:instrText xml:space="preserve"> HYPERLINK \l "_Toc_3_3_0000000014" </w:instrText>
      </w:r>
      <w:r>
        <w:rPr>
          <w:kern w:val="0"/>
        </w:rPr>
        <w:fldChar w:fldCharType="separate"/>
      </w:r>
      <w:r>
        <w:rPr>
          <w:kern w:val="0"/>
        </w:rPr>
        <w:t>五、预算绩效信息</w:t>
      </w:r>
      <w:r>
        <w:rPr>
          <w:kern w:val="0"/>
        </w:rPr>
        <w:tab/>
      </w:r>
      <w:r>
        <w:rPr>
          <w:kern w:val="0"/>
        </w:rPr>
        <w:fldChar w:fldCharType="begin"/>
      </w:r>
      <w:r>
        <w:rPr>
          <w:kern w:val="0"/>
        </w:rPr>
        <w:instrText xml:space="preserve">PAGEREF _Toc_3_3_0000000014 \h</w:instrText>
      </w:r>
      <w:r>
        <w:rPr>
          <w:kern w:val="0"/>
        </w:rPr>
        <w:fldChar w:fldCharType="separate"/>
      </w:r>
      <w:r>
        <w:rPr>
          <w:kern w:val="0"/>
        </w:rPr>
        <w:t>15</w:t>
      </w:r>
      <w:r>
        <w:rPr>
          <w:kern w:val="0"/>
        </w:rPr>
        <w:fldChar w:fldCharType="end"/>
      </w:r>
      <w:r>
        <w:rPr>
          <w:kern w:val="0"/>
        </w:rPr>
        <w:fldChar w:fldCharType="end"/>
      </w:r>
    </w:p>
    <w:p>
      <w:pPr>
        <w:pStyle w:val="3"/>
        <w:widowControl/>
        <w:tabs>
          <w:tab w:val="right" w:leader="dot" w:pos="14562"/>
        </w:tabs>
        <w:jc w:val="left"/>
        <w:rPr>
          <w:kern w:val="0"/>
        </w:rPr>
      </w:pPr>
      <w:r>
        <w:rPr>
          <w:kern w:val="0"/>
        </w:rPr>
        <w:fldChar w:fldCharType="begin"/>
      </w:r>
      <w:r>
        <w:rPr>
          <w:kern w:val="0"/>
        </w:rPr>
        <w:instrText xml:space="preserve"> HYPERLINK \l "_Toc_3_3_0000000015" </w:instrText>
      </w:r>
      <w:r>
        <w:rPr>
          <w:kern w:val="0"/>
        </w:rPr>
        <w:fldChar w:fldCharType="separate"/>
      </w:r>
      <w:r>
        <w:rPr>
          <w:kern w:val="0"/>
        </w:rPr>
        <w:t>六、政府采购预算情况</w:t>
      </w:r>
      <w:r>
        <w:rPr>
          <w:kern w:val="0"/>
        </w:rPr>
        <w:tab/>
      </w:r>
      <w:r>
        <w:rPr>
          <w:kern w:val="0"/>
        </w:rPr>
        <w:fldChar w:fldCharType="begin"/>
      </w:r>
      <w:r>
        <w:rPr>
          <w:kern w:val="0"/>
        </w:rPr>
        <w:instrText xml:space="preserve">PAGEREF _Toc_3_3_0000000015 \h</w:instrText>
      </w:r>
      <w:r>
        <w:rPr>
          <w:kern w:val="0"/>
        </w:rPr>
        <w:fldChar w:fldCharType="separate"/>
      </w:r>
      <w:r>
        <w:rPr>
          <w:kern w:val="0"/>
        </w:rPr>
        <w:t>23</w:t>
      </w:r>
      <w:r>
        <w:rPr>
          <w:kern w:val="0"/>
        </w:rPr>
        <w:fldChar w:fldCharType="end"/>
      </w:r>
      <w:r>
        <w:rPr>
          <w:kern w:val="0"/>
        </w:rPr>
        <w:fldChar w:fldCharType="end"/>
      </w:r>
    </w:p>
    <w:p>
      <w:pPr>
        <w:pStyle w:val="3"/>
        <w:widowControl/>
        <w:tabs>
          <w:tab w:val="right" w:leader="dot" w:pos="14562"/>
        </w:tabs>
        <w:jc w:val="left"/>
        <w:rPr>
          <w:kern w:val="0"/>
        </w:rPr>
      </w:pPr>
      <w:r>
        <w:rPr>
          <w:kern w:val="0"/>
        </w:rPr>
        <w:fldChar w:fldCharType="begin"/>
      </w:r>
      <w:r>
        <w:rPr>
          <w:kern w:val="0"/>
        </w:rPr>
        <w:instrText xml:space="preserve"> HYPERLINK \l "_Toc_3_3_0000000016" </w:instrText>
      </w:r>
      <w:r>
        <w:rPr>
          <w:kern w:val="0"/>
        </w:rPr>
        <w:fldChar w:fldCharType="separate"/>
      </w:r>
      <w:r>
        <w:rPr>
          <w:kern w:val="0"/>
        </w:rPr>
        <w:t>七、国有资产信息</w:t>
      </w:r>
      <w:r>
        <w:rPr>
          <w:kern w:val="0"/>
        </w:rPr>
        <w:tab/>
      </w:r>
      <w:r>
        <w:rPr>
          <w:kern w:val="0"/>
        </w:rPr>
        <w:fldChar w:fldCharType="begin"/>
      </w:r>
      <w:r>
        <w:rPr>
          <w:kern w:val="0"/>
        </w:rPr>
        <w:instrText xml:space="preserve">PAGEREF _Toc_3_3_0000000016 \h</w:instrText>
      </w:r>
      <w:r>
        <w:rPr>
          <w:kern w:val="0"/>
        </w:rPr>
        <w:fldChar w:fldCharType="separate"/>
      </w:r>
      <w:r>
        <w:rPr>
          <w:kern w:val="0"/>
        </w:rPr>
        <w:t>23</w:t>
      </w:r>
      <w:r>
        <w:rPr>
          <w:kern w:val="0"/>
        </w:rPr>
        <w:fldChar w:fldCharType="end"/>
      </w:r>
      <w:r>
        <w:rPr>
          <w:kern w:val="0"/>
        </w:rPr>
        <w:fldChar w:fldCharType="end"/>
      </w:r>
    </w:p>
    <w:p>
      <w:pPr>
        <w:pStyle w:val="3"/>
        <w:widowControl/>
        <w:tabs>
          <w:tab w:val="right" w:leader="dot" w:pos="14562"/>
        </w:tabs>
        <w:jc w:val="left"/>
        <w:rPr>
          <w:kern w:val="0"/>
        </w:rPr>
      </w:pPr>
      <w:r>
        <w:rPr>
          <w:kern w:val="0"/>
        </w:rPr>
        <w:fldChar w:fldCharType="begin"/>
      </w:r>
      <w:r>
        <w:rPr>
          <w:kern w:val="0"/>
        </w:rPr>
        <w:instrText xml:space="preserve"> HYPERLINK \l "_Toc_3_3_0000000017" </w:instrText>
      </w:r>
      <w:r>
        <w:rPr>
          <w:kern w:val="0"/>
        </w:rPr>
        <w:fldChar w:fldCharType="separate"/>
      </w:r>
      <w:r>
        <w:rPr>
          <w:kern w:val="0"/>
        </w:rPr>
        <w:t>八、名词解释</w:t>
      </w:r>
      <w:r>
        <w:rPr>
          <w:kern w:val="0"/>
        </w:rPr>
        <w:tab/>
      </w:r>
      <w:r>
        <w:rPr>
          <w:kern w:val="0"/>
        </w:rPr>
        <w:fldChar w:fldCharType="begin"/>
      </w:r>
      <w:r>
        <w:rPr>
          <w:kern w:val="0"/>
        </w:rPr>
        <w:instrText xml:space="preserve">PAGEREF _Toc_3_3_0000000017 \h</w:instrText>
      </w:r>
      <w:r>
        <w:rPr>
          <w:kern w:val="0"/>
        </w:rPr>
        <w:fldChar w:fldCharType="separate"/>
      </w:r>
      <w:r>
        <w:rPr>
          <w:kern w:val="0"/>
        </w:rPr>
        <w:t>23</w:t>
      </w:r>
      <w:r>
        <w:rPr>
          <w:kern w:val="0"/>
        </w:rPr>
        <w:fldChar w:fldCharType="end"/>
      </w:r>
      <w:r>
        <w:rPr>
          <w:kern w:val="0"/>
        </w:rPr>
        <w:fldChar w:fldCharType="end"/>
      </w:r>
    </w:p>
    <w:p>
      <w:pPr>
        <w:pStyle w:val="3"/>
        <w:widowControl/>
        <w:tabs>
          <w:tab w:val="right" w:leader="dot" w:pos="14562"/>
        </w:tabs>
        <w:jc w:val="left"/>
        <w:rPr>
          <w:kern w:val="0"/>
        </w:rPr>
      </w:pPr>
      <w:r>
        <w:rPr>
          <w:kern w:val="0"/>
        </w:rPr>
        <w:fldChar w:fldCharType="begin"/>
      </w:r>
      <w:r>
        <w:rPr>
          <w:kern w:val="0"/>
        </w:rPr>
        <w:instrText xml:space="preserve"> HYPERLINK \l "_Toc_3_3_0000000018" </w:instrText>
      </w:r>
      <w:r>
        <w:rPr>
          <w:kern w:val="0"/>
        </w:rPr>
        <w:fldChar w:fldCharType="separate"/>
      </w:r>
      <w:r>
        <w:rPr>
          <w:kern w:val="0"/>
        </w:rPr>
        <w:t>九、其他需要说明的事项</w:t>
      </w:r>
      <w:r>
        <w:rPr>
          <w:kern w:val="0"/>
        </w:rPr>
        <w:tab/>
      </w:r>
      <w:r>
        <w:rPr>
          <w:kern w:val="0"/>
        </w:rPr>
        <w:fldChar w:fldCharType="begin"/>
      </w:r>
      <w:r>
        <w:rPr>
          <w:kern w:val="0"/>
        </w:rPr>
        <w:instrText xml:space="preserve">PAGEREF _Toc_3_3_0000000018 \h</w:instrText>
      </w:r>
      <w:r>
        <w:rPr>
          <w:kern w:val="0"/>
        </w:rPr>
        <w:fldChar w:fldCharType="separate"/>
      </w:r>
      <w:r>
        <w:rPr>
          <w:kern w:val="0"/>
        </w:rPr>
        <w:t>24</w:t>
      </w:r>
      <w:r>
        <w:rPr>
          <w:kern w:val="0"/>
        </w:rPr>
        <w:fldChar w:fldCharType="end"/>
      </w:r>
      <w:r>
        <w:rPr>
          <w:kern w:val="0"/>
        </w:rPr>
        <w:fldChar w:fldCharType="end"/>
      </w:r>
    </w:p>
    <w:p>
      <w:pPr>
        <w:widowControl/>
        <w:jc w:val="left"/>
        <w:rPr>
          <w:rFonts w:ascii="Times New Roman" w:hAnsi="Times New Roman" w:eastAsia="Times New Roman"/>
          <w:kern w:val="0"/>
          <w:sz w:val="24"/>
          <w:lang w:eastAsia="uk-UA"/>
        </w:rPr>
      </w:pPr>
      <w:r>
        <w:rPr>
          <w:rFonts w:ascii="Times New Roman" w:hAnsi="Times New Roman" w:eastAsia="Times New Roman"/>
          <w:kern w:val="0"/>
          <w:sz w:val="24"/>
          <w:lang w:eastAsia="uk-UA"/>
        </w:rPr>
        <w:fldChar w:fldCharType="end"/>
      </w:r>
    </w:p>
    <w:p>
      <w:pPr>
        <w:widowControl/>
        <w:spacing w:before="0" w:after="0" w:line="240" w:lineRule="auto"/>
        <w:ind w:firstLine="0"/>
        <w:jc w:val="center"/>
        <w:outlineLvl w:val="9"/>
        <w:rPr>
          <w:rFonts w:ascii="Times New Roman" w:hAnsi="Times New Roman" w:eastAsia="Times New Roman"/>
          <w:kern w:val="0"/>
          <w:sz w:val="24"/>
          <w:lang w:eastAsia="uk-UA"/>
        </w:rPr>
      </w:pPr>
      <w:r>
        <w:rPr>
          <w:rFonts w:ascii="黑体" w:hAnsi="黑体" w:eastAsia="黑体" w:cs="黑体"/>
          <w:b/>
          <w:color w:val="000000"/>
          <w:kern w:val="0"/>
          <w:sz w:val="30"/>
          <w:lang w:eastAsia="uk-UA"/>
        </w:rPr>
        <w:t>第二部分  部门所属单位预算</w:t>
      </w:r>
    </w:p>
    <w:p>
      <w:pPr>
        <w:pStyle w:val="3"/>
        <w:widowControl/>
        <w:tabs>
          <w:tab w:val="right" w:leader="dot" w:pos="14562"/>
        </w:tabs>
        <w:jc w:val="left"/>
        <w:rPr>
          <w:kern w:val="0"/>
        </w:rPr>
      </w:pPr>
      <w:r>
        <w:rPr>
          <w:kern w:val="0"/>
        </w:rPr>
        <w:fldChar w:fldCharType="begin"/>
      </w:r>
      <w:r>
        <w:rPr>
          <w:kern w:val="0"/>
        </w:rPr>
        <w:instrText xml:space="preserve">TOC \o "4-4" \h \z \u</w:instrText>
      </w:r>
      <w:r>
        <w:rPr>
          <w:kern w:val="0"/>
        </w:rPr>
        <w:fldChar w:fldCharType="separate"/>
      </w:r>
      <w:r>
        <w:rPr>
          <w:kern w:val="0"/>
        </w:rPr>
        <w:fldChar w:fldCharType="begin"/>
      </w:r>
      <w:r>
        <w:rPr>
          <w:kern w:val="0"/>
        </w:rPr>
        <w:instrText xml:space="preserve"> HYPERLINK \l "_Toc_4_4_0000000019" </w:instrText>
      </w:r>
      <w:r>
        <w:rPr>
          <w:kern w:val="0"/>
        </w:rPr>
        <w:fldChar w:fldCharType="separate"/>
      </w:r>
      <w:r>
        <w:rPr>
          <w:b w:val="0"/>
          <w:kern w:val="0"/>
        </w:rPr>
        <w:t>一、北戴河生命健康产业研究院本级收支预算</w:t>
      </w:r>
      <w:r>
        <w:rPr>
          <w:kern w:val="0"/>
        </w:rPr>
        <w:tab/>
      </w:r>
      <w:r>
        <w:rPr>
          <w:kern w:val="0"/>
        </w:rPr>
        <w:fldChar w:fldCharType="begin"/>
      </w:r>
      <w:r>
        <w:rPr>
          <w:kern w:val="0"/>
        </w:rPr>
        <w:instrText xml:space="preserve">PAGEREF _Toc_4_4_0000000019 \h</w:instrText>
      </w:r>
      <w:r>
        <w:rPr>
          <w:kern w:val="0"/>
        </w:rPr>
        <w:fldChar w:fldCharType="separate"/>
      </w:r>
      <w:r>
        <w:rPr>
          <w:kern w:val="0"/>
        </w:rPr>
        <w:t>26</w:t>
      </w:r>
      <w:r>
        <w:rPr>
          <w:kern w:val="0"/>
        </w:rPr>
        <w:fldChar w:fldCharType="end"/>
      </w:r>
      <w:r>
        <w:rPr>
          <w:kern w:val="0"/>
        </w:rPr>
        <w:fldChar w:fldCharType="end"/>
      </w:r>
    </w:p>
    <w:p>
      <w:pPr>
        <w:sectPr>
          <w:pgSz w:w="16840" w:h="11900" w:orient="landscape"/>
          <w:pgMar w:top="1587" w:right="1134" w:bottom="1361" w:left="1134" w:header="720" w:footer="720" w:gutter="0"/>
          <w:pgNumType w:start="1"/>
        </w:sectPr>
      </w:pPr>
      <w:r>
        <w:rPr>
          <w:rFonts w:ascii="Times New Roman" w:hAnsi="Times New Roman" w:eastAsia="Times New Roman"/>
          <w:kern w:val="0"/>
          <w:sz w:val="24"/>
          <w:lang w:eastAsia="uk-UA"/>
        </w:rPr>
        <w:fldChar w:fldCharType="end"/>
      </w:r>
    </w:p>
    <w:p>
      <w:pPr>
        <w:widowControl/>
        <w:spacing w:before="0" w:after="0" w:line="240" w:lineRule="auto"/>
        <w:ind w:firstLine="0"/>
        <w:jc w:val="center"/>
        <w:outlineLvl w:val="9"/>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44"/>
          <w:lang w:eastAsia="uk-UA"/>
        </w:rPr>
        <w:t xml:space="preserve"> </w:t>
      </w:r>
    </w:p>
    <w:p>
      <w:pPr>
        <w:widowControl/>
        <w:spacing w:before="0" w:after="0" w:line="240" w:lineRule="auto"/>
        <w:ind w:firstLine="0"/>
        <w:jc w:val="center"/>
        <w:outlineLvl w:val="9"/>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44"/>
          <w:lang w:eastAsia="uk-UA"/>
        </w:rPr>
        <w:t xml:space="preserve"> </w:t>
      </w:r>
    </w:p>
    <w:p>
      <w:pPr>
        <w:widowControl/>
        <w:spacing w:before="0" w:after="0" w:line="240" w:lineRule="auto"/>
        <w:ind w:firstLine="0"/>
        <w:jc w:val="center"/>
        <w:outlineLvl w:val="9"/>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44"/>
          <w:lang w:eastAsia="uk-UA"/>
        </w:rPr>
        <w:t xml:space="preserve"> </w:t>
      </w:r>
    </w:p>
    <w:p>
      <w:pPr>
        <w:widowControl/>
        <w:spacing w:before="0" w:after="0" w:line="240" w:lineRule="auto"/>
        <w:ind w:firstLine="0"/>
        <w:jc w:val="center"/>
        <w:outlineLvl w:val="9"/>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44"/>
          <w:lang w:eastAsia="uk-UA"/>
        </w:rPr>
        <w:t xml:space="preserve"> </w:t>
      </w:r>
    </w:p>
    <w:p>
      <w:pPr>
        <w:widowControl/>
        <w:spacing w:before="0" w:after="0" w:line="240" w:lineRule="auto"/>
        <w:ind w:firstLine="0"/>
        <w:jc w:val="center"/>
        <w:outlineLvl w:val="9"/>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44"/>
          <w:lang w:eastAsia="uk-UA"/>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kern w:val="0"/>
          <w:sz w:val="72"/>
          <w:lang w:eastAsia="uk-UA"/>
        </w:rPr>
        <w:t>第一部分  部门预算</w:t>
      </w:r>
    </w:p>
    <w:p>
      <w:pPr>
        <w:jc w:val="center"/>
        <w:outlineLvl w:val="1"/>
        <w:rPr>
          <w:rFonts w:hint="default" w:ascii="Times New Roman" w:hAnsi="Times New Roman" w:eastAsia="宋体" w:cs="Times New Roman"/>
          <w:sz w:val="36"/>
          <w:szCs w:val="22"/>
        </w:rPr>
      </w:pPr>
      <w:r>
        <w:rPr>
          <w:rFonts w:hint="default" w:ascii="Times New Roman" w:hAnsi="Times New Roman" w:eastAsia="方正小标宋_GBK" w:cs="Times New Roman"/>
          <w:sz w:val="36"/>
          <w:szCs w:val="22"/>
        </w:rPr>
        <w:t>部门预算收支总表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hint="default" w:ascii="Times New Roman" w:hAnsi="Times New Roman" w:eastAsia="方正小标宋_GBK" w:cs="Times New Roman"/>
                <w:sz w:val="24"/>
                <w:szCs w:val="22"/>
                <w:lang w:val="en-US" w:eastAsia="zh-CN"/>
              </w:rPr>
            </w:pPr>
            <w:r>
              <w:rPr>
                <w:rFonts w:hint="eastAsia" w:ascii="Times New Roman" w:hAnsi="Times New Roman" w:eastAsia="方正小标宋_GBK" w:cs="Times New Roman"/>
                <w:sz w:val="24"/>
                <w:szCs w:val="22"/>
                <w:lang w:val="en-US" w:eastAsia="zh-CN"/>
              </w:rPr>
              <w:t>901北戴河生命健康产业研究院</w:t>
            </w:r>
          </w:p>
        </w:tc>
        <w:tc>
          <w:tcPr>
            <w:tcW w:w="2126" w:type="dxa"/>
            <w:tcBorders>
              <w:top w:val="single" w:color="FFFFFF" w:sz="6" w:space="0"/>
              <w:left w:val="single" w:color="FFFFFF" w:sz="6" w:space="0"/>
              <w:right w:val="single" w:color="FFFFFF" w:sz="6" w:space="0"/>
            </w:tcBorders>
            <w:noWrap w:val="0"/>
            <w:vAlign w:val="center"/>
          </w:tcPr>
          <w:p>
            <w:pPr>
              <w:spacing w:line="300" w:lineRule="exact"/>
              <w:jc w:val="center"/>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预算年度：2021</w:t>
            </w:r>
          </w:p>
        </w:tc>
        <w:tc>
          <w:tcPr>
            <w:tcW w:w="6661"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序号</w:t>
            </w:r>
          </w:p>
        </w:tc>
        <w:tc>
          <w:tcPr>
            <w:tcW w:w="6661" w:type="dxa"/>
            <w:gridSpan w:val="2"/>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收入</w:t>
            </w:r>
          </w:p>
        </w:tc>
        <w:tc>
          <w:tcPr>
            <w:tcW w:w="6661" w:type="dxa"/>
            <w:gridSpan w:val="2"/>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项  目</w:t>
            </w:r>
          </w:p>
        </w:tc>
        <w:tc>
          <w:tcPr>
            <w:tcW w:w="2126"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预算数</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项  目</w:t>
            </w:r>
          </w:p>
        </w:tc>
        <w:tc>
          <w:tcPr>
            <w:tcW w:w="2126"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栏次</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1</w:t>
            </w:r>
          </w:p>
        </w:tc>
        <w:tc>
          <w:tcPr>
            <w:tcW w:w="2126"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3</w:t>
            </w:r>
          </w:p>
        </w:tc>
        <w:tc>
          <w:tcPr>
            <w:tcW w:w="2126"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一、一般公共预算拨款收入</w:t>
            </w:r>
          </w:p>
        </w:tc>
        <w:tc>
          <w:tcPr>
            <w:tcW w:w="2126"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233.83</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一、一般公共服务支出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二、政府性基金预算拨款收入</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二、外交支出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三、国有资本经营预算拨款收入</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三、国防支出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4</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四、财政专户管理资金收入</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四、公共安全支出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5</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五、事业收入</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五、教育支出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6</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六、事业单位经营收入</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六、科学技术支出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125.85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7</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七、上级补助收入</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七、文化旅游体育与传媒支出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8</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八、附属单位上缴收入</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八、社会保障和就业支出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9</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九、其他收入</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九、社会保险基金支出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10</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十、卫生健康支出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11</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十一、节能环保支出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12</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十二、城乡社区支出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13</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十三、农林水支出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14</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十四、交通运输支出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15</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十五、资源勘探工业信息等支出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16</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十六、商业服务业等支出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17</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十七、金融支出</w:t>
            </w:r>
          </w:p>
        </w:tc>
        <w:tc>
          <w:tcPr>
            <w:tcW w:w="2126" w:type="dxa"/>
            <w:noWrap w:val="0"/>
            <w:vAlign w:val="center"/>
          </w:tcPr>
          <w:p>
            <w:pPr>
              <w:spacing w:line="300" w:lineRule="exact"/>
              <w:jc w:val="right"/>
              <w:rPr>
                <w:rFonts w:hint="eastAsia" w:ascii="Times New Roman" w:hAnsi="Times New Roman" w:eastAsia="方正书宋_GBK" w:cs="Times New Roman"/>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18</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十八、援助其他地区支出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19</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十九、自然资源海洋气象等支出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20</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二十、住房保障支出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21</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二十一、粮油物资储备支出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22</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二十二、国有资本经营预算支出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23</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二十三、灾害防治及应急管理支出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24</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二十四、预备费</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25</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二十五、其他支出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26</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二十六、转移性支出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27</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二十七、债务还本支出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28</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二十八、债务付息支出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29</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二十九、债务发行费用支出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30</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三十、抗疫特别国债安排的支出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31</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本年收入合计</w:t>
            </w:r>
          </w:p>
        </w:tc>
        <w:tc>
          <w:tcPr>
            <w:tcW w:w="2126"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233.83</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本年支出合计</w:t>
            </w:r>
          </w:p>
        </w:tc>
        <w:tc>
          <w:tcPr>
            <w:tcW w:w="2126"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233.83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32</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上年结转结余</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年终结转结余</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33</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收入总计</w:t>
            </w:r>
          </w:p>
        </w:tc>
        <w:tc>
          <w:tcPr>
            <w:tcW w:w="2126"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233.83</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支出总计</w:t>
            </w:r>
          </w:p>
        </w:tc>
        <w:tc>
          <w:tcPr>
            <w:tcW w:w="2126"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233.83</w:t>
            </w:r>
          </w:p>
        </w:tc>
      </w:tr>
    </w:tbl>
    <w:p>
      <w:pPr>
        <w:spacing w:line="300" w:lineRule="exact"/>
        <w:jc w:val="left"/>
        <w:outlineLvl w:val="1"/>
        <w:rPr>
          <w:rFonts w:hint="default" w:ascii="Times New Roman" w:hAnsi="Times New Roman" w:cs="Times New Roman"/>
        </w:rPr>
        <w:sectPr>
          <w:footerReference r:id="rId5" w:type="default"/>
          <w:pgSz w:w="16839" w:h="11907" w:orient="landscape"/>
          <w:pgMar w:top="1587" w:right="1134" w:bottom="1361" w:left="1134" w:header="851" w:footer="992" w:gutter="0"/>
          <w:cols w:space="720" w:num="1"/>
          <w:docGrid w:type="lines" w:linePitch="312" w:charSpace="0"/>
        </w:sectPr>
      </w:pPr>
    </w:p>
    <w:p>
      <w:pPr>
        <w:jc w:val="center"/>
        <w:outlineLvl w:val="1"/>
        <w:rPr>
          <w:rFonts w:hint="default" w:ascii="Times New Roman" w:hAnsi="Times New Roman" w:eastAsia="宋体" w:cs="Times New Roman"/>
          <w:sz w:val="36"/>
          <w:szCs w:val="22"/>
        </w:rPr>
      </w:pPr>
      <w:r>
        <w:rPr>
          <w:rFonts w:hint="default" w:ascii="Times New Roman" w:hAnsi="Times New Roman" w:eastAsia="方正小标宋_GBK" w:cs="Times New Roman"/>
          <w:sz w:val="36"/>
          <w:szCs w:val="22"/>
        </w:rPr>
        <w:t>部门预算收入总表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022"/>
        <w:gridCol w:w="152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hint="eastAsia" w:ascii="Times New Roman" w:hAnsi="Times New Roman" w:eastAsia="方正小标宋_GBK" w:cs="Times New Roman"/>
                <w:sz w:val="24"/>
                <w:szCs w:val="22"/>
                <w:lang w:eastAsia="zh-CN"/>
              </w:rPr>
            </w:pPr>
            <w:r>
              <w:rPr>
                <w:rFonts w:hint="eastAsia" w:ascii="Times New Roman" w:hAnsi="Times New Roman" w:eastAsia="方正小标宋_GBK" w:cs="Times New Roman"/>
                <w:sz w:val="24"/>
                <w:szCs w:val="22"/>
                <w:lang w:val="en-US" w:eastAsia="zh-CN"/>
              </w:rPr>
              <w:t>901</w:t>
            </w:r>
            <w:r>
              <w:rPr>
                <w:rFonts w:hint="eastAsia" w:ascii="Times New Roman" w:hAnsi="Times New Roman" w:eastAsia="方正小标宋_GBK" w:cs="Times New Roman"/>
                <w:sz w:val="24"/>
                <w:szCs w:val="22"/>
                <w:lang w:eastAsia="zh-CN"/>
              </w:rPr>
              <w:t>北戴河生命健康产业研究院</w:t>
            </w:r>
          </w:p>
        </w:tc>
        <w:tc>
          <w:tcPr>
            <w:tcW w:w="3402" w:type="dxa"/>
            <w:gridSpan w:val="3"/>
            <w:tcBorders>
              <w:top w:val="single" w:color="FFFFFF" w:sz="6" w:space="0"/>
              <w:left w:val="single" w:color="FFFFFF" w:sz="6" w:space="0"/>
              <w:right w:val="single" w:color="FFFFFF" w:sz="6" w:space="0"/>
            </w:tcBorders>
            <w:noWrap w:val="0"/>
            <w:vAlign w:val="center"/>
          </w:tcPr>
          <w:p>
            <w:pPr>
              <w:spacing w:line="300" w:lineRule="exact"/>
              <w:jc w:val="center"/>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预算年度：2021</w:t>
            </w:r>
          </w:p>
        </w:tc>
        <w:tc>
          <w:tcPr>
            <w:tcW w:w="5670"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序号</w:t>
            </w:r>
          </w:p>
        </w:tc>
        <w:tc>
          <w:tcPr>
            <w:tcW w:w="2551" w:type="dxa"/>
            <w:gridSpan w:val="2"/>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功能分类科目</w:t>
            </w:r>
          </w:p>
        </w:tc>
        <w:tc>
          <w:tcPr>
            <w:tcW w:w="1134"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合计</w:t>
            </w:r>
          </w:p>
        </w:tc>
        <w:tc>
          <w:tcPr>
            <w:tcW w:w="9072" w:type="dxa"/>
            <w:gridSpan w:val="8"/>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本年收入</w:t>
            </w:r>
          </w:p>
        </w:tc>
        <w:tc>
          <w:tcPr>
            <w:tcW w:w="1134"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1022"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科目  编码</w:t>
            </w:r>
          </w:p>
        </w:tc>
        <w:tc>
          <w:tcPr>
            <w:tcW w:w="1529"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科目名称</w:t>
            </w:r>
          </w:p>
        </w:tc>
        <w:tc>
          <w:tcPr>
            <w:tcW w:w="1134"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小计</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财政拨款 收入</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财政专户 收入</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事业收入</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经营收入</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上级补助收入</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附属单位上缴收入</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其他收入</w:t>
            </w:r>
          </w:p>
        </w:tc>
        <w:tc>
          <w:tcPr>
            <w:tcW w:w="1134" w:type="dxa"/>
            <w:vMerge w:val="continue"/>
            <w:noWrap w:val="0"/>
            <w:vAlign w:val="center"/>
          </w:tcPr>
          <w:p>
            <w:pPr>
              <w:spacing w:line="300" w:lineRule="exact"/>
              <w:jc w:val="left"/>
              <w:outlineLvl w:val="1"/>
              <w:rPr>
                <w:rFonts w:hint="default" w:ascii="Times New Roman" w:hAnsi="Times New Roman" w:eastAsia="等线"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栏次</w:t>
            </w:r>
          </w:p>
        </w:tc>
        <w:tc>
          <w:tcPr>
            <w:tcW w:w="1022"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1</w:t>
            </w:r>
          </w:p>
        </w:tc>
        <w:tc>
          <w:tcPr>
            <w:tcW w:w="1529"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3</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4</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5</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6</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7</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8</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9</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10</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11</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w:t>
            </w:r>
          </w:p>
        </w:tc>
        <w:tc>
          <w:tcPr>
            <w:tcW w:w="1022" w:type="dxa"/>
            <w:noWrap w:val="0"/>
            <w:vAlign w:val="center"/>
          </w:tcPr>
          <w:p>
            <w:pPr>
              <w:spacing w:line="300" w:lineRule="exact"/>
              <w:jc w:val="left"/>
              <w:rPr>
                <w:rFonts w:hint="default" w:ascii="Times New Roman" w:hAnsi="Times New Roman" w:eastAsia="方正书宋_GBK" w:cs="Times New Roman"/>
                <w:b/>
                <w:szCs w:val="22"/>
              </w:rPr>
            </w:pPr>
          </w:p>
        </w:tc>
        <w:tc>
          <w:tcPr>
            <w:tcW w:w="1529"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合计</w:t>
            </w:r>
          </w:p>
        </w:tc>
        <w:tc>
          <w:tcPr>
            <w:tcW w:w="1134"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233.83</w:t>
            </w:r>
          </w:p>
        </w:tc>
        <w:tc>
          <w:tcPr>
            <w:tcW w:w="1134"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233.83</w:t>
            </w:r>
          </w:p>
        </w:tc>
        <w:tc>
          <w:tcPr>
            <w:tcW w:w="1134"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233.83</w:t>
            </w:r>
          </w:p>
        </w:tc>
        <w:tc>
          <w:tcPr>
            <w:tcW w:w="1134" w:type="dxa"/>
            <w:noWrap w:val="0"/>
            <w:vAlign w:val="center"/>
          </w:tcPr>
          <w:p>
            <w:pPr>
              <w:spacing w:line="300" w:lineRule="exact"/>
              <w:jc w:val="right"/>
              <w:rPr>
                <w:rFonts w:hint="default" w:ascii="Times New Roman" w:hAnsi="Times New Roman" w:eastAsia="方正书宋_GBK" w:cs="Times New Roman"/>
                <w:b/>
                <w:szCs w:val="22"/>
              </w:rPr>
            </w:pPr>
          </w:p>
        </w:tc>
        <w:tc>
          <w:tcPr>
            <w:tcW w:w="1134" w:type="dxa"/>
            <w:noWrap w:val="0"/>
            <w:vAlign w:val="center"/>
          </w:tcPr>
          <w:p>
            <w:pPr>
              <w:spacing w:line="300" w:lineRule="exact"/>
              <w:jc w:val="right"/>
              <w:rPr>
                <w:rFonts w:hint="default" w:ascii="Times New Roman" w:hAnsi="Times New Roman" w:eastAsia="方正书宋_GBK" w:cs="Times New Roman"/>
                <w:b/>
                <w:szCs w:val="22"/>
              </w:rPr>
            </w:pPr>
          </w:p>
        </w:tc>
        <w:tc>
          <w:tcPr>
            <w:tcW w:w="1134" w:type="dxa"/>
            <w:noWrap w:val="0"/>
            <w:vAlign w:val="center"/>
          </w:tcPr>
          <w:p>
            <w:pPr>
              <w:spacing w:line="300" w:lineRule="exact"/>
              <w:jc w:val="right"/>
              <w:rPr>
                <w:rFonts w:hint="default" w:ascii="Times New Roman" w:hAnsi="Times New Roman" w:eastAsia="方正书宋_GBK" w:cs="Times New Roman"/>
                <w:b/>
                <w:szCs w:val="22"/>
              </w:rPr>
            </w:pPr>
          </w:p>
        </w:tc>
        <w:tc>
          <w:tcPr>
            <w:tcW w:w="1134" w:type="dxa"/>
            <w:noWrap w:val="0"/>
            <w:vAlign w:val="center"/>
          </w:tcPr>
          <w:p>
            <w:pPr>
              <w:spacing w:line="300" w:lineRule="exact"/>
              <w:jc w:val="right"/>
              <w:rPr>
                <w:rFonts w:hint="default" w:ascii="Times New Roman" w:hAnsi="Times New Roman" w:eastAsia="方正书宋_GBK" w:cs="Times New Roman"/>
                <w:b/>
                <w:szCs w:val="22"/>
              </w:rPr>
            </w:pPr>
          </w:p>
        </w:tc>
        <w:tc>
          <w:tcPr>
            <w:tcW w:w="1134" w:type="dxa"/>
            <w:noWrap w:val="0"/>
            <w:vAlign w:val="center"/>
          </w:tcPr>
          <w:p>
            <w:pPr>
              <w:spacing w:line="300" w:lineRule="exact"/>
              <w:jc w:val="right"/>
              <w:rPr>
                <w:rFonts w:hint="default" w:ascii="Times New Roman" w:hAnsi="Times New Roman" w:eastAsia="方正书宋_GBK" w:cs="Times New Roman"/>
                <w:b/>
                <w:szCs w:val="22"/>
              </w:rPr>
            </w:pPr>
          </w:p>
        </w:tc>
        <w:tc>
          <w:tcPr>
            <w:tcW w:w="1134" w:type="dxa"/>
            <w:noWrap w:val="0"/>
            <w:vAlign w:val="center"/>
          </w:tcPr>
          <w:p>
            <w:pPr>
              <w:spacing w:line="300" w:lineRule="exact"/>
              <w:jc w:val="right"/>
              <w:rPr>
                <w:rFonts w:hint="default" w:ascii="Times New Roman" w:hAnsi="Times New Roman" w:eastAsia="方正书宋_GBK" w:cs="Times New Roman"/>
                <w:b/>
                <w:szCs w:val="22"/>
              </w:rPr>
            </w:pPr>
          </w:p>
        </w:tc>
        <w:tc>
          <w:tcPr>
            <w:tcW w:w="1134" w:type="dxa"/>
            <w:noWrap w:val="0"/>
            <w:vAlign w:val="center"/>
          </w:tcPr>
          <w:p>
            <w:pPr>
              <w:spacing w:line="300" w:lineRule="exact"/>
              <w:jc w:val="right"/>
              <w:rPr>
                <w:rFonts w:hint="default" w:ascii="Times New Roman" w:hAnsi="Times New Roman" w:eastAsia="方正书宋_GBK" w:cs="Times New Roman"/>
                <w:b/>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w:t>
            </w:r>
          </w:p>
        </w:tc>
        <w:tc>
          <w:tcPr>
            <w:tcW w:w="102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201</w:t>
            </w:r>
          </w:p>
        </w:tc>
        <w:tc>
          <w:tcPr>
            <w:tcW w:w="1529"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一般公共服务支出</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w:t>
            </w:r>
          </w:p>
        </w:tc>
        <w:tc>
          <w:tcPr>
            <w:tcW w:w="102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20103</w:t>
            </w:r>
          </w:p>
        </w:tc>
        <w:tc>
          <w:tcPr>
            <w:tcW w:w="1529"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政府办公厅（室）及相关机构事务</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4</w:t>
            </w:r>
          </w:p>
        </w:tc>
        <w:tc>
          <w:tcPr>
            <w:tcW w:w="102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2010305</w:t>
            </w:r>
          </w:p>
        </w:tc>
        <w:tc>
          <w:tcPr>
            <w:tcW w:w="1529"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专项业务及机关事务管理</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5</w:t>
            </w:r>
          </w:p>
        </w:tc>
        <w:tc>
          <w:tcPr>
            <w:tcW w:w="1022" w:type="dxa"/>
            <w:noWrap w:val="0"/>
            <w:vAlign w:val="center"/>
          </w:tcPr>
          <w:p>
            <w:pPr>
              <w:spacing w:line="300" w:lineRule="exact"/>
              <w:jc w:val="left"/>
              <w:rPr>
                <w:rFonts w:hint="default" w:ascii="Times New Roman" w:hAnsi="Times New Roman" w:eastAsia="方正书宋_GBK" w:cs="Times New Roman"/>
                <w:szCs w:val="22"/>
                <w:lang w:val="en-US" w:eastAsia="zh-CN"/>
              </w:rPr>
            </w:pPr>
            <w:r>
              <w:rPr>
                <w:rFonts w:hint="default" w:ascii="Times New Roman" w:hAnsi="Times New Roman" w:eastAsia="方正书宋_GBK" w:cs="Times New Roman"/>
                <w:szCs w:val="22"/>
              </w:rPr>
              <w:t>206</w:t>
            </w:r>
          </w:p>
        </w:tc>
        <w:tc>
          <w:tcPr>
            <w:tcW w:w="1529" w:type="dxa"/>
            <w:noWrap w:val="0"/>
            <w:vAlign w:val="center"/>
          </w:tcPr>
          <w:p>
            <w:pPr>
              <w:spacing w:line="300" w:lineRule="exact"/>
              <w:jc w:val="lef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科学技术支出</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125.85</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125.85</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125.85</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6</w:t>
            </w:r>
          </w:p>
        </w:tc>
        <w:tc>
          <w:tcPr>
            <w:tcW w:w="1022" w:type="dxa"/>
            <w:noWrap w:val="0"/>
            <w:vAlign w:val="center"/>
          </w:tcPr>
          <w:p>
            <w:pPr>
              <w:spacing w:line="300" w:lineRule="exact"/>
              <w:jc w:val="left"/>
              <w:rPr>
                <w:rFonts w:hint="default" w:ascii="Times New Roman" w:hAnsi="Times New Roman" w:eastAsia="方正书宋_GBK" w:cs="Times New Roman"/>
                <w:szCs w:val="22"/>
                <w:lang w:val="en-US" w:eastAsia="zh-CN"/>
              </w:rPr>
            </w:pPr>
            <w:r>
              <w:rPr>
                <w:rFonts w:hint="default" w:ascii="Times New Roman" w:hAnsi="Times New Roman" w:eastAsia="方正书宋_GBK" w:cs="Times New Roman"/>
                <w:szCs w:val="22"/>
              </w:rPr>
              <w:t>20604</w:t>
            </w:r>
          </w:p>
        </w:tc>
        <w:tc>
          <w:tcPr>
            <w:tcW w:w="1529" w:type="dxa"/>
            <w:noWrap w:val="0"/>
            <w:vAlign w:val="center"/>
          </w:tcPr>
          <w:p>
            <w:pPr>
              <w:spacing w:line="300" w:lineRule="exact"/>
              <w:jc w:val="lef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技术研究与开发</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125.85</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125.85</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125.85</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7</w:t>
            </w:r>
          </w:p>
        </w:tc>
        <w:tc>
          <w:tcPr>
            <w:tcW w:w="1022" w:type="dxa"/>
            <w:noWrap w:val="0"/>
            <w:vAlign w:val="center"/>
          </w:tcPr>
          <w:p>
            <w:pPr>
              <w:spacing w:line="300" w:lineRule="exact"/>
              <w:jc w:val="left"/>
              <w:rPr>
                <w:rFonts w:hint="default" w:ascii="Times New Roman" w:hAnsi="Times New Roman" w:eastAsia="方正书宋_GBK" w:cs="Times New Roman"/>
                <w:szCs w:val="22"/>
                <w:lang w:val="en-US" w:eastAsia="zh-CN"/>
              </w:rPr>
            </w:pPr>
            <w:r>
              <w:rPr>
                <w:rFonts w:hint="default" w:ascii="Times New Roman" w:hAnsi="Times New Roman" w:eastAsia="方正书宋_GBK" w:cs="Times New Roman"/>
                <w:szCs w:val="22"/>
              </w:rPr>
              <w:t>2060401</w:t>
            </w:r>
          </w:p>
        </w:tc>
        <w:tc>
          <w:tcPr>
            <w:tcW w:w="1529" w:type="dxa"/>
            <w:noWrap w:val="0"/>
            <w:vAlign w:val="center"/>
          </w:tcPr>
          <w:p>
            <w:pPr>
              <w:spacing w:line="300" w:lineRule="exact"/>
              <w:jc w:val="lef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机构运行</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57.85</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57.85</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57.85</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8</w:t>
            </w:r>
          </w:p>
        </w:tc>
        <w:tc>
          <w:tcPr>
            <w:tcW w:w="1022" w:type="dxa"/>
            <w:noWrap w:val="0"/>
            <w:vAlign w:val="center"/>
          </w:tcPr>
          <w:p>
            <w:pPr>
              <w:spacing w:line="300" w:lineRule="exact"/>
              <w:jc w:val="left"/>
              <w:rPr>
                <w:rFonts w:hint="default" w:ascii="Times New Roman" w:hAnsi="Times New Roman" w:eastAsia="方正书宋_GBK" w:cs="Times New Roman"/>
                <w:szCs w:val="22"/>
                <w:lang w:val="en-US" w:eastAsia="zh-CN"/>
              </w:rPr>
            </w:pPr>
            <w:r>
              <w:rPr>
                <w:rFonts w:hint="default" w:ascii="Times New Roman" w:hAnsi="Times New Roman" w:eastAsia="方正书宋_GBK" w:cs="Times New Roman"/>
                <w:szCs w:val="22"/>
              </w:rPr>
              <w:t>2060404</w:t>
            </w:r>
          </w:p>
        </w:tc>
        <w:tc>
          <w:tcPr>
            <w:tcW w:w="1529" w:type="dxa"/>
            <w:noWrap w:val="0"/>
            <w:vAlign w:val="center"/>
          </w:tcPr>
          <w:p>
            <w:pPr>
              <w:spacing w:line="300" w:lineRule="exact"/>
              <w:jc w:val="lef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科技成果转化与扩散</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68.00</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68.00</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68.00</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9</w:t>
            </w:r>
          </w:p>
        </w:tc>
        <w:tc>
          <w:tcPr>
            <w:tcW w:w="102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208</w:t>
            </w:r>
          </w:p>
        </w:tc>
        <w:tc>
          <w:tcPr>
            <w:tcW w:w="1529"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社会保障和就业支出</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6.64</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6.64</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10</w:t>
            </w:r>
          </w:p>
        </w:tc>
        <w:tc>
          <w:tcPr>
            <w:tcW w:w="102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20805</w:t>
            </w:r>
          </w:p>
        </w:tc>
        <w:tc>
          <w:tcPr>
            <w:tcW w:w="1529"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行政事业单位养老支出</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6.64</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6.64</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11</w:t>
            </w:r>
          </w:p>
        </w:tc>
        <w:tc>
          <w:tcPr>
            <w:tcW w:w="102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2080505</w:t>
            </w:r>
          </w:p>
        </w:tc>
        <w:tc>
          <w:tcPr>
            <w:tcW w:w="1529"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机关事业单位基本养老保险缴费支出</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6.64</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6.64</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12</w:t>
            </w:r>
          </w:p>
        </w:tc>
        <w:tc>
          <w:tcPr>
            <w:tcW w:w="102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210</w:t>
            </w:r>
          </w:p>
        </w:tc>
        <w:tc>
          <w:tcPr>
            <w:tcW w:w="1529"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卫生健康支出</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6.35</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6.35</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13</w:t>
            </w:r>
          </w:p>
        </w:tc>
        <w:tc>
          <w:tcPr>
            <w:tcW w:w="102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21011</w:t>
            </w:r>
          </w:p>
        </w:tc>
        <w:tc>
          <w:tcPr>
            <w:tcW w:w="1529"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行政事业单位医疗</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6.35</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6.35</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14</w:t>
            </w:r>
          </w:p>
        </w:tc>
        <w:tc>
          <w:tcPr>
            <w:tcW w:w="102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2101102</w:t>
            </w:r>
          </w:p>
        </w:tc>
        <w:tc>
          <w:tcPr>
            <w:tcW w:w="1529"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事业单位医疗</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6.35</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6.35</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15</w:t>
            </w:r>
          </w:p>
        </w:tc>
        <w:tc>
          <w:tcPr>
            <w:tcW w:w="102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221</w:t>
            </w:r>
          </w:p>
        </w:tc>
        <w:tc>
          <w:tcPr>
            <w:tcW w:w="1529"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住房保障支出</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4.98</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4.98</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16</w:t>
            </w:r>
          </w:p>
        </w:tc>
        <w:tc>
          <w:tcPr>
            <w:tcW w:w="102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22102</w:t>
            </w:r>
          </w:p>
        </w:tc>
        <w:tc>
          <w:tcPr>
            <w:tcW w:w="1529"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住房改革支出</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4.98</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4.98</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17</w:t>
            </w:r>
          </w:p>
        </w:tc>
        <w:tc>
          <w:tcPr>
            <w:tcW w:w="102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2210201</w:t>
            </w:r>
          </w:p>
        </w:tc>
        <w:tc>
          <w:tcPr>
            <w:tcW w:w="1529"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住房公积金</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4.98</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4.98</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bl>
    <w:p>
      <w:pPr>
        <w:spacing w:line="300" w:lineRule="exact"/>
        <w:jc w:val="left"/>
        <w:outlineLvl w:val="1"/>
        <w:rPr>
          <w:rFonts w:hint="default" w:ascii="Times New Roman" w:hAnsi="Times New Roman" w:cs="Times New Roman"/>
        </w:rPr>
        <w:sectPr>
          <w:pgSz w:w="16839" w:h="11907" w:orient="landscape"/>
          <w:pgMar w:top="1361" w:right="1020" w:bottom="1134" w:left="1020" w:header="851" w:footer="992" w:gutter="0"/>
          <w:cols w:space="720" w:num="1"/>
          <w:docGrid w:type="lines" w:linePitch="312" w:charSpace="0"/>
        </w:sectPr>
      </w:pPr>
    </w:p>
    <w:p>
      <w:pPr>
        <w:jc w:val="center"/>
        <w:outlineLvl w:val="1"/>
        <w:rPr>
          <w:rFonts w:hint="default" w:ascii="Times New Roman" w:hAnsi="Times New Roman" w:eastAsia="宋体" w:cs="Times New Roman"/>
          <w:sz w:val="36"/>
          <w:szCs w:val="22"/>
        </w:rPr>
      </w:pPr>
      <w:r>
        <w:rPr>
          <w:rFonts w:hint="default" w:ascii="Times New Roman" w:hAnsi="Times New Roman" w:eastAsia="方正小标宋_GBK" w:cs="Times New Roman"/>
          <w:sz w:val="36"/>
          <w:szCs w:val="22"/>
        </w:rPr>
        <w:t>部门预算支出总表</w:t>
      </w:r>
    </w:p>
    <w:tbl>
      <w:tblPr>
        <w:tblStyle w:val="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hint="default" w:ascii="Times New Roman" w:hAnsi="Times New Roman" w:eastAsia="方正小标宋_GBK" w:cs="Times New Roman"/>
                <w:sz w:val="24"/>
                <w:szCs w:val="22"/>
                <w:lang w:val="en-US" w:eastAsia="zh-CN"/>
              </w:rPr>
            </w:pPr>
            <w:r>
              <w:rPr>
                <w:rFonts w:hint="eastAsia" w:ascii="Times New Roman" w:hAnsi="Times New Roman" w:eastAsia="方正小标宋_GBK" w:cs="Times New Roman"/>
                <w:sz w:val="24"/>
                <w:szCs w:val="22"/>
                <w:lang w:val="en-US" w:eastAsia="zh-CN"/>
              </w:rPr>
              <w:t>901北戴河生命健康产业研究院</w:t>
            </w:r>
          </w:p>
        </w:tc>
        <w:tc>
          <w:tcPr>
            <w:tcW w:w="2722" w:type="dxa"/>
            <w:gridSpan w:val="2"/>
            <w:tcBorders>
              <w:top w:val="single" w:color="FFFFFF" w:sz="6" w:space="0"/>
              <w:left w:val="single" w:color="FFFFFF" w:sz="6" w:space="0"/>
              <w:right w:val="single" w:color="FFFFFF" w:sz="6" w:space="0"/>
            </w:tcBorders>
            <w:noWrap w:val="0"/>
            <w:vAlign w:val="center"/>
          </w:tcPr>
          <w:p>
            <w:pPr>
              <w:spacing w:line="300" w:lineRule="exact"/>
              <w:jc w:val="center"/>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预算年度：2021</w:t>
            </w:r>
          </w:p>
        </w:tc>
        <w:tc>
          <w:tcPr>
            <w:tcW w:w="5444"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序号</w:t>
            </w:r>
          </w:p>
        </w:tc>
        <w:tc>
          <w:tcPr>
            <w:tcW w:w="5527" w:type="dxa"/>
            <w:gridSpan w:val="2"/>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功能分类科目</w:t>
            </w:r>
          </w:p>
        </w:tc>
        <w:tc>
          <w:tcPr>
            <w:tcW w:w="1361"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合计</w:t>
            </w:r>
          </w:p>
        </w:tc>
        <w:tc>
          <w:tcPr>
            <w:tcW w:w="1361"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基本支出</w:t>
            </w:r>
          </w:p>
        </w:tc>
        <w:tc>
          <w:tcPr>
            <w:tcW w:w="1361"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项目支出</w:t>
            </w:r>
          </w:p>
        </w:tc>
        <w:tc>
          <w:tcPr>
            <w:tcW w:w="1361"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经营支出</w:t>
            </w:r>
          </w:p>
        </w:tc>
        <w:tc>
          <w:tcPr>
            <w:tcW w:w="1361"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上解上级 支出</w:t>
            </w:r>
          </w:p>
        </w:tc>
        <w:tc>
          <w:tcPr>
            <w:tcW w:w="1361"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992"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科目  编码</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科目名称</w:t>
            </w:r>
          </w:p>
        </w:tc>
        <w:tc>
          <w:tcPr>
            <w:tcW w:w="1361"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1361"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1361"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1361"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1361"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1361" w:type="dxa"/>
            <w:vMerge w:val="continue"/>
            <w:noWrap w:val="0"/>
            <w:vAlign w:val="center"/>
          </w:tcPr>
          <w:p>
            <w:pPr>
              <w:spacing w:line="300" w:lineRule="exact"/>
              <w:jc w:val="left"/>
              <w:outlineLvl w:val="1"/>
              <w:rPr>
                <w:rFonts w:hint="default" w:ascii="Times New Roman" w:hAnsi="Times New Roman" w:eastAsia="等线"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栏次</w:t>
            </w:r>
          </w:p>
        </w:tc>
        <w:tc>
          <w:tcPr>
            <w:tcW w:w="992"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1</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w:t>
            </w:r>
          </w:p>
        </w:tc>
        <w:tc>
          <w:tcPr>
            <w:tcW w:w="136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3</w:t>
            </w:r>
          </w:p>
        </w:tc>
        <w:tc>
          <w:tcPr>
            <w:tcW w:w="136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4</w:t>
            </w:r>
          </w:p>
        </w:tc>
        <w:tc>
          <w:tcPr>
            <w:tcW w:w="136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5</w:t>
            </w:r>
          </w:p>
        </w:tc>
        <w:tc>
          <w:tcPr>
            <w:tcW w:w="136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6</w:t>
            </w:r>
          </w:p>
        </w:tc>
        <w:tc>
          <w:tcPr>
            <w:tcW w:w="136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7</w:t>
            </w:r>
          </w:p>
        </w:tc>
        <w:tc>
          <w:tcPr>
            <w:tcW w:w="136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w:t>
            </w:r>
          </w:p>
        </w:tc>
        <w:tc>
          <w:tcPr>
            <w:tcW w:w="992" w:type="dxa"/>
            <w:noWrap w:val="0"/>
            <w:vAlign w:val="center"/>
          </w:tcPr>
          <w:p>
            <w:pPr>
              <w:spacing w:line="300" w:lineRule="exact"/>
              <w:jc w:val="left"/>
              <w:rPr>
                <w:rFonts w:hint="default" w:ascii="Times New Roman" w:hAnsi="Times New Roman" w:eastAsia="方正书宋_GBK" w:cs="Times New Roman"/>
                <w:b/>
                <w:szCs w:val="22"/>
              </w:rPr>
            </w:pP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合计</w:t>
            </w:r>
          </w:p>
        </w:tc>
        <w:tc>
          <w:tcPr>
            <w:tcW w:w="1361"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233.83</w:t>
            </w:r>
          </w:p>
        </w:tc>
        <w:tc>
          <w:tcPr>
            <w:tcW w:w="1361"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75.83</w:t>
            </w:r>
          </w:p>
        </w:tc>
        <w:tc>
          <w:tcPr>
            <w:tcW w:w="1361"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158.00</w:t>
            </w:r>
          </w:p>
        </w:tc>
        <w:tc>
          <w:tcPr>
            <w:tcW w:w="1361" w:type="dxa"/>
            <w:noWrap w:val="0"/>
            <w:vAlign w:val="center"/>
          </w:tcPr>
          <w:p>
            <w:pPr>
              <w:spacing w:line="300" w:lineRule="exact"/>
              <w:jc w:val="right"/>
              <w:rPr>
                <w:rFonts w:hint="default" w:ascii="Times New Roman" w:hAnsi="Times New Roman" w:eastAsia="方正书宋_GBK" w:cs="Times New Roman"/>
                <w:b/>
                <w:szCs w:val="22"/>
              </w:rPr>
            </w:pPr>
          </w:p>
        </w:tc>
        <w:tc>
          <w:tcPr>
            <w:tcW w:w="1361" w:type="dxa"/>
            <w:noWrap w:val="0"/>
            <w:vAlign w:val="center"/>
          </w:tcPr>
          <w:p>
            <w:pPr>
              <w:spacing w:line="300" w:lineRule="exact"/>
              <w:jc w:val="right"/>
              <w:rPr>
                <w:rFonts w:hint="default" w:ascii="Times New Roman" w:hAnsi="Times New Roman" w:eastAsia="方正书宋_GBK" w:cs="Times New Roman"/>
                <w:b/>
                <w:szCs w:val="22"/>
              </w:rPr>
            </w:pPr>
          </w:p>
        </w:tc>
        <w:tc>
          <w:tcPr>
            <w:tcW w:w="1361" w:type="dxa"/>
            <w:noWrap w:val="0"/>
            <w:vAlign w:val="center"/>
          </w:tcPr>
          <w:p>
            <w:pPr>
              <w:spacing w:line="300" w:lineRule="exact"/>
              <w:jc w:val="right"/>
              <w:rPr>
                <w:rFonts w:hint="default" w:ascii="Times New Roman" w:hAnsi="Times New Roman" w:eastAsia="方正书宋_GBK" w:cs="Times New Roman"/>
                <w:b/>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201</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一般公共服务支出</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20103</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政府办公厅（室）及相关机构事务</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4</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2010305</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专项业务及机关事务管理</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5</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206</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科学技术支出</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125.85</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57.85</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68.00</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6</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20604</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技术研究与开发</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125.85</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57.85</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68.00</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7</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2060401</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机构运行</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57.85</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57.85</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8</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2060404</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科技成果转化与扩散</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68.00</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68.00</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9</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208</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社会保障和就业支出</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10</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20805</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行政事业单位养老支出</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11</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2080505</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机关事业单位基本养老保险缴费支出</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12</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210</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卫生健康支出</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13</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21011</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行政事业单位医疗</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14</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2101102</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事业单位医疗</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15</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221</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住房保障支出</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16</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22102</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住房改革支出</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17</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2210201</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住房公积金</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bl>
    <w:p>
      <w:pPr>
        <w:spacing w:line="300" w:lineRule="exact"/>
        <w:jc w:val="left"/>
        <w:outlineLvl w:val="1"/>
        <w:rPr>
          <w:rFonts w:hint="default" w:ascii="Times New Roman" w:hAnsi="Times New Roman" w:cs="Times New Roman"/>
        </w:rPr>
        <w:sectPr>
          <w:pgSz w:w="16839" w:h="11907" w:orient="landscape"/>
          <w:pgMar w:top="1361" w:right="1020" w:bottom="1134" w:left="1020" w:header="851" w:footer="992" w:gutter="0"/>
          <w:cols w:space="720" w:num="1"/>
          <w:docGrid w:type="lines" w:linePitch="312" w:charSpace="0"/>
        </w:sectPr>
      </w:pPr>
    </w:p>
    <w:p>
      <w:pPr>
        <w:jc w:val="center"/>
        <w:outlineLvl w:val="1"/>
        <w:rPr>
          <w:rFonts w:hint="default" w:ascii="Times New Roman" w:hAnsi="Times New Roman" w:eastAsia="宋体" w:cs="Times New Roman"/>
          <w:sz w:val="36"/>
          <w:szCs w:val="22"/>
        </w:rPr>
      </w:pPr>
      <w:r>
        <w:rPr>
          <w:rFonts w:hint="default" w:ascii="Times New Roman" w:hAnsi="Times New Roman" w:eastAsia="方正小标宋_GBK" w:cs="Times New Roman"/>
          <w:sz w:val="36"/>
          <w:szCs w:val="22"/>
        </w:rPr>
        <w:t>部门预算财政拨款收支总表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hint="default" w:ascii="Times New Roman" w:hAnsi="Times New Roman" w:eastAsia="方正小标宋_GBK" w:cs="Times New Roman"/>
                <w:sz w:val="24"/>
                <w:szCs w:val="22"/>
                <w:lang w:val="en-US" w:eastAsia="zh-CN"/>
              </w:rPr>
            </w:pPr>
            <w:r>
              <w:rPr>
                <w:rFonts w:hint="eastAsia" w:ascii="Times New Roman" w:hAnsi="Times New Roman" w:eastAsia="方正小标宋_GBK" w:cs="Times New Roman"/>
                <w:sz w:val="24"/>
                <w:szCs w:val="22"/>
                <w:lang w:val="en-US" w:eastAsia="zh-CN"/>
              </w:rPr>
              <w:t>901北戴河生命健康产业研究院</w:t>
            </w:r>
          </w:p>
        </w:tc>
        <w:tc>
          <w:tcPr>
            <w:tcW w:w="3402" w:type="dxa"/>
            <w:tcBorders>
              <w:top w:val="single" w:color="FFFFFF" w:sz="6" w:space="0"/>
              <w:left w:val="single" w:color="FFFFFF" w:sz="6" w:space="0"/>
              <w:right w:val="single" w:color="FFFFFF" w:sz="6" w:space="0"/>
            </w:tcBorders>
            <w:noWrap w:val="0"/>
            <w:vAlign w:val="center"/>
          </w:tcPr>
          <w:p>
            <w:pPr>
              <w:spacing w:line="300" w:lineRule="exact"/>
              <w:jc w:val="center"/>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预算年度：2021</w:t>
            </w:r>
          </w:p>
        </w:tc>
        <w:tc>
          <w:tcPr>
            <w:tcW w:w="5896"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序号</w:t>
            </w:r>
          </w:p>
        </w:tc>
        <w:tc>
          <w:tcPr>
            <w:tcW w:w="4876" w:type="dxa"/>
            <w:gridSpan w:val="2"/>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收入</w:t>
            </w:r>
          </w:p>
        </w:tc>
        <w:tc>
          <w:tcPr>
            <w:tcW w:w="9298" w:type="dxa"/>
            <w:gridSpan w:val="5"/>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3402"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项  目</w:t>
            </w:r>
          </w:p>
        </w:tc>
        <w:tc>
          <w:tcPr>
            <w:tcW w:w="147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金额</w:t>
            </w:r>
          </w:p>
        </w:tc>
        <w:tc>
          <w:tcPr>
            <w:tcW w:w="3402"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项  目</w:t>
            </w:r>
          </w:p>
        </w:tc>
        <w:tc>
          <w:tcPr>
            <w:tcW w:w="147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合计</w:t>
            </w:r>
          </w:p>
        </w:tc>
        <w:tc>
          <w:tcPr>
            <w:tcW w:w="147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一般公共预算财政拨款</w:t>
            </w:r>
          </w:p>
        </w:tc>
        <w:tc>
          <w:tcPr>
            <w:tcW w:w="147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政府性基金预算财政拨款</w:t>
            </w:r>
          </w:p>
        </w:tc>
        <w:tc>
          <w:tcPr>
            <w:tcW w:w="147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栏次</w:t>
            </w:r>
          </w:p>
        </w:tc>
        <w:tc>
          <w:tcPr>
            <w:tcW w:w="3402"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1</w:t>
            </w:r>
          </w:p>
        </w:tc>
        <w:tc>
          <w:tcPr>
            <w:tcW w:w="147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w:t>
            </w:r>
          </w:p>
        </w:tc>
        <w:tc>
          <w:tcPr>
            <w:tcW w:w="3402"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3</w:t>
            </w:r>
          </w:p>
        </w:tc>
        <w:tc>
          <w:tcPr>
            <w:tcW w:w="147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4</w:t>
            </w:r>
          </w:p>
        </w:tc>
        <w:tc>
          <w:tcPr>
            <w:tcW w:w="147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5</w:t>
            </w:r>
          </w:p>
        </w:tc>
        <w:tc>
          <w:tcPr>
            <w:tcW w:w="147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6</w:t>
            </w:r>
          </w:p>
        </w:tc>
        <w:tc>
          <w:tcPr>
            <w:tcW w:w="147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w:t>
            </w: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一、一般公共预算拨款</w:t>
            </w:r>
          </w:p>
        </w:tc>
        <w:tc>
          <w:tcPr>
            <w:tcW w:w="147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233.83</w:t>
            </w: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一、一般公共服务支出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233.83</w:t>
            </w:r>
          </w:p>
        </w:tc>
        <w:tc>
          <w:tcPr>
            <w:tcW w:w="147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233.83</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w:t>
            </w: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二、政府性基金预算拨款</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二、外交支出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w:t>
            </w: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三、国有资本经营预算拨款</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三、国防支出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4</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四、公共安全支出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5</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五、教育支出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6</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六、科学技术支出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125.85</w:t>
            </w:r>
          </w:p>
        </w:tc>
        <w:tc>
          <w:tcPr>
            <w:tcW w:w="147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125.85</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7</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七、文化旅游体育与传媒支出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8</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八、社会保障和就业支出</w:t>
            </w:r>
          </w:p>
        </w:tc>
        <w:tc>
          <w:tcPr>
            <w:tcW w:w="147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6.64</w:t>
            </w:r>
          </w:p>
        </w:tc>
        <w:tc>
          <w:tcPr>
            <w:tcW w:w="147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6.64</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9</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九、社会保险基金支出</w:t>
            </w:r>
          </w:p>
        </w:tc>
        <w:tc>
          <w:tcPr>
            <w:tcW w:w="147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p>
        </w:tc>
        <w:tc>
          <w:tcPr>
            <w:tcW w:w="147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10</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十、卫生健康支出</w:t>
            </w:r>
          </w:p>
        </w:tc>
        <w:tc>
          <w:tcPr>
            <w:tcW w:w="147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6.35</w:t>
            </w:r>
          </w:p>
        </w:tc>
        <w:tc>
          <w:tcPr>
            <w:tcW w:w="147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6.35</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11</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十一、节能环保支出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12</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十二、城乡社区支出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13</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十三、农林水支出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14</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十四、交通运输支出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15</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十五、资源勘探工业信息等支出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16</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十六、商业服务业等支出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17</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十七、金融支出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18</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十八、援助其他地区支出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19</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十九、自然资源海洋气象等支出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20</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二十、住房保障支出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147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21</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二十一、粮油物资储备支出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22</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二十二、国有资本经营预算支出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23</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二十三、灾害防治及应急管理支出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24</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二十四、预备费</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25</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二十五、其他支出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26</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二十六、转移性支出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27</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二十七、债务还本支出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28</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二十八、债务付息支出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29</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二十九、债务发行费用支出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30</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三十、抗疫特别国债安排的支出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31</w:t>
            </w:r>
          </w:p>
        </w:tc>
        <w:tc>
          <w:tcPr>
            <w:tcW w:w="3402"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本年收入合计</w:t>
            </w:r>
          </w:p>
        </w:tc>
        <w:tc>
          <w:tcPr>
            <w:tcW w:w="1474"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233.83</w:t>
            </w:r>
          </w:p>
        </w:tc>
        <w:tc>
          <w:tcPr>
            <w:tcW w:w="3402"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本年支出合计</w:t>
            </w:r>
          </w:p>
        </w:tc>
        <w:tc>
          <w:tcPr>
            <w:tcW w:w="1474"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233.83</w:t>
            </w:r>
          </w:p>
        </w:tc>
        <w:tc>
          <w:tcPr>
            <w:tcW w:w="1474"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233.83</w:t>
            </w:r>
          </w:p>
        </w:tc>
        <w:tc>
          <w:tcPr>
            <w:tcW w:w="1474" w:type="dxa"/>
            <w:noWrap w:val="0"/>
            <w:vAlign w:val="center"/>
          </w:tcPr>
          <w:p>
            <w:pPr>
              <w:spacing w:line="300" w:lineRule="exact"/>
              <w:jc w:val="right"/>
              <w:rPr>
                <w:rFonts w:hint="default" w:ascii="Times New Roman" w:hAnsi="Times New Roman" w:eastAsia="方正书宋_GBK" w:cs="Times New Roman"/>
                <w:b/>
                <w:szCs w:val="22"/>
              </w:rPr>
            </w:pPr>
          </w:p>
        </w:tc>
        <w:tc>
          <w:tcPr>
            <w:tcW w:w="1474" w:type="dxa"/>
            <w:noWrap w:val="0"/>
            <w:vAlign w:val="center"/>
          </w:tcPr>
          <w:p>
            <w:pPr>
              <w:spacing w:line="300" w:lineRule="exact"/>
              <w:jc w:val="right"/>
              <w:rPr>
                <w:rFonts w:hint="default" w:ascii="Times New Roman" w:hAnsi="Times New Roman" w:eastAsia="方正书宋_GBK" w:cs="Times New Roman"/>
                <w:b/>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32</w:t>
            </w: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年初财政拨款结转和结余</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年末财政拨款结转和结余</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33</w:t>
            </w: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一、一般公共预算拨款</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34</w:t>
            </w: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二、政府性基金预算拨款</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35</w:t>
            </w: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三、国有资本经营预算拨款</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36</w:t>
            </w:r>
          </w:p>
        </w:tc>
        <w:tc>
          <w:tcPr>
            <w:tcW w:w="3402"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收入总计</w:t>
            </w:r>
          </w:p>
        </w:tc>
        <w:tc>
          <w:tcPr>
            <w:tcW w:w="1474"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233.83</w:t>
            </w:r>
          </w:p>
        </w:tc>
        <w:tc>
          <w:tcPr>
            <w:tcW w:w="3402"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支出总计</w:t>
            </w:r>
          </w:p>
        </w:tc>
        <w:tc>
          <w:tcPr>
            <w:tcW w:w="1474"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233.83</w:t>
            </w:r>
          </w:p>
        </w:tc>
        <w:tc>
          <w:tcPr>
            <w:tcW w:w="1474"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233.83</w:t>
            </w:r>
          </w:p>
        </w:tc>
        <w:tc>
          <w:tcPr>
            <w:tcW w:w="1474" w:type="dxa"/>
            <w:noWrap w:val="0"/>
            <w:vAlign w:val="center"/>
          </w:tcPr>
          <w:p>
            <w:pPr>
              <w:spacing w:line="300" w:lineRule="exact"/>
              <w:jc w:val="right"/>
              <w:rPr>
                <w:rFonts w:hint="default" w:ascii="Times New Roman" w:hAnsi="Times New Roman" w:eastAsia="方正书宋_GBK" w:cs="Times New Roman"/>
                <w:b/>
                <w:szCs w:val="22"/>
              </w:rPr>
            </w:pPr>
          </w:p>
        </w:tc>
        <w:tc>
          <w:tcPr>
            <w:tcW w:w="1474" w:type="dxa"/>
            <w:noWrap w:val="0"/>
            <w:vAlign w:val="center"/>
          </w:tcPr>
          <w:p>
            <w:pPr>
              <w:spacing w:line="300" w:lineRule="exact"/>
              <w:jc w:val="right"/>
              <w:rPr>
                <w:rFonts w:hint="default" w:ascii="Times New Roman" w:hAnsi="Times New Roman" w:eastAsia="方正书宋_GBK" w:cs="Times New Roman"/>
                <w:b/>
                <w:szCs w:val="22"/>
              </w:rPr>
            </w:pPr>
          </w:p>
        </w:tc>
      </w:tr>
    </w:tbl>
    <w:p>
      <w:pPr>
        <w:spacing w:line="300" w:lineRule="exact"/>
        <w:jc w:val="left"/>
        <w:outlineLvl w:val="1"/>
        <w:rPr>
          <w:rFonts w:hint="default" w:ascii="Times New Roman" w:hAnsi="Times New Roman" w:cs="Times New Roman"/>
        </w:rPr>
        <w:sectPr>
          <w:pgSz w:w="16839" w:h="11907" w:orient="landscape"/>
          <w:pgMar w:top="1361" w:right="1020" w:bottom="1134" w:left="1020" w:header="851" w:footer="992" w:gutter="0"/>
          <w:cols w:space="720" w:num="1"/>
          <w:docGrid w:type="lines" w:linePitch="312" w:charSpace="0"/>
        </w:sectPr>
      </w:pPr>
    </w:p>
    <w:p>
      <w:pPr>
        <w:jc w:val="center"/>
        <w:outlineLvl w:val="1"/>
        <w:rPr>
          <w:rFonts w:hint="default" w:ascii="Times New Roman" w:hAnsi="Times New Roman" w:eastAsia="宋体" w:cs="Times New Roman"/>
          <w:sz w:val="36"/>
          <w:szCs w:val="22"/>
        </w:rPr>
      </w:pPr>
      <w:r>
        <w:rPr>
          <w:rFonts w:hint="default" w:ascii="Times New Roman" w:hAnsi="Times New Roman" w:eastAsia="方正小标宋_GBK" w:cs="Times New Roman"/>
          <w:sz w:val="36"/>
          <w:szCs w:val="22"/>
        </w:rPr>
        <w:t>部门预算一般公共预算财政拨款支出表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hint="default" w:ascii="Times New Roman" w:hAnsi="Times New Roman" w:eastAsia="方正小标宋_GBK" w:cs="Times New Roman"/>
                <w:sz w:val="24"/>
                <w:szCs w:val="22"/>
                <w:lang w:val="en-US" w:eastAsia="zh-CN"/>
              </w:rPr>
            </w:pPr>
            <w:r>
              <w:rPr>
                <w:rFonts w:hint="eastAsia" w:ascii="Times New Roman" w:hAnsi="Times New Roman" w:eastAsia="方正小标宋_GBK" w:cs="Times New Roman"/>
                <w:sz w:val="24"/>
                <w:szCs w:val="22"/>
                <w:lang w:val="en-US" w:eastAsia="zh-CN"/>
              </w:rPr>
              <w:t>901北戴河生命健康产业研究院</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序号</w:t>
            </w:r>
          </w:p>
        </w:tc>
        <w:tc>
          <w:tcPr>
            <w:tcW w:w="5726" w:type="dxa"/>
            <w:gridSpan w:val="2"/>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功能分类科目</w:t>
            </w:r>
          </w:p>
        </w:tc>
        <w:tc>
          <w:tcPr>
            <w:tcW w:w="2551"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合计</w:t>
            </w:r>
          </w:p>
        </w:tc>
        <w:tc>
          <w:tcPr>
            <w:tcW w:w="2551"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基本支出</w:t>
            </w:r>
          </w:p>
        </w:tc>
        <w:tc>
          <w:tcPr>
            <w:tcW w:w="2551"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119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科目编码</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科目名称</w:t>
            </w:r>
          </w:p>
        </w:tc>
        <w:tc>
          <w:tcPr>
            <w:tcW w:w="2551"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2551"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2551" w:type="dxa"/>
            <w:vMerge w:val="continue"/>
            <w:noWrap w:val="0"/>
            <w:vAlign w:val="center"/>
          </w:tcPr>
          <w:p>
            <w:pPr>
              <w:spacing w:line="300" w:lineRule="exact"/>
              <w:jc w:val="left"/>
              <w:outlineLvl w:val="1"/>
              <w:rPr>
                <w:rFonts w:hint="default" w:ascii="Times New Roman" w:hAnsi="Times New Roman" w:eastAsia="等线"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栏次</w:t>
            </w:r>
          </w:p>
        </w:tc>
        <w:tc>
          <w:tcPr>
            <w:tcW w:w="119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1</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w:t>
            </w:r>
          </w:p>
        </w:tc>
        <w:tc>
          <w:tcPr>
            <w:tcW w:w="255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3</w:t>
            </w:r>
          </w:p>
        </w:tc>
        <w:tc>
          <w:tcPr>
            <w:tcW w:w="255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4</w:t>
            </w:r>
          </w:p>
        </w:tc>
        <w:tc>
          <w:tcPr>
            <w:tcW w:w="255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w:t>
            </w:r>
          </w:p>
        </w:tc>
        <w:tc>
          <w:tcPr>
            <w:tcW w:w="1191" w:type="dxa"/>
            <w:noWrap w:val="0"/>
            <w:vAlign w:val="center"/>
          </w:tcPr>
          <w:p>
            <w:pPr>
              <w:spacing w:line="300" w:lineRule="exact"/>
              <w:jc w:val="left"/>
              <w:rPr>
                <w:rFonts w:hint="default" w:ascii="Times New Roman" w:hAnsi="Times New Roman" w:eastAsia="方正书宋_GBK" w:cs="Times New Roman"/>
                <w:b/>
                <w:szCs w:val="22"/>
              </w:rPr>
            </w:pP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合计</w:t>
            </w:r>
          </w:p>
        </w:tc>
        <w:tc>
          <w:tcPr>
            <w:tcW w:w="2551"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233.83</w:t>
            </w:r>
          </w:p>
        </w:tc>
        <w:tc>
          <w:tcPr>
            <w:tcW w:w="2551"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75.83</w:t>
            </w:r>
          </w:p>
        </w:tc>
        <w:tc>
          <w:tcPr>
            <w:tcW w:w="2551"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158.00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201</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一般公共服务支出</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20103</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政府办公厅（室）及相关机构事务</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4</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2010305</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专项业务及机关事务管理</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5</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206</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科学技术支出</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125.85</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57.85</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6</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20604</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技术研究与开发</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125.85</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57.85</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7</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2060401</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机构运行</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57.85</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57.85</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8</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2060404</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科技成果转化与扩散</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68.00</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9</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208</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社会保障和就业支出</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10</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20805</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行政事业单位养老支出</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11</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2080505</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机关事业单位基本养老保险缴费支出</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12</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210</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卫生健康支出</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13</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21011</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行政事业单位医疗</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14</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2101102</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事业单位医疗</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15</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221</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住房保障支出</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16</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22102</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住房改革支出</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17</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2210201</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住房公积金</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bl>
    <w:p>
      <w:pPr>
        <w:spacing w:line="300" w:lineRule="exact"/>
        <w:jc w:val="left"/>
        <w:outlineLvl w:val="1"/>
        <w:rPr>
          <w:rFonts w:hint="default" w:ascii="Times New Roman" w:hAnsi="Times New Roman" w:cs="Times New Roman"/>
        </w:rPr>
        <w:sectPr>
          <w:pgSz w:w="16839" w:h="11907" w:orient="landscape"/>
          <w:pgMar w:top="1361" w:right="1020" w:bottom="1134" w:left="1020" w:header="851" w:footer="992" w:gutter="0"/>
          <w:cols w:space="720" w:num="1"/>
          <w:docGrid w:type="lines" w:linePitch="312" w:charSpace="0"/>
        </w:sectPr>
      </w:pPr>
    </w:p>
    <w:p>
      <w:pPr>
        <w:jc w:val="center"/>
        <w:outlineLvl w:val="1"/>
        <w:rPr>
          <w:rFonts w:hint="default" w:ascii="Times New Roman" w:hAnsi="Times New Roman" w:eastAsia="宋体" w:cs="Times New Roman"/>
          <w:sz w:val="36"/>
          <w:szCs w:val="22"/>
        </w:rPr>
      </w:pPr>
      <w:r>
        <w:rPr>
          <w:rFonts w:hint="default" w:ascii="Times New Roman" w:hAnsi="Times New Roman" w:eastAsia="方正小标宋_GBK" w:cs="Times New Roman"/>
          <w:sz w:val="36"/>
          <w:szCs w:val="22"/>
        </w:rPr>
        <w:t>部门预算一般公共预算财政拨款基本支出表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hint="default" w:ascii="Times New Roman" w:hAnsi="Times New Roman" w:eastAsia="方正小标宋_GBK" w:cs="Times New Roman"/>
                <w:sz w:val="24"/>
                <w:szCs w:val="22"/>
                <w:lang w:val="en-US" w:eastAsia="zh-CN"/>
              </w:rPr>
            </w:pPr>
            <w:r>
              <w:rPr>
                <w:rFonts w:hint="eastAsia" w:ascii="Times New Roman" w:hAnsi="Times New Roman" w:eastAsia="方正小标宋_GBK" w:cs="Times New Roman"/>
                <w:sz w:val="24"/>
                <w:szCs w:val="22"/>
                <w:lang w:val="en-US" w:eastAsia="zh-CN"/>
              </w:rPr>
              <w:t>901北戴河生命健康产业研究院</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序号</w:t>
            </w:r>
          </w:p>
        </w:tc>
        <w:tc>
          <w:tcPr>
            <w:tcW w:w="5726" w:type="dxa"/>
            <w:gridSpan w:val="2"/>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支出部门经济分类科目</w:t>
            </w:r>
          </w:p>
        </w:tc>
        <w:tc>
          <w:tcPr>
            <w:tcW w:w="7653" w:type="dxa"/>
            <w:gridSpan w:val="3"/>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119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科目编码</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科目名称</w:t>
            </w:r>
          </w:p>
        </w:tc>
        <w:tc>
          <w:tcPr>
            <w:tcW w:w="255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合计</w:t>
            </w:r>
          </w:p>
        </w:tc>
        <w:tc>
          <w:tcPr>
            <w:tcW w:w="255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人员经费</w:t>
            </w:r>
          </w:p>
        </w:tc>
        <w:tc>
          <w:tcPr>
            <w:tcW w:w="255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栏次</w:t>
            </w:r>
          </w:p>
        </w:tc>
        <w:tc>
          <w:tcPr>
            <w:tcW w:w="119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1</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w:t>
            </w:r>
          </w:p>
        </w:tc>
        <w:tc>
          <w:tcPr>
            <w:tcW w:w="255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3</w:t>
            </w:r>
          </w:p>
        </w:tc>
        <w:tc>
          <w:tcPr>
            <w:tcW w:w="255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4</w:t>
            </w:r>
          </w:p>
        </w:tc>
        <w:tc>
          <w:tcPr>
            <w:tcW w:w="255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w:t>
            </w:r>
          </w:p>
        </w:tc>
        <w:tc>
          <w:tcPr>
            <w:tcW w:w="1191" w:type="dxa"/>
            <w:noWrap w:val="0"/>
            <w:vAlign w:val="center"/>
          </w:tcPr>
          <w:p>
            <w:pPr>
              <w:spacing w:line="300" w:lineRule="exact"/>
              <w:jc w:val="left"/>
              <w:rPr>
                <w:rFonts w:hint="default" w:ascii="Times New Roman" w:hAnsi="Times New Roman" w:eastAsia="方正书宋_GBK" w:cs="Times New Roman"/>
                <w:b/>
                <w:szCs w:val="22"/>
              </w:rPr>
            </w:pP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合计</w:t>
            </w:r>
          </w:p>
        </w:tc>
        <w:tc>
          <w:tcPr>
            <w:tcW w:w="2551"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75.83</w:t>
            </w:r>
          </w:p>
        </w:tc>
        <w:tc>
          <w:tcPr>
            <w:tcW w:w="2551"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68.21</w:t>
            </w:r>
          </w:p>
        </w:tc>
        <w:tc>
          <w:tcPr>
            <w:tcW w:w="2551"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301</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工资福利支出</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68.21</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68.21</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30101</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基本工资</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13.46</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13.46</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4</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30102</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津贴补贴</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11.23</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11.23</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5</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30103</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奖金</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5.09</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5.09</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6</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30107</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绩效工资</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20.02</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20.02</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7</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30108</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机关事业单位基本养老保险缴费</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8</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30110</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职工基本医疗保险缴费</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9</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30112</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其他社会保障缴费</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0.43</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0.43</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10</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30113</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住房公积金</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11</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302</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商品和服务支出</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7.50</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12</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30201</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办公费</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0.99</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13</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30202</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印刷费</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0.12</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14</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30211</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差旅费</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0.57</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15</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30215</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会议费</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2.70</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16</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30216</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培训费</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0.36</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17</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30217</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公务接待费</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0.09</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18</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30228</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工会经费</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0.48</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19</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30229</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福利费</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0.35</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20</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30239</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其他交通费用</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1.86</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21</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310</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资本性支出</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0.12</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22</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31002</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办公设备购置</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0.12</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0.12</w:t>
            </w:r>
          </w:p>
        </w:tc>
      </w:tr>
    </w:tbl>
    <w:p>
      <w:pPr>
        <w:spacing w:line="300" w:lineRule="exact"/>
        <w:jc w:val="left"/>
        <w:outlineLvl w:val="1"/>
        <w:rPr>
          <w:rFonts w:hint="default" w:ascii="Times New Roman" w:hAnsi="Times New Roman" w:cs="Times New Roman"/>
        </w:rPr>
        <w:sectPr>
          <w:pgSz w:w="16839" w:h="11907" w:orient="landscape"/>
          <w:pgMar w:top="1361" w:right="1020" w:bottom="1134" w:left="1020" w:header="851" w:footer="992" w:gutter="0"/>
          <w:cols w:space="720" w:num="1"/>
          <w:docGrid w:type="lines" w:linePitch="312" w:charSpace="0"/>
        </w:sectPr>
      </w:pPr>
    </w:p>
    <w:p>
      <w:pPr>
        <w:jc w:val="center"/>
        <w:outlineLvl w:val="1"/>
        <w:rPr>
          <w:rFonts w:hint="default" w:ascii="Times New Roman" w:hAnsi="Times New Roman" w:eastAsia="宋体" w:cs="Times New Roman"/>
          <w:sz w:val="36"/>
          <w:szCs w:val="22"/>
        </w:rPr>
      </w:pPr>
      <w:r>
        <w:rPr>
          <w:rFonts w:hint="default" w:ascii="Times New Roman" w:hAnsi="Times New Roman" w:eastAsia="方正小标宋_GBK" w:cs="Times New Roman"/>
          <w:sz w:val="36"/>
          <w:szCs w:val="22"/>
        </w:rPr>
        <w:t>部门预算政府基金预算财政拨款支出表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hint="default" w:ascii="Times New Roman" w:hAnsi="Times New Roman" w:eastAsia="方正小标宋_GBK" w:cs="Times New Roman"/>
                <w:sz w:val="24"/>
                <w:szCs w:val="22"/>
                <w:lang w:val="en-US" w:eastAsia="zh-CN"/>
              </w:rPr>
            </w:pPr>
            <w:r>
              <w:rPr>
                <w:rFonts w:hint="eastAsia" w:ascii="Times New Roman" w:hAnsi="Times New Roman" w:eastAsia="方正小标宋_GBK" w:cs="Times New Roman"/>
                <w:sz w:val="24"/>
                <w:szCs w:val="22"/>
                <w:lang w:val="en-US" w:eastAsia="zh-CN"/>
              </w:rPr>
              <w:t>901北戴河生命健康产业研究院</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序号</w:t>
            </w:r>
          </w:p>
        </w:tc>
        <w:tc>
          <w:tcPr>
            <w:tcW w:w="5726" w:type="dxa"/>
            <w:gridSpan w:val="2"/>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功能分类科目</w:t>
            </w:r>
          </w:p>
        </w:tc>
        <w:tc>
          <w:tcPr>
            <w:tcW w:w="2551"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合计</w:t>
            </w:r>
          </w:p>
        </w:tc>
        <w:tc>
          <w:tcPr>
            <w:tcW w:w="2551"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基本支出</w:t>
            </w:r>
          </w:p>
        </w:tc>
        <w:tc>
          <w:tcPr>
            <w:tcW w:w="2551"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119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科目编码</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科目名称</w:t>
            </w:r>
          </w:p>
        </w:tc>
        <w:tc>
          <w:tcPr>
            <w:tcW w:w="2551"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2551"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2551" w:type="dxa"/>
            <w:vMerge w:val="continue"/>
            <w:noWrap w:val="0"/>
            <w:vAlign w:val="center"/>
          </w:tcPr>
          <w:p>
            <w:pPr>
              <w:spacing w:line="300" w:lineRule="exact"/>
              <w:jc w:val="left"/>
              <w:outlineLvl w:val="1"/>
              <w:rPr>
                <w:rFonts w:hint="default" w:ascii="Times New Roman" w:hAnsi="Times New Roman" w:eastAsia="等线"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栏次</w:t>
            </w:r>
          </w:p>
        </w:tc>
        <w:tc>
          <w:tcPr>
            <w:tcW w:w="119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1</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w:t>
            </w:r>
          </w:p>
        </w:tc>
        <w:tc>
          <w:tcPr>
            <w:tcW w:w="255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3</w:t>
            </w:r>
          </w:p>
        </w:tc>
        <w:tc>
          <w:tcPr>
            <w:tcW w:w="255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4</w:t>
            </w:r>
          </w:p>
        </w:tc>
        <w:tc>
          <w:tcPr>
            <w:tcW w:w="255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p>
        </w:tc>
        <w:tc>
          <w:tcPr>
            <w:tcW w:w="1191" w:type="dxa"/>
            <w:noWrap w:val="0"/>
            <w:vAlign w:val="center"/>
          </w:tcPr>
          <w:p>
            <w:pPr>
              <w:spacing w:line="300" w:lineRule="exact"/>
              <w:jc w:val="left"/>
              <w:rPr>
                <w:rFonts w:hint="default" w:ascii="Times New Roman" w:hAnsi="Times New Roman" w:eastAsia="方正书宋_GBK" w:cs="Times New Roman"/>
                <w:b/>
                <w:szCs w:val="22"/>
              </w:rPr>
            </w:pPr>
          </w:p>
        </w:tc>
        <w:tc>
          <w:tcPr>
            <w:tcW w:w="4535" w:type="dxa"/>
            <w:noWrap w:val="0"/>
            <w:vAlign w:val="center"/>
          </w:tcPr>
          <w:p>
            <w:pPr>
              <w:spacing w:line="300" w:lineRule="exact"/>
              <w:jc w:val="center"/>
              <w:rPr>
                <w:rFonts w:hint="default" w:ascii="Times New Roman" w:hAnsi="Times New Roman" w:eastAsia="方正书宋_GBK" w:cs="Times New Roman"/>
                <w:b/>
                <w:szCs w:val="22"/>
              </w:rPr>
            </w:pPr>
          </w:p>
        </w:tc>
        <w:tc>
          <w:tcPr>
            <w:tcW w:w="2551" w:type="dxa"/>
            <w:noWrap w:val="0"/>
            <w:vAlign w:val="center"/>
          </w:tcPr>
          <w:p>
            <w:pPr>
              <w:spacing w:line="300" w:lineRule="exact"/>
              <w:jc w:val="right"/>
              <w:rPr>
                <w:rFonts w:hint="default" w:ascii="Times New Roman" w:hAnsi="Times New Roman" w:eastAsia="方正书宋_GBK" w:cs="Times New Roman"/>
                <w:b/>
                <w:szCs w:val="22"/>
              </w:rPr>
            </w:pPr>
          </w:p>
        </w:tc>
        <w:tc>
          <w:tcPr>
            <w:tcW w:w="2551" w:type="dxa"/>
            <w:noWrap w:val="0"/>
            <w:vAlign w:val="center"/>
          </w:tcPr>
          <w:p>
            <w:pPr>
              <w:spacing w:line="300" w:lineRule="exact"/>
              <w:jc w:val="right"/>
              <w:rPr>
                <w:rFonts w:hint="default" w:ascii="Times New Roman" w:hAnsi="Times New Roman" w:eastAsia="方正书宋_GBK" w:cs="Times New Roman"/>
                <w:b/>
                <w:szCs w:val="22"/>
              </w:rPr>
            </w:pPr>
          </w:p>
        </w:tc>
        <w:tc>
          <w:tcPr>
            <w:tcW w:w="2551" w:type="dxa"/>
            <w:noWrap w:val="0"/>
            <w:vAlign w:val="center"/>
          </w:tcPr>
          <w:p>
            <w:pPr>
              <w:spacing w:line="300" w:lineRule="exact"/>
              <w:jc w:val="right"/>
              <w:rPr>
                <w:rFonts w:hint="default" w:ascii="Times New Roman" w:hAnsi="Times New Roman" w:eastAsia="方正书宋_GBK" w:cs="Times New Roman"/>
                <w:b/>
                <w:szCs w:val="22"/>
              </w:rPr>
            </w:pPr>
          </w:p>
        </w:tc>
      </w:tr>
    </w:tbl>
    <w:p>
      <w:pPr>
        <w:ind w:firstLine="420" w:firstLineChars="200"/>
        <w:jc w:val="left"/>
        <w:rPr>
          <w:rFonts w:hint="default" w:ascii="Times New Roman" w:hAnsi="Times New Roman" w:eastAsia="宋体" w:cs="Times New Roman"/>
          <w:szCs w:val="22"/>
        </w:rPr>
      </w:pPr>
      <w:r>
        <w:rPr>
          <w:rFonts w:hint="default" w:ascii="Times New Roman" w:hAnsi="Times New Roman" w:eastAsia="方正书宋_GBK" w:cs="Times New Roman"/>
          <w:szCs w:val="22"/>
        </w:rPr>
        <w:t>注：无政府基金预算财政拨款预算，空表列示。</w:t>
      </w:r>
    </w:p>
    <w:p>
      <w:pPr>
        <w:ind w:firstLine="420" w:firstLineChars="200"/>
        <w:jc w:val="left"/>
        <w:rPr>
          <w:rFonts w:hint="default" w:ascii="Times New Roman" w:hAnsi="Times New Roman" w:cs="Times New Roman"/>
        </w:rPr>
        <w:sectPr>
          <w:pgSz w:w="16839" w:h="11907" w:orient="landscape"/>
          <w:pgMar w:top="1361" w:right="1020" w:bottom="1134" w:left="1020" w:header="851" w:footer="992" w:gutter="0"/>
          <w:cols w:space="720" w:num="1"/>
          <w:docGrid w:type="lines" w:linePitch="312" w:charSpace="0"/>
        </w:sectPr>
      </w:pPr>
    </w:p>
    <w:p>
      <w:pPr>
        <w:jc w:val="center"/>
        <w:outlineLvl w:val="1"/>
        <w:rPr>
          <w:rFonts w:hint="default" w:ascii="Times New Roman" w:hAnsi="Times New Roman" w:eastAsia="宋体" w:cs="Times New Roman"/>
          <w:sz w:val="36"/>
          <w:szCs w:val="22"/>
        </w:rPr>
      </w:pPr>
      <w:r>
        <w:rPr>
          <w:rFonts w:hint="default" w:ascii="Times New Roman" w:hAnsi="Times New Roman" w:eastAsia="方正小标宋_GBK" w:cs="Times New Roman"/>
          <w:sz w:val="36"/>
          <w:szCs w:val="22"/>
        </w:rPr>
        <w:t>部门预算国有资本经营预算财政拨款支出表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hint="default" w:ascii="Times New Roman" w:hAnsi="Times New Roman" w:eastAsia="方正小标宋_GBK" w:cs="Times New Roman"/>
                <w:sz w:val="24"/>
                <w:szCs w:val="22"/>
                <w:lang w:val="en-US" w:eastAsia="zh-CN"/>
              </w:rPr>
            </w:pPr>
            <w:r>
              <w:rPr>
                <w:rFonts w:hint="eastAsia" w:ascii="Times New Roman" w:hAnsi="Times New Roman" w:eastAsia="方正小标宋_GBK" w:cs="Times New Roman"/>
                <w:sz w:val="24"/>
                <w:szCs w:val="22"/>
                <w:lang w:val="en-US" w:eastAsia="zh-CN"/>
              </w:rPr>
              <w:t>901北戴河生命健康产业研究院</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序号</w:t>
            </w:r>
          </w:p>
        </w:tc>
        <w:tc>
          <w:tcPr>
            <w:tcW w:w="5726" w:type="dxa"/>
            <w:gridSpan w:val="2"/>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功能分类科目</w:t>
            </w:r>
          </w:p>
        </w:tc>
        <w:tc>
          <w:tcPr>
            <w:tcW w:w="2551"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合计</w:t>
            </w:r>
          </w:p>
        </w:tc>
        <w:tc>
          <w:tcPr>
            <w:tcW w:w="2551"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基本支出</w:t>
            </w:r>
          </w:p>
        </w:tc>
        <w:tc>
          <w:tcPr>
            <w:tcW w:w="2551"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119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科目编码</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科目名称</w:t>
            </w:r>
          </w:p>
        </w:tc>
        <w:tc>
          <w:tcPr>
            <w:tcW w:w="2551"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2551"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2551" w:type="dxa"/>
            <w:vMerge w:val="continue"/>
            <w:noWrap w:val="0"/>
            <w:vAlign w:val="center"/>
          </w:tcPr>
          <w:p>
            <w:pPr>
              <w:spacing w:line="300" w:lineRule="exact"/>
              <w:jc w:val="left"/>
              <w:outlineLvl w:val="1"/>
              <w:rPr>
                <w:rFonts w:hint="default" w:ascii="Times New Roman" w:hAnsi="Times New Roman" w:eastAsia="等线"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栏次</w:t>
            </w:r>
          </w:p>
        </w:tc>
        <w:tc>
          <w:tcPr>
            <w:tcW w:w="119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1</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w:t>
            </w:r>
          </w:p>
        </w:tc>
        <w:tc>
          <w:tcPr>
            <w:tcW w:w="255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3</w:t>
            </w:r>
          </w:p>
        </w:tc>
        <w:tc>
          <w:tcPr>
            <w:tcW w:w="255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4</w:t>
            </w:r>
          </w:p>
        </w:tc>
        <w:tc>
          <w:tcPr>
            <w:tcW w:w="255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p>
        </w:tc>
        <w:tc>
          <w:tcPr>
            <w:tcW w:w="1191" w:type="dxa"/>
            <w:noWrap w:val="0"/>
            <w:vAlign w:val="center"/>
          </w:tcPr>
          <w:p>
            <w:pPr>
              <w:spacing w:line="300" w:lineRule="exact"/>
              <w:jc w:val="left"/>
              <w:rPr>
                <w:rFonts w:hint="default" w:ascii="Times New Roman" w:hAnsi="Times New Roman" w:eastAsia="方正书宋_GBK" w:cs="Times New Roman"/>
                <w:b/>
                <w:szCs w:val="22"/>
              </w:rPr>
            </w:pPr>
          </w:p>
        </w:tc>
        <w:tc>
          <w:tcPr>
            <w:tcW w:w="4535" w:type="dxa"/>
            <w:noWrap w:val="0"/>
            <w:vAlign w:val="center"/>
          </w:tcPr>
          <w:p>
            <w:pPr>
              <w:spacing w:line="300" w:lineRule="exact"/>
              <w:jc w:val="center"/>
              <w:rPr>
                <w:rFonts w:hint="default" w:ascii="Times New Roman" w:hAnsi="Times New Roman" w:eastAsia="方正书宋_GBK" w:cs="Times New Roman"/>
                <w:b/>
                <w:szCs w:val="22"/>
              </w:rPr>
            </w:pPr>
          </w:p>
        </w:tc>
        <w:tc>
          <w:tcPr>
            <w:tcW w:w="2551" w:type="dxa"/>
            <w:noWrap w:val="0"/>
            <w:vAlign w:val="center"/>
          </w:tcPr>
          <w:p>
            <w:pPr>
              <w:spacing w:line="300" w:lineRule="exact"/>
              <w:jc w:val="right"/>
              <w:rPr>
                <w:rFonts w:hint="default" w:ascii="Times New Roman" w:hAnsi="Times New Roman" w:eastAsia="方正书宋_GBK" w:cs="Times New Roman"/>
                <w:b/>
                <w:szCs w:val="22"/>
              </w:rPr>
            </w:pPr>
          </w:p>
        </w:tc>
        <w:tc>
          <w:tcPr>
            <w:tcW w:w="2551" w:type="dxa"/>
            <w:noWrap w:val="0"/>
            <w:vAlign w:val="center"/>
          </w:tcPr>
          <w:p>
            <w:pPr>
              <w:spacing w:line="300" w:lineRule="exact"/>
              <w:jc w:val="right"/>
              <w:rPr>
                <w:rFonts w:hint="default" w:ascii="Times New Roman" w:hAnsi="Times New Roman" w:eastAsia="方正书宋_GBK" w:cs="Times New Roman"/>
                <w:b/>
                <w:szCs w:val="22"/>
              </w:rPr>
            </w:pPr>
          </w:p>
        </w:tc>
        <w:tc>
          <w:tcPr>
            <w:tcW w:w="2551" w:type="dxa"/>
            <w:noWrap w:val="0"/>
            <w:vAlign w:val="center"/>
          </w:tcPr>
          <w:p>
            <w:pPr>
              <w:spacing w:line="300" w:lineRule="exact"/>
              <w:jc w:val="right"/>
              <w:rPr>
                <w:rFonts w:hint="default" w:ascii="Times New Roman" w:hAnsi="Times New Roman" w:eastAsia="方正书宋_GBK" w:cs="Times New Roman"/>
                <w:b/>
                <w:szCs w:val="22"/>
              </w:rPr>
            </w:pPr>
          </w:p>
        </w:tc>
      </w:tr>
    </w:tbl>
    <w:p>
      <w:pPr>
        <w:ind w:firstLine="420" w:firstLineChars="200"/>
        <w:jc w:val="left"/>
        <w:rPr>
          <w:rFonts w:hint="default" w:ascii="Times New Roman" w:hAnsi="Times New Roman" w:eastAsia="宋体" w:cs="Times New Roman"/>
          <w:szCs w:val="22"/>
        </w:rPr>
      </w:pPr>
      <w:r>
        <w:rPr>
          <w:rFonts w:hint="default" w:ascii="Times New Roman" w:hAnsi="Times New Roman" w:eastAsia="方正书宋_GBK" w:cs="Times New Roman"/>
          <w:szCs w:val="22"/>
        </w:rPr>
        <w:t>注：无国有资本经营预算财政拨款预算，空表列示。</w:t>
      </w:r>
    </w:p>
    <w:p>
      <w:pPr>
        <w:ind w:firstLine="420" w:firstLineChars="200"/>
        <w:jc w:val="left"/>
        <w:rPr>
          <w:rFonts w:hint="default" w:ascii="Times New Roman" w:hAnsi="Times New Roman" w:cs="Times New Roman"/>
        </w:rPr>
        <w:sectPr>
          <w:pgSz w:w="16839" w:h="11907" w:orient="landscape"/>
          <w:pgMar w:top="1361" w:right="1020" w:bottom="1134" w:left="1020" w:header="851" w:footer="992" w:gutter="0"/>
          <w:cols w:space="720" w:num="1"/>
          <w:docGrid w:type="lines" w:linePitch="312" w:charSpace="0"/>
        </w:sectPr>
      </w:pPr>
    </w:p>
    <w:p>
      <w:pPr>
        <w:jc w:val="center"/>
        <w:outlineLvl w:val="1"/>
        <w:rPr>
          <w:rFonts w:hint="default" w:ascii="Times New Roman" w:hAnsi="Times New Roman" w:eastAsia="宋体" w:cs="Times New Roman"/>
          <w:sz w:val="32"/>
          <w:szCs w:val="22"/>
        </w:rPr>
      </w:pPr>
      <w:r>
        <w:rPr>
          <w:rFonts w:hint="default" w:ascii="Times New Roman" w:hAnsi="Times New Roman" w:eastAsia="方正小标宋_GBK" w:cs="Times New Roman"/>
          <w:sz w:val="32"/>
          <w:szCs w:val="22"/>
        </w:rPr>
        <w:t>部门预算财政拨款“三公”经费支出表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4648"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hint="default" w:ascii="Times New Roman" w:hAnsi="Times New Roman" w:eastAsia="方正小标宋_GBK" w:cs="Times New Roman"/>
                <w:sz w:val="24"/>
                <w:szCs w:val="22"/>
                <w:lang w:val="en-US" w:eastAsia="zh-CN"/>
              </w:rPr>
            </w:pPr>
            <w:r>
              <w:rPr>
                <w:rFonts w:hint="eastAsia" w:ascii="Times New Roman" w:hAnsi="Times New Roman" w:eastAsia="方正小标宋_GBK" w:cs="Times New Roman"/>
                <w:sz w:val="24"/>
                <w:szCs w:val="22"/>
                <w:lang w:val="en-US" w:eastAsia="zh-CN"/>
              </w:rPr>
              <w:t>901北戴河生命健康产业研究院</w:t>
            </w:r>
          </w:p>
        </w:tc>
        <w:tc>
          <w:tcPr>
            <w:tcW w:w="2381" w:type="dxa"/>
            <w:tcBorders>
              <w:top w:val="single" w:color="FFFFFF" w:sz="6" w:space="0"/>
              <w:left w:val="single" w:color="FFFFFF" w:sz="6" w:space="0"/>
              <w:right w:val="single" w:color="FFFFFF" w:sz="6" w:space="0"/>
            </w:tcBorders>
            <w:noWrap w:val="0"/>
            <w:vAlign w:val="center"/>
          </w:tcPr>
          <w:p>
            <w:pPr>
              <w:spacing w:line="300" w:lineRule="exact"/>
              <w:jc w:val="center"/>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预算年度：2021</w:t>
            </w:r>
          </w:p>
        </w:tc>
        <w:tc>
          <w:tcPr>
            <w:tcW w:w="7143" w:type="dxa"/>
            <w:gridSpan w:val="3"/>
            <w:tcBorders>
              <w:top w:val="single" w:color="FFFFFF" w:sz="6" w:space="0"/>
              <w:left w:val="single" w:color="FFFFFF" w:sz="6" w:space="0"/>
              <w:right w:val="single" w:color="FFFFFF" w:sz="6" w:space="0"/>
            </w:tcBorders>
            <w:noWrap w:val="0"/>
            <w:vAlign w:val="center"/>
          </w:tcPr>
          <w:p>
            <w:pPr>
              <w:spacing w:line="300" w:lineRule="exact"/>
              <w:jc w:val="right"/>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序号</w:t>
            </w:r>
          </w:p>
        </w:tc>
        <w:tc>
          <w:tcPr>
            <w:tcW w:w="3798"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项  目</w:t>
            </w:r>
          </w:p>
        </w:tc>
        <w:tc>
          <w:tcPr>
            <w:tcW w:w="9524" w:type="dxa"/>
            <w:gridSpan w:val="4"/>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3798"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238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合计</w:t>
            </w:r>
          </w:p>
        </w:tc>
        <w:tc>
          <w:tcPr>
            <w:tcW w:w="238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一般公共预算   财政拨款</w:t>
            </w:r>
          </w:p>
        </w:tc>
        <w:tc>
          <w:tcPr>
            <w:tcW w:w="238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政府性基金     预算拨款</w:t>
            </w:r>
          </w:p>
        </w:tc>
        <w:tc>
          <w:tcPr>
            <w:tcW w:w="238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栏次</w:t>
            </w:r>
          </w:p>
        </w:tc>
        <w:tc>
          <w:tcPr>
            <w:tcW w:w="3798"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1</w:t>
            </w:r>
          </w:p>
        </w:tc>
        <w:tc>
          <w:tcPr>
            <w:tcW w:w="238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w:t>
            </w:r>
          </w:p>
        </w:tc>
        <w:tc>
          <w:tcPr>
            <w:tcW w:w="238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3</w:t>
            </w:r>
          </w:p>
        </w:tc>
        <w:tc>
          <w:tcPr>
            <w:tcW w:w="238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4</w:t>
            </w:r>
          </w:p>
        </w:tc>
        <w:tc>
          <w:tcPr>
            <w:tcW w:w="238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w:t>
            </w:r>
          </w:p>
        </w:tc>
        <w:tc>
          <w:tcPr>
            <w:tcW w:w="3798"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合计</w:t>
            </w:r>
          </w:p>
        </w:tc>
        <w:tc>
          <w:tcPr>
            <w:tcW w:w="2381" w:type="dxa"/>
            <w:noWrap w:val="0"/>
            <w:vAlign w:val="center"/>
          </w:tcPr>
          <w:p>
            <w:pPr>
              <w:spacing w:line="300" w:lineRule="exact"/>
              <w:jc w:val="right"/>
              <w:rPr>
                <w:rFonts w:hint="default" w:ascii="Times New Roman" w:hAnsi="Times New Roman" w:eastAsia="方正书宋_GBK" w:cs="Times New Roman"/>
                <w:b/>
                <w:szCs w:val="22"/>
                <w:lang w:val="en-US" w:eastAsia="zh-CN"/>
              </w:rPr>
            </w:pPr>
            <w:r>
              <w:rPr>
                <w:rFonts w:hint="eastAsia" w:ascii="Times New Roman" w:hAnsi="Times New Roman" w:eastAsia="方正书宋_GBK" w:cs="Times New Roman"/>
                <w:b/>
                <w:szCs w:val="22"/>
                <w:lang w:val="en-US" w:eastAsia="zh-CN"/>
              </w:rPr>
              <w:t>0.09</w:t>
            </w:r>
          </w:p>
        </w:tc>
        <w:tc>
          <w:tcPr>
            <w:tcW w:w="2381" w:type="dxa"/>
            <w:noWrap w:val="0"/>
            <w:vAlign w:val="center"/>
          </w:tcPr>
          <w:p>
            <w:pPr>
              <w:spacing w:line="300" w:lineRule="exact"/>
              <w:jc w:val="right"/>
              <w:rPr>
                <w:rFonts w:hint="default" w:ascii="Times New Roman" w:hAnsi="Times New Roman" w:eastAsia="方正书宋_GBK" w:cs="Times New Roman"/>
                <w:b/>
                <w:szCs w:val="22"/>
                <w:lang w:val="en-US" w:eastAsia="zh-CN"/>
              </w:rPr>
            </w:pPr>
            <w:r>
              <w:rPr>
                <w:rFonts w:hint="eastAsia" w:ascii="Times New Roman" w:hAnsi="Times New Roman" w:eastAsia="方正书宋_GBK" w:cs="Times New Roman"/>
                <w:b/>
                <w:szCs w:val="22"/>
                <w:lang w:val="en-US" w:eastAsia="zh-CN"/>
              </w:rPr>
              <w:t>0.09</w:t>
            </w:r>
          </w:p>
        </w:tc>
        <w:tc>
          <w:tcPr>
            <w:tcW w:w="2381" w:type="dxa"/>
            <w:noWrap w:val="0"/>
            <w:vAlign w:val="center"/>
          </w:tcPr>
          <w:p>
            <w:pPr>
              <w:spacing w:line="300" w:lineRule="exact"/>
              <w:jc w:val="right"/>
              <w:rPr>
                <w:rFonts w:hint="default" w:ascii="Times New Roman" w:hAnsi="Times New Roman" w:eastAsia="方正书宋_GBK" w:cs="Times New Roman"/>
                <w:b/>
                <w:szCs w:val="22"/>
              </w:rPr>
            </w:pPr>
          </w:p>
        </w:tc>
        <w:tc>
          <w:tcPr>
            <w:tcW w:w="2381" w:type="dxa"/>
            <w:noWrap w:val="0"/>
            <w:vAlign w:val="center"/>
          </w:tcPr>
          <w:p>
            <w:pPr>
              <w:spacing w:line="300" w:lineRule="exact"/>
              <w:jc w:val="right"/>
              <w:rPr>
                <w:rFonts w:hint="default" w:ascii="Times New Roman" w:hAnsi="Times New Roman" w:eastAsia="方正书宋_GBK" w:cs="Times New Roman"/>
                <w:b/>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w:t>
            </w:r>
          </w:p>
        </w:tc>
        <w:tc>
          <w:tcPr>
            <w:tcW w:w="3798"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一、因公出国（境）费</w:t>
            </w: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w:t>
            </w:r>
          </w:p>
        </w:tc>
        <w:tc>
          <w:tcPr>
            <w:tcW w:w="3798"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二、公务用车购置及运维费</w:t>
            </w: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4</w:t>
            </w:r>
          </w:p>
        </w:tc>
        <w:tc>
          <w:tcPr>
            <w:tcW w:w="3798"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 xml:space="preserve">    其中：公务用车购置费</w:t>
            </w: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5</w:t>
            </w:r>
          </w:p>
        </w:tc>
        <w:tc>
          <w:tcPr>
            <w:tcW w:w="3798"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 xml:space="preserve">          公务用车运行维护费</w:t>
            </w: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6</w:t>
            </w:r>
          </w:p>
        </w:tc>
        <w:tc>
          <w:tcPr>
            <w:tcW w:w="3798"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三、公务接待费</w:t>
            </w:r>
          </w:p>
        </w:tc>
        <w:tc>
          <w:tcPr>
            <w:tcW w:w="2381" w:type="dxa"/>
            <w:noWrap w:val="0"/>
            <w:vAlign w:val="center"/>
          </w:tcPr>
          <w:p>
            <w:pPr>
              <w:spacing w:line="300" w:lineRule="exact"/>
              <w:jc w:val="right"/>
              <w:rPr>
                <w:rFonts w:hint="default" w:ascii="Times New Roman" w:hAnsi="Times New Roman" w:eastAsia="方正书宋_GBK" w:cs="Times New Roman"/>
                <w:szCs w:val="22"/>
                <w:lang w:val="en-US" w:eastAsia="zh-CN"/>
              </w:rPr>
            </w:pPr>
            <w:r>
              <w:rPr>
                <w:rFonts w:hint="eastAsia" w:ascii="Times New Roman" w:hAnsi="Times New Roman" w:eastAsia="方正书宋_GBK" w:cs="Times New Roman"/>
                <w:szCs w:val="22"/>
                <w:lang w:val="en-US" w:eastAsia="zh-CN"/>
              </w:rPr>
              <w:t>0.09</w:t>
            </w:r>
          </w:p>
        </w:tc>
        <w:tc>
          <w:tcPr>
            <w:tcW w:w="2381" w:type="dxa"/>
            <w:noWrap w:val="0"/>
            <w:vAlign w:val="center"/>
          </w:tcPr>
          <w:p>
            <w:pPr>
              <w:spacing w:line="300" w:lineRule="exact"/>
              <w:jc w:val="right"/>
              <w:rPr>
                <w:rFonts w:hint="default" w:ascii="Times New Roman" w:hAnsi="Times New Roman" w:eastAsia="方正书宋_GBK" w:cs="Times New Roman"/>
                <w:szCs w:val="22"/>
                <w:lang w:val="en-US" w:eastAsia="zh-CN"/>
              </w:rPr>
            </w:pPr>
            <w:r>
              <w:rPr>
                <w:rFonts w:hint="eastAsia" w:ascii="Times New Roman" w:hAnsi="Times New Roman" w:eastAsia="方正书宋_GBK" w:cs="Times New Roman"/>
                <w:szCs w:val="22"/>
                <w:lang w:val="en-US" w:eastAsia="zh-CN"/>
              </w:rPr>
              <w:t>0.09</w:t>
            </w: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r>
    </w:tbl>
    <w:p>
      <w:pPr>
        <w:spacing w:line="300" w:lineRule="exact"/>
        <w:jc w:val="left"/>
        <w:outlineLvl w:val="1"/>
        <w:rPr>
          <w:rFonts w:hint="default" w:ascii="Times New Roman" w:hAnsi="Times New Roman" w:cs="Times New Roman"/>
        </w:rPr>
        <w:sectPr>
          <w:pgSz w:w="16839" w:h="11907" w:orient="landscape"/>
          <w:pgMar w:top="1361" w:right="1020" w:bottom="1361" w:left="1020" w:header="851" w:footer="992" w:gutter="0"/>
          <w:cols w:space="720" w:num="1"/>
          <w:docGrid w:type="lines" w:linePitch="312" w:charSpace="0"/>
        </w:sectPr>
      </w:pPr>
    </w:p>
    <w:p>
      <w:pPr>
        <w:widowControl/>
        <w:spacing w:before="0" w:after="0" w:line="240" w:lineRule="auto"/>
        <w:ind w:firstLine="0"/>
        <w:jc w:val="center"/>
        <w:outlineLvl w:val="9"/>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44"/>
          <w:lang w:eastAsia="uk-UA"/>
        </w:rPr>
        <w:t>北戴河生命健康产业研究院202</w:t>
      </w:r>
      <w:r>
        <w:rPr>
          <w:rFonts w:hint="eastAsia" w:ascii="方正小标宋_GBK" w:hAnsi="方正小标宋_GBK" w:eastAsia="方正小标宋_GBK" w:cs="方正小标宋_GBK"/>
          <w:color w:val="000000"/>
          <w:kern w:val="0"/>
          <w:sz w:val="44"/>
          <w:lang w:val="en-US" w:eastAsia="zh-CN"/>
        </w:rPr>
        <w:t>1</w:t>
      </w:r>
      <w:r>
        <w:rPr>
          <w:rFonts w:ascii="方正小标宋_GBK" w:hAnsi="方正小标宋_GBK" w:eastAsia="方正小标宋_GBK" w:cs="方正小标宋_GBK"/>
          <w:color w:val="000000"/>
          <w:kern w:val="0"/>
          <w:sz w:val="44"/>
          <w:lang w:eastAsia="uk-UA"/>
        </w:rPr>
        <w:t>年部门预算信息公开情况说明</w:t>
      </w:r>
    </w:p>
    <w:p>
      <w:pPr>
        <w:widowControl/>
        <w:spacing w:before="0" w:after="0" w:line="500" w:lineRule="exact"/>
        <w:ind w:firstLine="560"/>
        <w:jc w:val="left"/>
        <w:outlineLvl w:val="9"/>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按照《预算法》、《地方预决算公开操作规程》和《关于进一步推进预算公开工作的实施意见》规定，现将北戴河生命健康产业研究院202</w:t>
      </w:r>
      <w:r>
        <w:rPr>
          <w:rFonts w:hint="eastAsia" w:ascii="Times New Roman" w:hAnsi="Times New Roman" w:eastAsia="方正仿宋_GBK" w:cs="Times New Roman"/>
          <w:color w:val="000000"/>
          <w:kern w:val="0"/>
          <w:sz w:val="28"/>
          <w:lang w:val="en-US" w:eastAsia="zh-CN"/>
        </w:rPr>
        <w:t>1</w:t>
      </w:r>
      <w:r>
        <w:rPr>
          <w:rFonts w:ascii="Times New Roman" w:hAnsi="Times New Roman" w:eastAsia="方正仿宋_GBK" w:cs="Times New Roman"/>
          <w:color w:val="000000"/>
          <w:kern w:val="0"/>
          <w:sz w:val="28"/>
          <w:lang w:eastAsia="uk-UA"/>
        </w:rPr>
        <w:t>年部门预算公开如下：</w:t>
      </w:r>
    </w:p>
    <w:p>
      <w:pPr>
        <w:adjustRightInd w:val="0"/>
        <w:spacing w:line="560" w:lineRule="exact"/>
        <w:ind w:firstLine="640" w:firstLineChars="200"/>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val="en-US" w:eastAsia="zh-CN"/>
        </w:rPr>
        <w:t>一、</w:t>
      </w:r>
      <w:r>
        <w:rPr>
          <w:rFonts w:hint="eastAsia" w:ascii="黑体" w:hAnsi="黑体" w:eastAsia="黑体" w:cs="黑体"/>
          <w:b w:val="0"/>
          <w:bCs/>
          <w:color w:val="auto"/>
          <w:kern w:val="0"/>
          <w:sz w:val="32"/>
          <w:szCs w:val="32"/>
        </w:rPr>
        <w:t>部门职责及机构设置情况</w:t>
      </w:r>
    </w:p>
    <w:p>
      <w:pPr>
        <w:ind w:firstLine="643" w:firstLineChars="200"/>
        <w:jc w:val="left"/>
        <w:rPr>
          <w:rFonts w:hint="eastAsia" w:ascii="方正仿宋简体" w:hAnsi="方正仿宋简体" w:eastAsia="方正仿宋简体" w:cs="方正仿宋简体"/>
          <w:b/>
          <w:bCs w:val="0"/>
          <w:sz w:val="32"/>
          <w:szCs w:val="22"/>
        </w:rPr>
      </w:pPr>
      <w:r>
        <w:rPr>
          <w:rFonts w:hint="eastAsia" w:ascii="方正仿宋简体" w:hAnsi="方正仿宋简体" w:eastAsia="方正仿宋简体" w:cs="方正仿宋简体"/>
          <w:b/>
          <w:bCs w:val="0"/>
          <w:sz w:val="32"/>
          <w:szCs w:val="22"/>
        </w:rPr>
        <w:t>部门职责：</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根据《秦皇岛市机构编制委员会关于成立北戴河生命健康产业研究院的批复》（秦编〔2017〕108号）要求及2017年新区第17次工委会议精神，结合新区经济社会发展，设置北戴河生命健康产业研究院，作为新区工委、管委内设机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 xml:space="preserve">一、主要职责 </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（一）研究制定示范区支持政策，对接省直相关部门、国家有关部委，全力争取示范区在国家政策层面改革创新、先行先试，持续获得国家政策支持，构建示范区政策支撑体系；</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（二）承担落实《北戴河生命健康产业创新示范区推进工作方案》及附件《支持北戴河生命健康产业创新示范区建设政策措施的责任分工》（冀政办字〔2017〕58号）的综合协调工作；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（三）承担示范区秦皇岛市领导小组政策跑办组的综合协调工作；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（四）承担与河北省发改委社会处合署办公任务，建立政策跑办争取绿色通道；</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（五）承担示范区省领导小组及省领导小组办公室日常运行工作；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六）根据示范区发展需要，对示范区的战略定位、目标任务、实施路径、保障措施等进行系统深入调查研究，提出科学性、前瞻性兼具的解决方案，为新区工委、管委的科学决策提供有益参考，充分发挥对新区经济社会的引领作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（七）研究新区经济社会发展战略和中长期经济社会发展趋势，为制定示范区发展战略和中长期规划提供研究成果和决策咨询；</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（八）调查研究新区经济社会发展中的热点问题和难点问题，提出具有可行性和可操作性的对策建议；</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（九）承担新区工委、管委交办的重大调研课题，就示范区产业发展、政策支撑、重点区域开发等重大问题，提出具有可行性和可操作性的对策建议；</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（十）承担示范区专家咨询委员会日常工作，组织国内外知名专家、学者开展决策咨询，针对示范区重大战略性、前瞻性问题提供咨询建议；</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（十一）建立开放式的合作交流平台，与国内外有关智库机构建立对接联系，开展合作研究、交流互访等活动；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（十二）承担新区工委、管委交办的重要政策文件文稿起草工作；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（十三）新区工委、管委交办的其他事项。</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center"/>
        <w:textAlignment w:val="auto"/>
        <w:rPr>
          <w:rFonts w:hint="default" w:ascii="Times New Roman" w:hAnsi="Times New Roman" w:eastAsia="方正仿宋简体" w:cs="Times New Roman"/>
          <w:b/>
          <w:bCs/>
          <w:color w:val="auto"/>
          <w:kern w:val="0"/>
          <w:sz w:val="32"/>
          <w:szCs w:val="32"/>
          <w:lang w:eastAsia="zh-CN"/>
        </w:rPr>
      </w:pPr>
      <w:r>
        <w:rPr>
          <w:rFonts w:ascii="方正小标宋_GBK" w:hAnsi="等线" w:eastAsia="方正小标宋_GBK" w:cs="Times New Roman"/>
          <w:sz w:val="32"/>
          <w:szCs w:val="22"/>
        </w:rPr>
        <w:t>部门机构设置情况</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方正仿宋简体" w:cs="Times New Roman"/>
          <w:b/>
          <w:bCs/>
          <w:color w:val="auto"/>
          <w:kern w:val="0"/>
          <w:sz w:val="32"/>
          <w:szCs w:val="32"/>
          <w:lang w:eastAsia="zh-CN"/>
        </w:rPr>
      </w:pPr>
      <w:r>
        <w:rPr>
          <w:rFonts w:hint="default" w:ascii="Times New Roman" w:hAnsi="Times New Roman" w:eastAsia="方正仿宋简体" w:cs="Times New Roman"/>
          <w:b/>
          <w:bCs/>
          <w:color w:val="auto"/>
          <w:kern w:val="0"/>
          <w:sz w:val="32"/>
          <w:szCs w:val="32"/>
          <w:lang w:eastAsia="zh-CN"/>
        </w:rPr>
        <w:t>机构设置：</w:t>
      </w:r>
      <w:r>
        <w:rPr>
          <w:rFonts w:hint="eastAsia" w:ascii="Times New Roman" w:hAnsi="Times New Roman" w:eastAsia="方正仿宋简体" w:cs="Times New Roman"/>
          <w:b/>
          <w:bCs/>
          <w:color w:val="auto"/>
          <w:kern w:val="0"/>
          <w:sz w:val="32"/>
          <w:szCs w:val="32"/>
          <w:lang w:val="en-US" w:eastAsia="zh-CN"/>
        </w:rPr>
        <w:t xml:space="preserve">     </w:t>
      </w:r>
    </w:p>
    <w:tbl>
      <w:tblPr>
        <w:tblStyle w:val="4"/>
        <w:tblpPr w:leftFromText="180" w:rightFromText="180" w:vertAnchor="text" w:horzAnchor="page" w:tblpX="1666" w:tblpY="165"/>
        <w:tblOverlap w:val="never"/>
        <w:tblW w:w="1375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59"/>
        <w:gridCol w:w="1171"/>
        <w:gridCol w:w="4299"/>
        <w:gridCol w:w="50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1" w:hRule="atLeast"/>
          <w:tblHeader/>
        </w:trPr>
        <w:tc>
          <w:tcPr>
            <w:tcW w:w="3259" w:type="dxa"/>
            <w:noWrap w:val="0"/>
            <w:vAlign w:val="center"/>
          </w:tcPr>
          <w:p>
            <w:pPr>
              <w:spacing w:line="300" w:lineRule="exact"/>
              <w:jc w:val="center"/>
              <w:rPr>
                <w:rFonts w:hint="eastAsia" w:ascii="方正仿宋简体" w:hAnsi="方正仿宋简体" w:eastAsia="方正仿宋简体" w:cs="方正仿宋简体"/>
                <w:b/>
                <w:szCs w:val="22"/>
              </w:rPr>
            </w:pPr>
            <w:r>
              <w:rPr>
                <w:rFonts w:ascii="方正书宋_GBK" w:hAnsi="等线" w:eastAsia="方正书宋_GBK" w:cs="Times New Roman"/>
                <w:b/>
                <w:szCs w:val="22"/>
              </w:rPr>
              <w:t>单位名称</w:t>
            </w:r>
          </w:p>
        </w:tc>
        <w:tc>
          <w:tcPr>
            <w:tcW w:w="1171" w:type="dxa"/>
            <w:noWrap w:val="0"/>
            <w:vAlign w:val="center"/>
          </w:tcPr>
          <w:p>
            <w:pPr>
              <w:spacing w:line="300" w:lineRule="exact"/>
              <w:jc w:val="center"/>
              <w:rPr>
                <w:rFonts w:hint="eastAsia" w:ascii="方正仿宋简体" w:hAnsi="方正仿宋简体" w:eastAsia="方正仿宋简体" w:cs="方正仿宋简体"/>
                <w:b/>
                <w:szCs w:val="22"/>
              </w:rPr>
            </w:pPr>
            <w:r>
              <w:rPr>
                <w:rFonts w:ascii="方正书宋_GBK" w:hAnsi="等线" w:eastAsia="方正书宋_GBK" w:cs="Times New Roman"/>
                <w:b/>
                <w:szCs w:val="22"/>
              </w:rPr>
              <w:t>单位性质</w:t>
            </w:r>
          </w:p>
        </w:tc>
        <w:tc>
          <w:tcPr>
            <w:tcW w:w="4299" w:type="dxa"/>
            <w:noWrap w:val="0"/>
            <w:vAlign w:val="center"/>
          </w:tcPr>
          <w:p>
            <w:pPr>
              <w:spacing w:line="300" w:lineRule="exact"/>
              <w:jc w:val="center"/>
              <w:rPr>
                <w:rFonts w:hint="eastAsia" w:ascii="方正仿宋简体" w:hAnsi="方正仿宋简体" w:eastAsia="方正仿宋简体" w:cs="方正仿宋简体"/>
                <w:b/>
                <w:szCs w:val="22"/>
              </w:rPr>
            </w:pPr>
            <w:r>
              <w:rPr>
                <w:rFonts w:ascii="方正书宋_GBK" w:hAnsi="等线" w:eastAsia="方正书宋_GBK" w:cs="Times New Roman"/>
                <w:b/>
                <w:szCs w:val="22"/>
              </w:rPr>
              <w:t>单位规格</w:t>
            </w:r>
          </w:p>
        </w:tc>
        <w:tc>
          <w:tcPr>
            <w:tcW w:w="5025" w:type="dxa"/>
            <w:noWrap w:val="0"/>
            <w:vAlign w:val="center"/>
          </w:tcPr>
          <w:p>
            <w:pPr>
              <w:spacing w:line="300" w:lineRule="exact"/>
              <w:jc w:val="center"/>
              <w:rPr>
                <w:rFonts w:hint="eastAsia" w:ascii="方正仿宋简体" w:hAnsi="方正仿宋简体" w:eastAsia="方正仿宋简体" w:cs="方正仿宋简体"/>
                <w:b/>
                <w:szCs w:val="22"/>
              </w:rPr>
            </w:pPr>
            <w:r>
              <w:rPr>
                <w:rFonts w:ascii="方正书宋_GBK" w:hAnsi="等线" w:eastAsia="方正书宋_GBK" w:cs="Times New Roman"/>
                <w:b/>
                <w:szCs w:val="2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7" w:hRule="atLeast"/>
        </w:trPr>
        <w:tc>
          <w:tcPr>
            <w:tcW w:w="3259" w:type="dxa"/>
            <w:noWrap w:val="0"/>
            <w:vAlign w:val="center"/>
          </w:tcPr>
          <w:p>
            <w:pPr>
              <w:spacing w:line="300" w:lineRule="exact"/>
              <w:jc w:val="left"/>
              <w:rPr>
                <w:rFonts w:hint="eastAsia" w:ascii="方正仿宋简体" w:hAnsi="方正仿宋简体" w:eastAsia="方正仿宋简体" w:cs="方正仿宋简体"/>
                <w:szCs w:val="22"/>
              </w:rPr>
            </w:pPr>
            <w:r>
              <w:rPr>
                <w:rFonts w:ascii="方正书宋_GBK" w:hAnsi="等线" w:eastAsia="方正书宋_GBK" w:cs="Times New Roman"/>
                <w:szCs w:val="22"/>
              </w:rPr>
              <w:t>北戴河生命健康产业研究院</w:t>
            </w:r>
          </w:p>
        </w:tc>
        <w:tc>
          <w:tcPr>
            <w:tcW w:w="1171" w:type="dxa"/>
            <w:noWrap w:val="0"/>
            <w:vAlign w:val="center"/>
          </w:tcPr>
          <w:p>
            <w:pPr>
              <w:spacing w:line="300" w:lineRule="exact"/>
              <w:jc w:val="center"/>
              <w:rPr>
                <w:rFonts w:hint="eastAsia" w:ascii="方正仿宋简体" w:hAnsi="方正仿宋简体" w:eastAsia="方正仿宋简体" w:cs="方正仿宋简体"/>
                <w:szCs w:val="22"/>
              </w:rPr>
            </w:pPr>
            <w:r>
              <w:rPr>
                <w:rFonts w:ascii="方正书宋_GBK" w:hAnsi="等线" w:eastAsia="方正书宋_GBK" w:cs="Times New Roman"/>
                <w:szCs w:val="22"/>
              </w:rPr>
              <w:t>事业</w:t>
            </w:r>
          </w:p>
        </w:tc>
        <w:tc>
          <w:tcPr>
            <w:tcW w:w="4299" w:type="dxa"/>
            <w:noWrap w:val="0"/>
            <w:vAlign w:val="center"/>
          </w:tcPr>
          <w:p>
            <w:pPr>
              <w:spacing w:line="300" w:lineRule="exact"/>
              <w:jc w:val="center"/>
              <w:rPr>
                <w:rFonts w:hint="eastAsia" w:ascii="方正仿宋简体" w:hAnsi="方正仿宋简体" w:eastAsia="方正仿宋简体" w:cs="方正仿宋简体"/>
                <w:szCs w:val="22"/>
              </w:rPr>
            </w:pPr>
            <w:r>
              <w:rPr>
                <w:rFonts w:ascii="方正书宋_GBK" w:hAnsi="等线" w:eastAsia="方正书宋_GBK" w:cs="Times New Roman"/>
                <w:szCs w:val="22"/>
              </w:rPr>
              <w:t>正科级</w:t>
            </w:r>
          </w:p>
        </w:tc>
        <w:tc>
          <w:tcPr>
            <w:tcW w:w="5025" w:type="dxa"/>
            <w:noWrap w:val="0"/>
            <w:vAlign w:val="center"/>
          </w:tcPr>
          <w:p>
            <w:pPr>
              <w:spacing w:line="300" w:lineRule="exact"/>
              <w:jc w:val="center"/>
              <w:rPr>
                <w:rFonts w:hint="eastAsia" w:ascii="方正仿宋简体" w:hAnsi="方正仿宋简体" w:eastAsia="方正仿宋简体" w:cs="方正仿宋简体"/>
                <w:szCs w:val="22"/>
              </w:rPr>
            </w:pPr>
            <w:r>
              <w:rPr>
                <w:rFonts w:ascii="方正书宋_GBK" w:hAnsi="等线" w:eastAsia="方正书宋_GBK" w:cs="Times New Roman"/>
                <w:szCs w:val="2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7" w:hRule="atLeast"/>
        </w:trPr>
        <w:tc>
          <w:tcPr>
            <w:tcW w:w="3259" w:type="dxa"/>
            <w:noWrap w:val="0"/>
            <w:vAlign w:val="center"/>
          </w:tcPr>
          <w:p>
            <w:pPr>
              <w:spacing w:line="300" w:lineRule="exact"/>
              <w:jc w:val="left"/>
              <w:rPr>
                <w:rFonts w:hint="eastAsia" w:ascii="方正仿宋简体" w:hAnsi="方正仿宋简体" w:eastAsia="方正仿宋简体" w:cs="方正仿宋简体"/>
                <w:kern w:val="2"/>
                <w:sz w:val="21"/>
                <w:szCs w:val="22"/>
                <w:lang w:val="en-US" w:eastAsia="zh-CN" w:bidi="ar-SA"/>
              </w:rPr>
            </w:pPr>
            <w:r>
              <w:rPr>
                <w:rFonts w:ascii="方正书宋_GBK" w:hAnsi="等线" w:eastAsia="方正书宋_GBK" w:cs="Times New Roman"/>
                <w:szCs w:val="22"/>
              </w:rPr>
              <w:t>北戴河生命健康产业研究院本级</w:t>
            </w:r>
          </w:p>
        </w:tc>
        <w:tc>
          <w:tcPr>
            <w:tcW w:w="1171" w:type="dxa"/>
            <w:noWrap w:val="0"/>
            <w:vAlign w:val="center"/>
          </w:tcPr>
          <w:p>
            <w:pPr>
              <w:spacing w:line="300" w:lineRule="exact"/>
              <w:jc w:val="center"/>
              <w:rPr>
                <w:rFonts w:hint="eastAsia" w:ascii="方正仿宋简体" w:hAnsi="方正仿宋简体" w:eastAsia="方正仿宋简体" w:cs="方正仿宋简体"/>
                <w:kern w:val="2"/>
                <w:sz w:val="21"/>
                <w:szCs w:val="22"/>
                <w:lang w:val="en-US" w:eastAsia="zh-CN" w:bidi="ar-SA"/>
              </w:rPr>
            </w:pPr>
            <w:r>
              <w:rPr>
                <w:rFonts w:ascii="方正书宋_GBK" w:hAnsi="等线" w:eastAsia="方正书宋_GBK" w:cs="Times New Roman"/>
                <w:szCs w:val="22"/>
              </w:rPr>
              <w:t>事业</w:t>
            </w:r>
          </w:p>
        </w:tc>
        <w:tc>
          <w:tcPr>
            <w:tcW w:w="4299" w:type="dxa"/>
            <w:noWrap w:val="0"/>
            <w:vAlign w:val="center"/>
          </w:tcPr>
          <w:p>
            <w:pPr>
              <w:spacing w:line="300" w:lineRule="exact"/>
              <w:jc w:val="center"/>
              <w:rPr>
                <w:rFonts w:hint="eastAsia" w:ascii="方正仿宋简体" w:hAnsi="方正仿宋简体" w:eastAsia="方正仿宋简体" w:cs="方正仿宋简体"/>
                <w:kern w:val="2"/>
                <w:sz w:val="21"/>
                <w:szCs w:val="22"/>
                <w:lang w:val="en-US" w:eastAsia="zh-CN" w:bidi="ar-SA"/>
              </w:rPr>
            </w:pPr>
            <w:r>
              <w:rPr>
                <w:rFonts w:ascii="方正书宋_GBK" w:hAnsi="等线" w:eastAsia="方正书宋_GBK" w:cs="Times New Roman"/>
                <w:szCs w:val="22"/>
              </w:rPr>
              <w:t>正科级</w:t>
            </w:r>
          </w:p>
        </w:tc>
        <w:tc>
          <w:tcPr>
            <w:tcW w:w="5025" w:type="dxa"/>
            <w:noWrap w:val="0"/>
            <w:vAlign w:val="center"/>
          </w:tcPr>
          <w:p>
            <w:pPr>
              <w:spacing w:line="300" w:lineRule="exact"/>
              <w:jc w:val="center"/>
              <w:rPr>
                <w:rFonts w:hint="eastAsia" w:ascii="方正仿宋简体" w:hAnsi="方正仿宋简体" w:eastAsia="方正仿宋简体" w:cs="方正仿宋简体"/>
                <w:kern w:val="2"/>
                <w:sz w:val="21"/>
                <w:szCs w:val="22"/>
                <w:lang w:val="en-US" w:eastAsia="zh-CN" w:bidi="ar-SA"/>
              </w:rPr>
            </w:pPr>
            <w:r>
              <w:rPr>
                <w:rFonts w:ascii="方正书宋_GBK" w:hAnsi="等线" w:eastAsia="方正书宋_GBK" w:cs="Times New Roman"/>
                <w:szCs w:val="22"/>
              </w:rPr>
              <w:t>财政性资金基本保证</w:t>
            </w:r>
          </w:p>
        </w:tc>
      </w:tr>
    </w:tbl>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方正楷体_GBK" w:cs="Times New Roman"/>
          <w:b/>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2"/>
        <w:rPr>
          <w:rFonts w:hint="default" w:ascii="Times New Roman" w:hAnsi="Times New Roman" w:eastAsia="黑体" w:cs="Times New Roman"/>
          <w:sz w:val="32"/>
          <w:szCs w:val="22"/>
        </w:rPr>
      </w:pPr>
      <w:r>
        <w:rPr>
          <w:rFonts w:hint="eastAsia" w:ascii="Times New Roman" w:hAnsi="Times New Roman" w:eastAsia="黑体" w:cs="Times New Roman"/>
          <w:sz w:val="32"/>
          <w:szCs w:val="22"/>
          <w:lang w:val="en-US" w:eastAsia="zh-CN"/>
        </w:rPr>
        <w:t>二、</w:t>
      </w:r>
      <w:r>
        <w:rPr>
          <w:rFonts w:hint="default" w:ascii="Times New Roman" w:hAnsi="Times New Roman" w:eastAsia="黑体" w:cs="Times New Roman"/>
          <w:sz w:val="32"/>
          <w:szCs w:val="22"/>
        </w:rPr>
        <w:t>部门预算安排的总体情况</w:t>
      </w:r>
    </w:p>
    <w:p>
      <w:pPr>
        <w:keepNext w:val="0"/>
        <w:keepLines w:val="0"/>
        <w:pageBreakBefore w:val="0"/>
        <w:widowControl w:val="0"/>
        <w:kinsoku/>
        <w:wordWrap/>
        <w:overflowPunct/>
        <w:topLinePunct w:val="0"/>
        <w:autoSpaceDE/>
        <w:autoSpaceDN/>
        <w:bidi w:val="0"/>
        <w:adjustRightInd w:val="0"/>
        <w:snapToGrid/>
        <w:spacing w:line="560" w:lineRule="exact"/>
        <w:ind w:left="0"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按照预算管理有关规定，目前我省部门预算的编制实行综合预算管理，即全部收入和支出都反映在预算中。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（一）</w:t>
      </w:r>
      <w:r>
        <w:rPr>
          <w:rFonts w:hint="default" w:ascii="Times New Roman" w:hAnsi="Times New Roman" w:eastAsia="方正仿宋简体" w:cs="Times New Roman"/>
          <w:color w:val="auto"/>
          <w:kern w:val="0"/>
          <w:sz w:val="32"/>
          <w:szCs w:val="32"/>
        </w:rPr>
        <w:t>收入说明</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2021年</w:t>
      </w:r>
      <w:r>
        <w:rPr>
          <w:rFonts w:hint="default" w:ascii="Times New Roman" w:hAnsi="Times New Roman" w:eastAsia="方正仿宋简体" w:cs="Times New Roman"/>
          <w:color w:val="auto"/>
          <w:kern w:val="0"/>
          <w:sz w:val="32"/>
          <w:szCs w:val="32"/>
        </w:rPr>
        <w:t>预算收入233.83万元，一般公共预算拨款233.83万元。</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（二）</w:t>
      </w:r>
      <w:r>
        <w:rPr>
          <w:rFonts w:hint="default" w:ascii="Times New Roman" w:hAnsi="Times New Roman" w:eastAsia="方正仿宋简体" w:cs="Times New Roman"/>
          <w:color w:val="auto"/>
          <w:kern w:val="0"/>
          <w:sz w:val="32"/>
          <w:szCs w:val="32"/>
        </w:rPr>
        <w:t>支出说明</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2021年</w:t>
      </w:r>
      <w:r>
        <w:rPr>
          <w:rFonts w:hint="default" w:ascii="Times New Roman" w:hAnsi="Times New Roman" w:eastAsia="方正仿宋简体" w:cs="Times New Roman"/>
          <w:color w:val="auto"/>
          <w:kern w:val="0"/>
          <w:sz w:val="32"/>
          <w:szCs w:val="32"/>
        </w:rPr>
        <w:t>部门支出预算为233.83万元，其中基本支出75.83万元，包括人员经费68.21万元和日常公用经费7.62万元；项目支出158.00万元，全部为本级支出。</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（三）</w:t>
      </w:r>
      <w:r>
        <w:rPr>
          <w:rFonts w:hint="default" w:ascii="Times New Roman" w:hAnsi="Times New Roman" w:eastAsia="方正仿宋简体" w:cs="Times New Roman"/>
          <w:color w:val="auto"/>
          <w:kern w:val="0"/>
          <w:sz w:val="32"/>
          <w:szCs w:val="32"/>
        </w:rPr>
        <w:t>比上年增减情况</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2021年</w:t>
      </w:r>
      <w:r>
        <w:rPr>
          <w:rFonts w:hint="default" w:ascii="Times New Roman" w:hAnsi="Times New Roman" w:eastAsia="方正仿宋简体" w:cs="Times New Roman"/>
          <w:color w:val="auto"/>
          <w:kern w:val="0"/>
          <w:sz w:val="32"/>
          <w:szCs w:val="32"/>
        </w:rPr>
        <w:t>部门预算较20</w:t>
      </w:r>
      <w:r>
        <w:rPr>
          <w:rFonts w:hint="eastAsia" w:ascii="Times New Roman" w:hAnsi="Times New Roman" w:eastAsia="方正仿宋简体" w:cs="Times New Roman"/>
          <w:color w:val="auto"/>
          <w:kern w:val="0"/>
          <w:sz w:val="32"/>
          <w:szCs w:val="32"/>
          <w:lang w:val="en-US" w:eastAsia="zh-CN"/>
        </w:rPr>
        <w:t>20</w:t>
      </w:r>
      <w:r>
        <w:rPr>
          <w:rFonts w:hint="default" w:ascii="Times New Roman" w:hAnsi="Times New Roman" w:eastAsia="方正仿宋简体" w:cs="Times New Roman"/>
          <w:color w:val="auto"/>
          <w:kern w:val="0"/>
          <w:sz w:val="32"/>
          <w:szCs w:val="32"/>
        </w:rPr>
        <w:t>年</w:t>
      </w:r>
      <w:r>
        <w:rPr>
          <w:rFonts w:hint="eastAsia" w:ascii="Times New Roman" w:hAnsi="Times New Roman" w:eastAsia="方正仿宋简体" w:cs="Times New Roman"/>
          <w:color w:val="auto"/>
          <w:kern w:val="0"/>
          <w:sz w:val="32"/>
          <w:szCs w:val="32"/>
          <w:lang w:val="en-US" w:eastAsia="zh-CN"/>
        </w:rPr>
        <w:t>减少261.05</w:t>
      </w:r>
      <w:r>
        <w:rPr>
          <w:rFonts w:hint="default" w:ascii="Times New Roman" w:hAnsi="Times New Roman" w:eastAsia="方正仿宋简体" w:cs="Times New Roman"/>
          <w:color w:val="auto"/>
          <w:kern w:val="0"/>
          <w:sz w:val="32"/>
          <w:szCs w:val="32"/>
        </w:rPr>
        <w:t>万元，其中基本支出</w:t>
      </w:r>
      <w:r>
        <w:rPr>
          <w:rFonts w:hint="eastAsia" w:ascii="Times New Roman" w:hAnsi="Times New Roman" w:eastAsia="方正仿宋简体" w:cs="Times New Roman"/>
          <w:color w:val="auto"/>
          <w:kern w:val="0"/>
          <w:sz w:val="32"/>
          <w:szCs w:val="32"/>
          <w:lang w:val="en-US" w:eastAsia="zh-CN"/>
        </w:rPr>
        <w:t>减少116.45</w:t>
      </w:r>
      <w:r>
        <w:rPr>
          <w:rFonts w:hint="default" w:ascii="Times New Roman" w:hAnsi="Times New Roman" w:eastAsia="方正仿宋简体" w:cs="Times New Roman"/>
          <w:color w:val="auto"/>
          <w:kern w:val="0"/>
          <w:sz w:val="32"/>
          <w:szCs w:val="32"/>
        </w:rPr>
        <w:t>万元；项目支出</w:t>
      </w:r>
      <w:r>
        <w:rPr>
          <w:rFonts w:hint="eastAsia" w:ascii="Times New Roman" w:hAnsi="Times New Roman" w:eastAsia="方正仿宋简体" w:cs="Times New Roman"/>
          <w:color w:val="auto"/>
          <w:kern w:val="0"/>
          <w:sz w:val="32"/>
          <w:szCs w:val="32"/>
          <w:lang w:val="en-US" w:eastAsia="zh-CN"/>
        </w:rPr>
        <w:t>减少144.6</w:t>
      </w:r>
      <w:r>
        <w:rPr>
          <w:rFonts w:hint="default" w:ascii="Times New Roman" w:hAnsi="Times New Roman" w:eastAsia="方正仿宋简体" w:cs="Times New Roman"/>
          <w:color w:val="auto"/>
          <w:kern w:val="0"/>
          <w:sz w:val="32"/>
          <w:szCs w:val="32"/>
        </w:rPr>
        <w:t>万元，主要</w:t>
      </w:r>
      <w:r>
        <w:rPr>
          <w:rFonts w:hint="eastAsia" w:ascii="Times New Roman" w:hAnsi="Times New Roman" w:eastAsia="方正仿宋简体" w:cs="Times New Roman"/>
          <w:color w:val="auto"/>
          <w:kern w:val="0"/>
          <w:sz w:val="32"/>
          <w:szCs w:val="32"/>
          <w:lang w:val="en-US" w:eastAsia="zh-CN"/>
        </w:rPr>
        <w:t>是示范区专家咨询委员会秘书处经费和示范区专家咨询经费减少</w:t>
      </w:r>
      <w:r>
        <w:rPr>
          <w:rFonts w:hint="default" w:ascii="Times New Roman" w:hAnsi="Times New Roman" w:eastAsia="方正仿宋简体" w:cs="Times New Roman"/>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2"/>
        <w:rPr>
          <w:rFonts w:hint="default" w:ascii="Times New Roman" w:hAnsi="Times New Roman" w:eastAsia="黑体" w:cs="Times New Roman"/>
          <w:sz w:val="32"/>
          <w:szCs w:val="22"/>
        </w:rPr>
      </w:pPr>
      <w:r>
        <w:rPr>
          <w:rFonts w:hint="eastAsia" w:ascii="Times New Roman" w:hAnsi="Times New Roman" w:eastAsia="黑体" w:cs="Times New Roman"/>
          <w:sz w:val="32"/>
          <w:szCs w:val="22"/>
          <w:lang w:val="en-US" w:eastAsia="zh-CN"/>
        </w:rPr>
        <w:t>三、</w:t>
      </w:r>
      <w:r>
        <w:rPr>
          <w:rFonts w:hint="default" w:ascii="Times New Roman" w:hAnsi="Times New Roman" w:eastAsia="黑体" w:cs="Times New Roman"/>
          <w:sz w:val="32"/>
          <w:szCs w:val="22"/>
        </w:rPr>
        <w:t>机关运行经费安排情况</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机关运行经费共计安排</w:t>
      </w:r>
      <w:r>
        <w:rPr>
          <w:rFonts w:hint="eastAsia" w:ascii="Times New Roman" w:hAnsi="Times New Roman" w:eastAsia="方正仿宋简体" w:cs="Times New Roman"/>
          <w:color w:val="auto"/>
          <w:kern w:val="0"/>
          <w:sz w:val="32"/>
          <w:szCs w:val="32"/>
          <w:lang w:val="en-US" w:eastAsia="zh-CN"/>
        </w:rPr>
        <w:t>7.62</w:t>
      </w:r>
      <w:r>
        <w:rPr>
          <w:rFonts w:hint="default" w:ascii="Times New Roman" w:hAnsi="Times New Roman" w:eastAsia="方正仿宋简体" w:cs="Times New Roman"/>
          <w:color w:val="auto"/>
          <w:kern w:val="0"/>
          <w:sz w:val="32"/>
          <w:szCs w:val="32"/>
        </w:rPr>
        <w:t>万元，主要用于保证机关正常运转支的办公费、印刷费、差旅费、会议费、福利费、一般设备购置费、</w:t>
      </w:r>
      <w:r>
        <w:rPr>
          <w:rFonts w:hint="eastAsia" w:ascii="Times New Roman" w:hAnsi="Times New Roman" w:eastAsia="方正仿宋简体" w:cs="Times New Roman"/>
          <w:color w:val="auto"/>
          <w:kern w:val="0"/>
          <w:sz w:val="32"/>
          <w:szCs w:val="32"/>
          <w:lang w:eastAsia="zh-CN"/>
        </w:rPr>
        <w:t>公务交通补贴、工会经费</w:t>
      </w:r>
      <w:r>
        <w:rPr>
          <w:rFonts w:hint="default" w:ascii="Times New Roman" w:hAnsi="Times New Roman" w:eastAsia="方正仿宋简体" w:cs="Times New Roman"/>
          <w:color w:val="auto"/>
          <w:kern w:val="0"/>
          <w:sz w:val="32"/>
          <w:szCs w:val="32"/>
        </w:rPr>
        <w:t>等支出。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2"/>
        <w:rPr>
          <w:rFonts w:hint="default" w:ascii="Times New Roman" w:hAnsi="Times New Roman" w:eastAsia="黑体" w:cs="Times New Roman"/>
          <w:sz w:val="32"/>
          <w:szCs w:val="22"/>
        </w:rPr>
      </w:pPr>
      <w:r>
        <w:rPr>
          <w:rFonts w:hint="eastAsia" w:ascii="Times New Roman" w:hAnsi="Times New Roman" w:eastAsia="黑体" w:cs="Times New Roman"/>
          <w:sz w:val="32"/>
          <w:szCs w:val="22"/>
          <w:lang w:val="en-US" w:eastAsia="zh-CN"/>
        </w:rPr>
        <w:t>四、</w:t>
      </w:r>
      <w:r>
        <w:rPr>
          <w:rFonts w:hint="default" w:ascii="Times New Roman" w:hAnsi="Times New Roman" w:eastAsia="黑体" w:cs="Times New Roman"/>
          <w:sz w:val="32"/>
          <w:szCs w:val="22"/>
        </w:rPr>
        <w:t>财政拨款“三公”经费预算情况及增减变化原因</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2021年</w:t>
      </w:r>
      <w:r>
        <w:rPr>
          <w:rFonts w:hint="default" w:ascii="Times New Roman" w:hAnsi="Times New Roman" w:eastAsia="方正仿宋简体" w:cs="Times New Roman"/>
          <w:color w:val="auto"/>
          <w:kern w:val="0"/>
          <w:sz w:val="32"/>
          <w:szCs w:val="32"/>
        </w:rPr>
        <w:t>，财政拨款“三公”经费预算安排</w:t>
      </w:r>
      <w:r>
        <w:rPr>
          <w:rFonts w:hint="eastAsia" w:ascii="Times New Roman" w:hAnsi="Times New Roman" w:eastAsia="方正仿宋简体" w:cs="Times New Roman"/>
          <w:color w:val="auto"/>
          <w:kern w:val="0"/>
          <w:sz w:val="32"/>
          <w:szCs w:val="32"/>
          <w:lang w:val="en-US" w:eastAsia="zh-CN"/>
        </w:rPr>
        <w:t>0.09</w:t>
      </w:r>
      <w:r>
        <w:rPr>
          <w:rFonts w:hint="default" w:ascii="Times New Roman" w:hAnsi="Times New Roman" w:eastAsia="方正仿宋简体" w:cs="Times New Roman"/>
          <w:color w:val="auto"/>
          <w:kern w:val="0"/>
          <w:sz w:val="32"/>
          <w:szCs w:val="32"/>
        </w:rPr>
        <w:t>万元，其中：因公出国（境）费0万元；公务用车购置及运维费</w:t>
      </w:r>
      <w:r>
        <w:rPr>
          <w:rFonts w:hint="eastAsia" w:ascii="Times New Roman" w:hAnsi="Times New Roman" w:eastAsia="方正仿宋简体" w:cs="Times New Roman"/>
          <w:color w:val="auto"/>
          <w:kern w:val="0"/>
          <w:sz w:val="32"/>
          <w:szCs w:val="32"/>
          <w:lang w:val="en-US" w:eastAsia="zh-CN"/>
        </w:rPr>
        <w:t>0</w:t>
      </w:r>
      <w:r>
        <w:rPr>
          <w:rFonts w:hint="default" w:ascii="Times New Roman" w:hAnsi="Times New Roman" w:eastAsia="方正仿宋简体" w:cs="Times New Roman"/>
          <w:color w:val="auto"/>
          <w:kern w:val="0"/>
          <w:sz w:val="32"/>
          <w:szCs w:val="32"/>
        </w:rPr>
        <w:t>万元；公务接待费</w:t>
      </w:r>
      <w:r>
        <w:rPr>
          <w:rFonts w:hint="eastAsia" w:ascii="Times New Roman" w:hAnsi="Times New Roman" w:eastAsia="方正仿宋简体" w:cs="Times New Roman"/>
          <w:color w:val="auto"/>
          <w:kern w:val="0"/>
          <w:sz w:val="32"/>
          <w:szCs w:val="32"/>
          <w:lang w:val="en-US" w:eastAsia="zh-CN"/>
        </w:rPr>
        <w:t>0.09</w:t>
      </w:r>
      <w:r>
        <w:rPr>
          <w:rFonts w:hint="default" w:ascii="Times New Roman" w:hAnsi="Times New Roman" w:eastAsia="方正仿宋简体" w:cs="Times New Roman"/>
          <w:color w:val="auto"/>
          <w:kern w:val="0"/>
          <w:sz w:val="32"/>
          <w:szCs w:val="32"/>
        </w:rPr>
        <w:t>万元。“三公”经费较上年</w:t>
      </w:r>
      <w:r>
        <w:rPr>
          <w:rFonts w:hint="eastAsia" w:ascii="Times New Roman" w:hAnsi="Times New Roman" w:eastAsia="方正仿宋简体" w:cs="Times New Roman"/>
          <w:color w:val="auto"/>
          <w:kern w:val="0"/>
          <w:sz w:val="32"/>
          <w:szCs w:val="32"/>
          <w:lang w:eastAsia="zh-CN"/>
        </w:rPr>
        <w:t>上升</w:t>
      </w:r>
      <w:r>
        <w:rPr>
          <w:rFonts w:hint="eastAsia" w:ascii="Times New Roman" w:hAnsi="Times New Roman" w:eastAsia="方正仿宋简体" w:cs="Times New Roman"/>
          <w:color w:val="auto"/>
          <w:kern w:val="0"/>
          <w:sz w:val="32"/>
          <w:szCs w:val="32"/>
          <w:lang w:val="en-US" w:eastAsia="zh-CN"/>
        </w:rPr>
        <w:t>12.5</w:t>
      </w:r>
      <w:r>
        <w:rPr>
          <w:rFonts w:hint="default" w:ascii="Times New Roman" w:hAnsi="Times New Roman" w:eastAsia="方正仿宋简体" w:cs="Times New Roman"/>
          <w:color w:val="auto"/>
          <w:kern w:val="0"/>
          <w:sz w:val="32"/>
          <w:szCs w:val="32"/>
        </w:rPr>
        <w:t>%，主要原因是</w:t>
      </w:r>
      <w:r>
        <w:rPr>
          <w:rFonts w:hint="eastAsia" w:ascii="Times New Roman" w:hAnsi="Times New Roman" w:eastAsia="方正仿宋简体" w:cs="Times New Roman"/>
          <w:color w:val="auto"/>
          <w:kern w:val="0"/>
          <w:sz w:val="32"/>
          <w:szCs w:val="32"/>
          <w:lang w:val="en-US" w:eastAsia="zh-CN"/>
        </w:rPr>
        <w:t>公务接待费按照办公费等经费按比例安排预算，2021年新增人员，办公费等经费增加，因此公务接待费较上年增加。</w:t>
      </w:r>
    </w:p>
    <w:p>
      <w:pPr>
        <w:widowControl/>
        <w:spacing w:before="10" w:after="10" w:line="360" w:lineRule="auto"/>
        <w:ind w:firstLine="640"/>
        <w:jc w:val="left"/>
        <w:outlineLvl w:val="2"/>
        <w:rPr>
          <w:rFonts w:ascii="Times New Roman" w:hAnsi="Times New Roman" w:eastAsia="Times New Roman"/>
          <w:kern w:val="0"/>
          <w:sz w:val="24"/>
          <w:lang w:eastAsia="uk-UA"/>
        </w:rPr>
      </w:pPr>
      <w:bookmarkStart w:id="0" w:name="_Toc_3_3_0000000014"/>
      <w:r>
        <w:rPr>
          <w:rFonts w:ascii="黑体" w:hAnsi="黑体" w:eastAsia="黑体" w:cs="黑体"/>
          <w:color w:val="000000"/>
          <w:kern w:val="0"/>
          <w:sz w:val="32"/>
          <w:lang w:eastAsia="uk-UA"/>
        </w:rPr>
        <w:t>五、预算绩效信息</w:t>
      </w:r>
      <w:bookmarkEnd w:id="0"/>
    </w:p>
    <w:p>
      <w:pPr>
        <w:widowControl/>
        <w:spacing w:before="0" w:after="0" w:line="240" w:lineRule="auto"/>
        <w:ind w:firstLine="640"/>
        <w:jc w:val="left"/>
        <w:outlineLvl w:val="9"/>
        <w:rPr>
          <w:rFonts w:ascii="Times New Roman" w:hAnsi="Times New Roman" w:eastAsia="Times New Roman"/>
          <w:kern w:val="0"/>
          <w:sz w:val="24"/>
          <w:lang w:eastAsia="uk-UA"/>
        </w:rPr>
      </w:pPr>
      <w:r>
        <w:rPr>
          <w:rFonts w:ascii="方正楷体_GBK" w:hAnsi="方正楷体_GBK" w:eastAsia="方正楷体_GBK" w:cs="方正楷体_GBK"/>
          <w:b/>
          <w:color w:val="000000"/>
          <w:kern w:val="0"/>
          <w:sz w:val="32"/>
          <w:lang w:eastAsia="uk-UA"/>
        </w:rPr>
        <w:t>第一部分 部门整体绩效目标</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（一）总体绩效目标</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2021年，是示范区抢抓机遇、迎难而上，绘制“十四五”规划蓝图的开局之年，实现“五年成规模”收官之年，打造一流国际康养旅游度假目的地见实效攻坚之年。北戴河生命健康产业研究院将坚持以习近平新时代中国特色社会主义思想为指导，贯彻落实党的十九大和十九届五中全会精神，紧紧围绕“健康中国”战略，发挥北戴河生命健康产业创业示范区及其周边地区资源优势，深入研究“医、药、养、健、游”等大健康产业，为实现示范区健康产业快速集聚，城市组团迅速崛起起到了积极作用。</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（二）分项绩效目标</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1.</w:t>
      </w:r>
      <w:r>
        <w:rPr>
          <w:rFonts w:hint="eastAsia" w:ascii="Times New Roman" w:hAnsi="Times New Roman" w:eastAsia="方正仿宋简体" w:cs="Times New Roman"/>
          <w:kern w:val="0"/>
          <w:sz w:val="32"/>
          <w:szCs w:val="32"/>
        </w:rPr>
        <w:t>加强规划编制，全力推进健康产业提质增效。</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绩效目标：立足《示范区发展总体规划》，深入研究“医、药、养、健、游”产业细分方向，结合示范区的生态条件及北戴河区国家疗养胜地的政治优势，综合考量北京高端医疗资源的辐射带动作用，深度把脉与雄安、上海、深圳等地的竞争格局，寻求错位竞争、差异化发展。</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绩效指标：高标准规划设计，修改和完善《北戴河生命健康产业创新示范区产业规划》，保证规划设计达标率100%。加大示范区核心区建设步伐，积极培育生命科学园、阿那亚、远洋蔚蓝海岸等一批康养品牌。</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2.</w:t>
      </w:r>
      <w:r>
        <w:rPr>
          <w:rFonts w:hint="eastAsia" w:ascii="Times New Roman" w:hAnsi="Times New Roman" w:eastAsia="方正仿宋简体" w:cs="Times New Roman"/>
          <w:kern w:val="0"/>
          <w:sz w:val="32"/>
          <w:szCs w:val="32"/>
        </w:rPr>
        <w:t>强化政策支撑，推动医疗服务与旅游融合发展</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绩效目标：围绕破解阻碍生命健康产业的发展掣肘，加大政策创新力度。努力实现示范区内药品、器械、医疗技术与国外先进水平“三同步”，切实实现“高端、高新、高级”。</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绩效指标：</w:t>
      </w:r>
      <w:r>
        <w:rPr>
          <w:rFonts w:hint="eastAsia" w:ascii="Times New Roman" w:hAnsi="Times New Roman" w:eastAsia="方正仿宋简体" w:cs="Times New Roman"/>
          <w:kern w:val="0"/>
          <w:sz w:val="32"/>
          <w:szCs w:val="32"/>
          <w:lang w:eastAsia="zh-CN"/>
        </w:rPr>
        <w:t>（</w:t>
      </w:r>
      <w:r>
        <w:rPr>
          <w:rFonts w:hint="eastAsia" w:ascii="Times New Roman" w:hAnsi="Times New Roman" w:eastAsia="方正仿宋简体" w:cs="Times New Roman"/>
          <w:kern w:val="0"/>
          <w:sz w:val="32"/>
          <w:szCs w:val="32"/>
          <w:lang w:val="en-US" w:eastAsia="zh-CN"/>
        </w:rPr>
        <w:t>1</w:t>
      </w:r>
      <w:r>
        <w:rPr>
          <w:rFonts w:hint="eastAsia" w:ascii="Times New Roman" w:hAnsi="Times New Roman" w:eastAsia="方正仿宋简体" w:cs="Times New Roman"/>
          <w:kern w:val="0"/>
          <w:sz w:val="32"/>
          <w:szCs w:val="32"/>
          <w:lang w:eastAsia="zh-CN"/>
        </w:rPr>
        <w:t>）</w:t>
      </w:r>
      <w:r>
        <w:rPr>
          <w:rFonts w:hint="eastAsia" w:ascii="Times New Roman" w:hAnsi="Times New Roman" w:eastAsia="方正仿宋简体" w:cs="Times New Roman"/>
          <w:kern w:val="0"/>
          <w:sz w:val="32"/>
          <w:szCs w:val="32"/>
        </w:rPr>
        <w:t>一方面要继续围绕国家区域医疗中心建设，争取新药、新器械、新技术与国外先进水平同步。另一方面要着眼示范区目前发展现状，研究制定支持和促进旅游、康养等产业发展政策措施，以推动现有旅游康养产业提档升级，实现经济快速增长。</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eastAsia="zh-CN"/>
        </w:rPr>
        <w:t>（</w:t>
      </w:r>
      <w:r>
        <w:rPr>
          <w:rFonts w:hint="eastAsia" w:ascii="Times New Roman" w:hAnsi="Times New Roman" w:eastAsia="方正仿宋简体" w:cs="Times New Roman"/>
          <w:kern w:val="0"/>
          <w:sz w:val="32"/>
          <w:szCs w:val="32"/>
          <w:lang w:val="en-US" w:eastAsia="zh-CN"/>
        </w:rPr>
        <w:t>2</w:t>
      </w:r>
      <w:r>
        <w:rPr>
          <w:rFonts w:hint="eastAsia" w:ascii="Times New Roman" w:hAnsi="Times New Roman" w:eastAsia="方正仿宋简体" w:cs="Times New Roman"/>
          <w:kern w:val="0"/>
          <w:sz w:val="32"/>
          <w:szCs w:val="32"/>
          <w:lang w:eastAsia="zh-CN"/>
        </w:rPr>
        <w:t>）</w:t>
      </w:r>
      <w:r>
        <w:rPr>
          <w:rFonts w:hint="eastAsia" w:ascii="Times New Roman" w:hAnsi="Times New Roman" w:eastAsia="方正仿宋简体" w:cs="Times New Roman"/>
          <w:kern w:val="0"/>
          <w:sz w:val="32"/>
          <w:szCs w:val="32"/>
        </w:rPr>
        <w:t>研究制定政策文章篇数大于3篇。</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eastAsia="zh-CN"/>
        </w:rPr>
        <w:t>（</w:t>
      </w:r>
      <w:r>
        <w:rPr>
          <w:rFonts w:hint="eastAsia" w:ascii="Times New Roman" w:hAnsi="Times New Roman" w:eastAsia="方正仿宋简体" w:cs="Times New Roman"/>
          <w:kern w:val="0"/>
          <w:sz w:val="32"/>
          <w:szCs w:val="32"/>
          <w:lang w:val="en-US" w:eastAsia="zh-CN"/>
        </w:rPr>
        <w:t>3</w:t>
      </w:r>
      <w:r>
        <w:rPr>
          <w:rFonts w:hint="eastAsia" w:ascii="Times New Roman" w:hAnsi="Times New Roman" w:eastAsia="方正仿宋简体" w:cs="Times New Roman"/>
          <w:kern w:val="0"/>
          <w:sz w:val="32"/>
          <w:szCs w:val="32"/>
          <w:lang w:eastAsia="zh-CN"/>
        </w:rPr>
        <w:t>）</w:t>
      </w:r>
      <w:r>
        <w:rPr>
          <w:rFonts w:hint="eastAsia" w:ascii="Times New Roman" w:hAnsi="Times New Roman" w:eastAsia="方正仿宋简体" w:cs="Times New Roman"/>
          <w:kern w:val="0"/>
          <w:sz w:val="32"/>
          <w:szCs w:val="32"/>
        </w:rPr>
        <w:t>借助政策优势引入企业、项目数量大于2个。</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3.</w:t>
      </w:r>
      <w:r>
        <w:rPr>
          <w:rFonts w:hint="eastAsia" w:ascii="Times New Roman" w:hAnsi="Times New Roman" w:eastAsia="方正仿宋简体" w:cs="Times New Roman"/>
          <w:kern w:val="0"/>
          <w:sz w:val="32"/>
          <w:szCs w:val="32"/>
        </w:rPr>
        <w:t>全力推进课题调研，明确发展路径，提出对策建议。（创新发展研究工作）</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绩效目标：紧盯新区相关产业发展动态，围绕新区重点产业及新产业、新业态开展调查研究，针对重点课题撰写调研报告，剖析产业实际、提出发展目标、明确发展路径，努力做新区产业发展的“说明书”、“明白卡”，发挥参谋助手作用。</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绩效指标：</w:t>
      </w:r>
      <w:r>
        <w:rPr>
          <w:rFonts w:hint="eastAsia" w:ascii="Times New Roman" w:hAnsi="Times New Roman" w:eastAsia="方正仿宋简体" w:cs="Times New Roman"/>
          <w:kern w:val="0"/>
          <w:sz w:val="32"/>
          <w:szCs w:val="32"/>
          <w:lang w:eastAsia="zh-CN"/>
        </w:rPr>
        <w:t>（</w:t>
      </w:r>
      <w:r>
        <w:rPr>
          <w:rFonts w:hint="eastAsia" w:ascii="Times New Roman" w:hAnsi="Times New Roman" w:eastAsia="方正仿宋简体" w:cs="Times New Roman"/>
          <w:kern w:val="0"/>
          <w:sz w:val="32"/>
          <w:szCs w:val="32"/>
          <w:lang w:val="en-US" w:eastAsia="zh-CN"/>
        </w:rPr>
        <w:t>1</w:t>
      </w:r>
      <w:r>
        <w:rPr>
          <w:rFonts w:hint="eastAsia" w:ascii="Times New Roman" w:hAnsi="Times New Roman" w:eastAsia="方正仿宋简体" w:cs="Times New Roman"/>
          <w:kern w:val="0"/>
          <w:sz w:val="32"/>
          <w:szCs w:val="32"/>
          <w:lang w:eastAsia="zh-CN"/>
        </w:rPr>
        <w:t>）</w:t>
      </w:r>
      <w:r>
        <w:rPr>
          <w:rFonts w:hint="eastAsia" w:ascii="Times New Roman" w:hAnsi="Times New Roman" w:eastAsia="方正仿宋简体" w:cs="Times New Roman"/>
          <w:kern w:val="0"/>
          <w:sz w:val="32"/>
          <w:szCs w:val="32"/>
        </w:rPr>
        <w:t>完成专题课题研究大于8个。</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eastAsia="zh-CN"/>
        </w:rPr>
        <w:t>（</w:t>
      </w:r>
      <w:r>
        <w:rPr>
          <w:rFonts w:hint="eastAsia" w:ascii="Times New Roman" w:hAnsi="Times New Roman" w:eastAsia="方正仿宋简体" w:cs="Times New Roman"/>
          <w:kern w:val="0"/>
          <w:sz w:val="32"/>
          <w:szCs w:val="32"/>
          <w:lang w:val="en-US" w:eastAsia="zh-CN"/>
        </w:rPr>
        <w:t>2</w:t>
      </w:r>
      <w:r>
        <w:rPr>
          <w:rFonts w:hint="eastAsia" w:ascii="Times New Roman" w:hAnsi="Times New Roman" w:eastAsia="方正仿宋简体" w:cs="Times New Roman"/>
          <w:kern w:val="0"/>
          <w:sz w:val="32"/>
          <w:szCs w:val="32"/>
          <w:lang w:eastAsia="zh-CN"/>
        </w:rPr>
        <w:t>）</w:t>
      </w:r>
      <w:r>
        <w:rPr>
          <w:rFonts w:hint="eastAsia" w:ascii="Times New Roman" w:hAnsi="Times New Roman" w:eastAsia="方正仿宋简体" w:cs="Times New Roman"/>
          <w:kern w:val="0"/>
          <w:sz w:val="32"/>
          <w:szCs w:val="32"/>
        </w:rPr>
        <w:t>参与决策咨询活动次数大于20次。</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4.</w:t>
      </w:r>
      <w:r>
        <w:rPr>
          <w:rFonts w:hint="eastAsia" w:ascii="Times New Roman" w:hAnsi="Times New Roman" w:eastAsia="方正仿宋简体" w:cs="Times New Roman"/>
          <w:kern w:val="0"/>
          <w:sz w:val="32"/>
          <w:szCs w:val="32"/>
        </w:rPr>
        <w:t>加强与与省发改委社会的交流合作</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绩效目标：保障省领导小组办公室正常运转，建立政策跑办争取绿色通道，推动省级层面对示范区建设工作的支持。</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绩效指标：印发文件数量大于1篇。</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5.</w:t>
      </w:r>
      <w:r>
        <w:rPr>
          <w:rFonts w:hint="eastAsia" w:ascii="Times New Roman" w:hAnsi="Times New Roman" w:eastAsia="方正仿宋简体" w:cs="Times New Roman"/>
          <w:kern w:val="0"/>
          <w:sz w:val="32"/>
          <w:szCs w:val="32"/>
        </w:rPr>
        <w:t>推动北戴河生命健康产业创新示范区专家咨询委员会各项工作</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绩效目标：通过建立开放式的合作交流平台，与国内外有关智库机构建立对接联系，开展合作研究、交流互访。</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绩效指标：</w:t>
      </w:r>
      <w:r>
        <w:rPr>
          <w:rFonts w:hint="eastAsia" w:ascii="Times New Roman" w:hAnsi="Times New Roman" w:eastAsia="方正仿宋简体" w:cs="Times New Roman"/>
          <w:kern w:val="0"/>
          <w:sz w:val="32"/>
          <w:szCs w:val="32"/>
          <w:lang w:eastAsia="zh-CN"/>
        </w:rPr>
        <w:t>（</w:t>
      </w:r>
      <w:r>
        <w:rPr>
          <w:rFonts w:hint="eastAsia" w:ascii="Times New Roman" w:hAnsi="Times New Roman" w:eastAsia="方正仿宋简体" w:cs="Times New Roman"/>
          <w:kern w:val="0"/>
          <w:sz w:val="32"/>
          <w:szCs w:val="32"/>
          <w:lang w:val="en-US" w:eastAsia="zh-CN"/>
        </w:rPr>
        <w:t>1</w:t>
      </w:r>
      <w:r>
        <w:rPr>
          <w:rFonts w:hint="eastAsia" w:ascii="Times New Roman" w:hAnsi="Times New Roman" w:eastAsia="方正仿宋简体" w:cs="Times New Roman"/>
          <w:kern w:val="0"/>
          <w:sz w:val="32"/>
          <w:szCs w:val="32"/>
          <w:lang w:eastAsia="zh-CN"/>
        </w:rPr>
        <w:t>）</w:t>
      </w:r>
      <w:r>
        <w:rPr>
          <w:rFonts w:hint="eastAsia" w:ascii="Times New Roman" w:hAnsi="Times New Roman" w:eastAsia="方正仿宋简体" w:cs="Times New Roman"/>
          <w:kern w:val="0"/>
          <w:sz w:val="32"/>
          <w:szCs w:val="32"/>
        </w:rPr>
        <w:t>专家委员</w:t>
      </w:r>
      <w:r>
        <w:rPr>
          <w:rFonts w:hint="eastAsia" w:ascii="Times New Roman" w:hAnsi="Times New Roman" w:eastAsia="方正仿宋简体" w:cs="Times New Roman"/>
          <w:kern w:val="0"/>
          <w:sz w:val="32"/>
          <w:szCs w:val="32"/>
          <w:lang w:eastAsia="zh-CN"/>
        </w:rPr>
        <w:t>提出意见建议</w:t>
      </w:r>
      <w:r>
        <w:rPr>
          <w:rFonts w:hint="eastAsia" w:ascii="Times New Roman" w:hAnsi="Times New Roman" w:eastAsia="方正仿宋简体" w:cs="Times New Roman"/>
          <w:kern w:val="0"/>
          <w:sz w:val="32"/>
          <w:szCs w:val="32"/>
        </w:rPr>
        <w:t>大于</w:t>
      </w:r>
      <w:r>
        <w:rPr>
          <w:rFonts w:hint="eastAsia" w:ascii="Times New Roman" w:hAnsi="Times New Roman" w:eastAsia="方正仿宋简体" w:cs="Times New Roman"/>
          <w:kern w:val="0"/>
          <w:sz w:val="32"/>
          <w:szCs w:val="32"/>
          <w:lang w:val="en-US" w:eastAsia="zh-CN"/>
        </w:rPr>
        <w:t>10</w:t>
      </w:r>
      <w:r>
        <w:rPr>
          <w:rFonts w:hint="eastAsia" w:ascii="Times New Roman" w:hAnsi="Times New Roman" w:eastAsia="方正仿宋简体" w:cs="Times New Roman"/>
          <w:kern w:val="0"/>
          <w:sz w:val="32"/>
          <w:szCs w:val="32"/>
          <w:lang w:eastAsia="zh-CN"/>
        </w:rPr>
        <w:t>项（条）</w:t>
      </w:r>
      <w:r>
        <w:rPr>
          <w:rFonts w:hint="eastAsia" w:ascii="Times New Roman" w:hAnsi="Times New Roman" w:eastAsia="方正仿宋简体" w:cs="Times New Roman"/>
          <w:kern w:val="0"/>
          <w:sz w:val="32"/>
          <w:szCs w:val="32"/>
        </w:rPr>
        <w:t>。</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eastAsia="zh-CN"/>
        </w:rPr>
        <w:t>（</w:t>
      </w:r>
      <w:r>
        <w:rPr>
          <w:rFonts w:hint="eastAsia" w:ascii="Times New Roman" w:hAnsi="Times New Roman" w:eastAsia="方正仿宋简体" w:cs="Times New Roman"/>
          <w:kern w:val="0"/>
          <w:sz w:val="32"/>
          <w:szCs w:val="32"/>
          <w:lang w:val="en-US" w:eastAsia="zh-CN"/>
        </w:rPr>
        <w:t>2</w:t>
      </w:r>
      <w:r>
        <w:rPr>
          <w:rFonts w:hint="eastAsia" w:ascii="Times New Roman" w:hAnsi="Times New Roman" w:eastAsia="方正仿宋简体" w:cs="Times New Roman"/>
          <w:kern w:val="0"/>
          <w:sz w:val="32"/>
          <w:szCs w:val="32"/>
          <w:lang w:eastAsia="zh-CN"/>
        </w:rPr>
        <w:t>）</w:t>
      </w:r>
      <w:r>
        <w:rPr>
          <w:rFonts w:hint="eastAsia" w:ascii="Times New Roman" w:hAnsi="Times New Roman" w:eastAsia="方正仿宋简体" w:cs="Times New Roman"/>
          <w:kern w:val="0"/>
          <w:sz w:val="32"/>
          <w:szCs w:val="32"/>
        </w:rPr>
        <w:t>邀请专家到示范区组织培训和召开座谈会次数不少于2次。</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eastAsia="zh-CN"/>
        </w:rPr>
        <w:t>（</w:t>
      </w:r>
      <w:r>
        <w:rPr>
          <w:rFonts w:hint="eastAsia" w:ascii="Times New Roman" w:hAnsi="Times New Roman" w:eastAsia="方正仿宋简体" w:cs="Times New Roman"/>
          <w:kern w:val="0"/>
          <w:sz w:val="32"/>
          <w:szCs w:val="32"/>
          <w:lang w:val="en-US" w:eastAsia="zh-CN"/>
        </w:rPr>
        <w:t>3</w:t>
      </w:r>
      <w:r>
        <w:rPr>
          <w:rFonts w:hint="eastAsia" w:ascii="Times New Roman" w:hAnsi="Times New Roman" w:eastAsia="方正仿宋简体" w:cs="Times New Roman"/>
          <w:kern w:val="0"/>
          <w:sz w:val="32"/>
          <w:szCs w:val="32"/>
          <w:lang w:eastAsia="zh-CN"/>
        </w:rPr>
        <w:t>）</w:t>
      </w:r>
      <w:r>
        <w:rPr>
          <w:rFonts w:hint="eastAsia" w:ascii="Times New Roman" w:hAnsi="Times New Roman" w:eastAsia="方正仿宋简体" w:cs="Times New Roman"/>
          <w:kern w:val="0"/>
          <w:sz w:val="32"/>
          <w:szCs w:val="32"/>
        </w:rPr>
        <w:t xml:space="preserve">与专家沟通联络咨询活动次数大于20次。      </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6.</w:t>
      </w:r>
      <w:r>
        <w:rPr>
          <w:rFonts w:hint="eastAsia" w:ascii="Times New Roman" w:hAnsi="Times New Roman" w:eastAsia="方正仿宋简体" w:cs="Times New Roman"/>
          <w:kern w:val="0"/>
          <w:sz w:val="32"/>
          <w:szCs w:val="32"/>
        </w:rPr>
        <w:t>示范区发展相关政策研究工作</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绩效目标：为深入研究医疗机构设置运营监管以及社会办医医保、税收、筹融资等方面政策，谋划制定相关政策支持示范区医疗、康养等产业发展。与国家卫健委卫生发展研究中心就示范区发展相关政策课题研究建立合作关系，保障示范区发展相关政策研究顺利开展。</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绩效指标：协助制定示范区医疗、旅游、康养等方面政策措施，借助国家智库力量，加速推动示范区快速健康发展。</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（三）工作保障措施</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1.</w:t>
      </w:r>
      <w:r>
        <w:rPr>
          <w:rFonts w:hint="eastAsia" w:ascii="Times New Roman" w:hAnsi="Times New Roman" w:eastAsia="方正仿宋简体" w:cs="Times New Roman"/>
          <w:kern w:val="0"/>
          <w:sz w:val="32"/>
          <w:szCs w:val="32"/>
        </w:rPr>
        <w:t>加强组织领导，明确工作责任。</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高度重视预算绩效各项工作，切实加强领导，增强责任意识，召开专题会议精心谋划，周密部署，明确责任分工，重点工作成立工作专班，扎实推动，确保落实。</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2.</w:t>
      </w:r>
      <w:r>
        <w:rPr>
          <w:rFonts w:hint="eastAsia" w:ascii="Times New Roman" w:hAnsi="Times New Roman" w:eastAsia="方正仿宋简体" w:cs="Times New Roman"/>
          <w:kern w:val="0"/>
          <w:sz w:val="32"/>
          <w:szCs w:val="32"/>
        </w:rPr>
        <w:t>完善制度建设</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建立健全管理制度，制定了《预算管理制度》、《财务管理暂行规定》等一系列财务规章制度。为落实全面实施预算绩效管理要求，规范预算项目管理，做到部门职责与工作活动一致，认真梳理部门职责、工作活动，形成了本单位 “部门职责-工作活动”目录，建立了规范的绩效预算管理结构，健全了绩效目标指标体系。</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3.</w:t>
      </w:r>
      <w:r>
        <w:rPr>
          <w:rFonts w:hint="eastAsia" w:ascii="Times New Roman" w:hAnsi="Times New Roman" w:eastAsia="方正仿宋简体" w:cs="Times New Roman"/>
          <w:kern w:val="0"/>
          <w:sz w:val="32"/>
          <w:szCs w:val="32"/>
        </w:rPr>
        <w:t>加强支出管理</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4.</w:t>
      </w:r>
      <w:r>
        <w:rPr>
          <w:rFonts w:hint="eastAsia" w:ascii="Times New Roman" w:hAnsi="Times New Roman" w:eastAsia="方正仿宋简体" w:cs="Times New Roman"/>
          <w:kern w:val="0"/>
          <w:sz w:val="32"/>
          <w:szCs w:val="32"/>
        </w:rPr>
        <w:t>加强绩效运行监控</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5.</w:t>
      </w:r>
      <w:r>
        <w:rPr>
          <w:rFonts w:hint="eastAsia" w:ascii="Times New Roman" w:hAnsi="Times New Roman" w:eastAsia="方正仿宋简体" w:cs="Times New Roman"/>
          <w:kern w:val="0"/>
          <w:sz w:val="32"/>
          <w:szCs w:val="32"/>
        </w:rPr>
        <w:t>做好绩效自评</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6.</w:t>
      </w:r>
      <w:r>
        <w:rPr>
          <w:rFonts w:hint="eastAsia" w:ascii="Times New Roman" w:hAnsi="Times New Roman" w:eastAsia="方正仿宋简体" w:cs="Times New Roman"/>
          <w:kern w:val="0"/>
          <w:sz w:val="32"/>
          <w:szCs w:val="32"/>
        </w:rPr>
        <w:t>规范财务资产管理</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7.</w:t>
      </w:r>
      <w:r>
        <w:rPr>
          <w:rFonts w:hint="eastAsia" w:ascii="Times New Roman" w:hAnsi="Times New Roman" w:eastAsia="方正仿宋简体" w:cs="Times New Roman"/>
          <w:kern w:val="0"/>
          <w:sz w:val="32"/>
          <w:szCs w:val="32"/>
        </w:rPr>
        <w:t>加强内部监督</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单位经济活动合法合规、资产安全和使用有效、财务信息真实完整。</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8.</w:t>
      </w:r>
      <w:r>
        <w:rPr>
          <w:rFonts w:hint="eastAsia" w:ascii="Times New Roman" w:hAnsi="Times New Roman" w:eastAsia="方正仿宋简体" w:cs="Times New Roman"/>
          <w:kern w:val="0"/>
          <w:sz w:val="32"/>
          <w:szCs w:val="32"/>
        </w:rPr>
        <w:t>加强宣传培训调研等</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eastAsia"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强化信息宣传，营造良好氛围。进一步加大发改领域信息宣传工作力度，扩大宣传范围，创新宣传方式，让各项制度简单明了、人人掌握，确保业务工作顺利进行。最大限度地争取社会各界对发改领域法规政策的理解和支持，树立发改部门良好的社会形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b w:val="0"/>
          <w:bCs/>
          <w:color w:val="auto"/>
          <w:sz w:val="32"/>
          <w:szCs w:val="22"/>
        </w:rPr>
      </w:pPr>
    </w:p>
    <w:p>
      <w:pPr>
        <w:pStyle w:val="6"/>
        <w:spacing w:before="0" w:after="0" w:line="240" w:lineRule="auto"/>
        <w:ind w:firstLine="640"/>
        <w:jc w:val="left"/>
        <w:outlineLvl w:val="9"/>
      </w:pPr>
      <w:r>
        <w:rPr>
          <w:rFonts w:ascii="方正楷体_GBK" w:hAnsi="方正楷体_GBK" w:eastAsia="方正楷体_GBK" w:cs="方正楷体_GBK"/>
          <w:b/>
          <w:color w:val="000000"/>
          <w:sz w:val="32"/>
        </w:rPr>
        <w:t>第二部分    预算项目绩效目标</w:t>
      </w:r>
    </w:p>
    <w:p>
      <w:pPr>
        <w:ind w:firstLine="640" w:firstLineChars="200"/>
        <w:jc w:val="left"/>
        <w:outlineLvl w:val="3"/>
        <w:rPr>
          <w:rFonts w:ascii="Times New Roman" w:hAnsi="宋体" w:eastAsia="宋体" w:cs="Times New Roman"/>
          <w:b/>
          <w:sz w:val="28"/>
          <w:szCs w:val="22"/>
        </w:rPr>
      </w:pPr>
      <w:bookmarkStart w:id="1" w:name="_Toc61936701"/>
      <w:r>
        <w:rPr>
          <w:rFonts w:hint="eastAsia" w:ascii="Times New Roman" w:hAnsi="Times New Roman" w:eastAsia="方正仿宋简体" w:cs="Times New Roman"/>
          <w:kern w:val="0"/>
          <w:sz w:val="32"/>
          <w:szCs w:val="32"/>
        </w:rPr>
        <w:t>1.示范区专家咨询经费绩效目标表</w:t>
      </w:r>
      <w:bookmarkEnd w:id="1"/>
      <w:r>
        <w:rPr>
          <w:rFonts w:ascii="等线" w:hAnsi="等线" w:eastAsia="等线" w:cs="Times New Roman"/>
          <w:szCs w:val="22"/>
        </w:rPr>
        <w:fldChar w:fldCharType="begin"/>
      </w:r>
      <w:r>
        <w:rPr>
          <w:rFonts w:ascii="方正仿宋_GBK" w:hAnsi="等线" w:eastAsia="方正仿宋_GBK" w:cs="Times New Roman"/>
          <w:b/>
          <w:sz w:val="28"/>
          <w:szCs w:val="22"/>
        </w:rPr>
        <w:instrText xml:space="preserve"> TC 1、示范区专家咨询经费绩效目标表 \f C \l 1 </w:instrText>
      </w:r>
      <w:r>
        <w:rPr>
          <w:rFonts w:ascii="方正仿宋_GBK" w:hAnsi="等线" w:eastAsia="方正仿宋_GBK" w:cs="Times New Roman"/>
          <w:b/>
          <w:sz w:val="28"/>
          <w:szCs w:val="22"/>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hAnsi="等线" w:eastAsia="方正书宋_GBK" w:cs="Times New Roman"/>
                <w:b/>
                <w:szCs w:val="22"/>
              </w:rPr>
            </w:pPr>
            <w:r>
              <w:rPr>
                <w:rFonts w:ascii="方正书宋_GBK" w:hAnsi="等线" w:eastAsia="方正书宋_GBK" w:cs="Times New Roman"/>
                <w:b/>
                <w:szCs w:val="22"/>
              </w:rPr>
              <w:t>901001北戴河生命健康产业研究院本级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hAnsi="等线" w:eastAsia="方正书宋_GBK" w:cs="Times New Roman"/>
                <w:szCs w:val="22"/>
              </w:rPr>
            </w:pPr>
            <w:r>
              <w:rPr>
                <w:rFonts w:ascii="方正书宋_GBK" w:hAnsi="等线" w:eastAsia="方正书宋_GBK" w:cs="Times New Roman"/>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绩效目标</w:t>
            </w:r>
          </w:p>
        </w:tc>
        <w:tc>
          <w:tcPr>
            <w:tcW w:w="8278" w:type="dxa"/>
            <w:gridSpan w:val="2"/>
            <w:tcBorders>
              <w:bottom w:val="nil"/>
            </w:tcBorders>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1.建立开放式的合作交流平台，与国内外有关智库机构建立对接联系，开展合作研究、交流互访等活动，为示范区建设建言献策。</w:t>
            </w:r>
          </w:p>
        </w:tc>
      </w:tr>
    </w:tbl>
    <w:p>
      <w:pPr>
        <w:spacing w:line="14" w:lineRule="exact"/>
        <w:ind w:firstLine="420" w:firstLineChars="200"/>
        <w:jc w:val="center"/>
        <w:rPr>
          <w:rFonts w:ascii="Times New Roman" w:hAnsi="宋体" w:eastAsia="宋体" w:cs="Times New Roman"/>
          <w:szCs w:val="22"/>
        </w:rPr>
      </w:pPr>
      <w:r>
        <w:rPr>
          <w:rFonts w:ascii="方正书宋_GBK" w:hAnsi="等线" w:eastAsia="方正书宋_GBK" w:cs="Times New Roman"/>
          <w:szCs w:val="22"/>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一级指标</w:t>
            </w:r>
          </w:p>
        </w:tc>
        <w:tc>
          <w:tcPr>
            <w:tcW w:w="1134"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二级指标</w:t>
            </w:r>
          </w:p>
        </w:tc>
        <w:tc>
          <w:tcPr>
            <w:tcW w:w="1276"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三级指标</w:t>
            </w:r>
          </w:p>
        </w:tc>
        <w:tc>
          <w:tcPr>
            <w:tcW w:w="2891"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绩效指标描述</w:t>
            </w:r>
          </w:p>
        </w:tc>
        <w:tc>
          <w:tcPr>
            <w:tcW w:w="1276"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指标值</w:t>
            </w:r>
          </w:p>
        </w:tc>
        <w:tc>
          <w:tcPr>
            <w:tcW w:w="1701"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hAnsi="等线" w:eastAsia="方正书宋_GBK" w:cs="Times New Roman"/>
                <w:szCs w:val="22"/>
              </w:rPr>
            </w:pPr>
            <w:r>
              <w:rPr>
                <w:rFonts w:ascii="方正书宋_GBK" w:hAnsi="等线" w:eastAsia="方正书宋_GBK" w:cs="Times New Roman"/>
                <w:szCs w:val="22"/>
              </w:rPr>
              <w:t>产出指标</w:t>
            </w: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数量指标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支付专家人数</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支付咨询费的聘用专家人数</w:t>
            </w:r>
          </w:p>
        </w:tc>
        <w:tc>
          <w:tcPr>
            <w:tcW w:w="1276" w:type="dxa"/>
            <w:noWrap w:val="0"/>
            <w:vAlign w:val="center"/>
          </w:tcPr>
          <w:p>
            <w:pPr>
              <w:spacing w:line="300" w:lineRule="exact"/>
              <w:jc w:val="left"/>
              <w:rPr>
                <w:rFonts w:ascii="方正书宋_GBK" w:hAnsi="等线" w:eastAsia="方正书宋_GBK" w:cs="Times New Roman"/>
                <w:szCs w:val="22"/>
              </w:rPr>
            </w:pPr>
            <w:r>
              <w:rPr>
                <w:rFonts w:hint="eastAsia" w:ascii="方正书宋_GBK" w:hAnsi="等线" w:eastAsia="方正书宋_GBK" w:cs="Times New Roman"/>
                <w:szCs w:val="22"/>
                <w:lang w:val="en-US" w:eastAsia="zh-CN"/>
              </w:rPr>
              <w:t>10</w:t>
            </w:r>
            <w:r>
              <w:rPr>
                <w:rFonts w:ascii="方正书宋_GBK" w:hAnsi="等线" w:eastAsia="方正书宋_GBK" w:cs="Times New Roman"/>
                <w:szCs w:val="22"/>
              </w:rPr>
              <w:t>个</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质量指标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咨询问题回复率</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针对示范区问题进行回复</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100%</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时效指标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费用支付及时率</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及时支付专家费用</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≤12月</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成本指标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足额支付咨询费</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足额支付专家咨询委员会专家委员基本咨询费和专项咨询费</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900000元</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预算额度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hAnsi="等线" w:eastAsia="方正书宋_GBK" w:cs="Times New Roman"/>
                <w:szCs w:val="22"/>
              </w:rPr>
            </w:pPr>
            <w:r>
              <w:rPr>
                <w:rFonts w:ascii="方正书宋_GBK" w:hAnsi="等线" w:eastAsia="方正书宋_GBK" w:cs="Times New Roman"/>
                <w:szCs w:val="22"/>
              </w:rPr>
              <w:t>效益指标</w:t>
            </w: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社会效益指标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论文、研究报告数量</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撰写调研报告数量</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≥3个</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hAnsi="等线" w:eastAsia="方正书宋_GBK" w:cs="Times New Roman"/>
                <w:szCs w:val="22"/>
              </w:rPr>
            </w:pPr>
            <w:r>
              <w:rPr>
                <w:rFonts w:ascii="方正书宋_GBK" w:hAnsi="等线" w:eastAsia="方正书宋_GBK" w:cs="Times New Roman"/>
                <w:szCs w:val="22"/>
              </w:rPr>
              <w:t>满意度指标</w:t>
            </w: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服务对象满意度指标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服务对象满意度</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被调查单位或群体对本部门工作的满意程度</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≥90%</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综合调查结果</w:t>
            </w:r>
          </w:p>
        </w:tc>
      </w:tr>
    </w:tbl>
    <w:p>
      <w:pPr>
        <w:ind w:firstLine="640" w:firstLineChars="200"/>
        <w:jc w:val="left"/>
        <w:outlineLvl w:val="3"/>
        <w:rPr>
          <w:rFonts w:ascii="Times New Roman" w:hAnsi="宋体" w:eastAsia="宋体" w:cs="Times New Roman"/>
          <w:b/>
          <w:sz w:val="28"/>
          <w:szCs w:val="22"/>
        </w:rPr>
      </w:pPr>
      <w:bookmarkStart w:id="2" w:name="_Toc61936702"/>
      <w:r>
        <w:rPr>
          <w:rFonts w:hint="eastAsia" w:ascii="Times New Roman" w:hAnsi="Times New Roman" w:eastAsia="方正仿宋简体" w:cs="Times New Roman"/>
          <w:kern w:val="0"/>
          <w:sz w:val="32"/>
          <w:szCs w:val="32"/>
        </w:rPr>
        <w:t>2.示范区重大政策申报争取工作经费绩效目标表</w:t>
      </w:r>
      <w:bookmarkEnd w:id="2"/>
      <w:r>
        <w:rPr>
          <w:rFonts w:ascii="等线" w:hAnsi="等线" w:eastAsia="等线" w:cs="Times New Roman"/>
          <w:szCs w:val="22"/>
        </w:rPr>
        <w:fldChar w:fldCharType="begin"/>
      </w:r>
      <w:r>
        <w:rPr>
          <w:rFonts w:ascii="方正仿宋_GBK" w:hAnsi="等线" w:eastAsia="方正仿宋_GBK" w:cs="Times New Roman"/>
          <w:b/>
          <w:sz w:val="28"/>
          <w:szCs w:val="22"/>
        </w:rPr>
        <w:instrText xml:space="preserve"> TC 2、示范区重大政策申报争取工作经费绩效目标表 \f C \l 1 </w:instrText>
      </w:r>
      <w:r>
        <w:rPr>
          <w:rFonts w:ascii="方正仿宋_GBK" w:hAnsi="等线" w:eastAsia="方正仿宋_GBK" w:cs="Times New Roman"/>
          <w:b/>
          <w:sz w:val="28"/>
          <w:szCs w:val="22"/>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hAnsi="等线" w:eastAsia="方正书宋_GBK" w:cs="Times New Roman"/>
                <w:b/>
                <w:szCs w:val="22"/>
              </w:rPr>
            </w:pPr>
            <w:r>
              <w:rPr>
                <w:rFonts w:ascii="方正书宋_GBK" w:hAnsi="等线" w:eastAsia="方正书宋_GBK" w:cs="Times New Roman"/>
                <w:b/>
                <w:szCs w:val="22"/>
              </w:rPr>
              <w:t>901001北戴河生命健康产业研究院本级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hAnsi="等线" w:eastAsia="方正书宋_GBK" w:cs="Times New Roman"/>
                <w:szCs w:val="22"/>
              </w:rPr>
            </w:pPr>
            <w:r>
              <w:rPr>
                <w:rFonts w:ascii="方正书宋_GBK" w:hAnsi="等线" w:eastAsia="方正书宋_GBK" w:cs="Times New Roman"/>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绩效目标</w:t>
            </w:r>
          </w:p>
        </w:tc>
        <w:tc>
          <w:tcPr>
            <w:tcW w:w="8278" w:type="dxa"/>
            <w:gridSpan w:val="2"/>
            <w:tcBorders>
              <w:bottom w:val="nil"/>
            </w:tcBorders>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1.研究制定示范区支持政策，对接省直相关部门、国家有关部委，全力争取示范区在国家政策层面改革创新、先行先试，持续获得国家政策支持，构建示范区政策支撑体系。</w:t>
            </w:r>
          </w:p>
        </w:tc>
      </w:tr>
    </w:tbl>
    <w:p>
      <w:pPr>
        <w:spacing w:line="14" w:lineRule="exact"/>
        <w:ind w:firstLine="420" w:firstLineChars="200"/>
        <w:jc w:val="center"/>
        <w:rPr>
          <w:rFonts w:ascii="Times New Roman" w:hAnsi="宋体" w:eastAsia="宋体" w:cs="Times New Roman"/>
          <w:szCs w:val="22"/>
        </w:rPr>
      </w:pPr>
      <w:r>
        <w:rPr>
          <w:rFonts w:ascii="方正书宋_GBK" w:hAnsi="等线" w:eastAsia="方正书宋_GBK" w:cs="Times New Roman"/>
          <w:szCs w:val="22"/>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一级指标</w:t>
            </w:r>
          </w:p>
        </w:tc>
        <w:tc>
          <w:tcPr>
            <w:tcW w:w="1134"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二级指标</w:t>
            </w:r>
          </w:p>
        </w:tc>
        <w:tc>
          <w:tcPr>
            <w:tcW w:w="1276"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三级指标</w:t>
            </w:r>
          </w:p>
        </w:tc>
        <w:tc>
          <w:tcPr>
            <w:tcW w:w="2891"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绩效指标描述</w:t>
            </w:r>
          </w:p>
        </w:tc>
        <w:tc>
          <w:tcPr>
            <w:tcW w:w="1276"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指标值</w:t>
            </w:r>
          </w:p>
        </w:tc>
        <w:tc>
          <w:tcPr>
            <w:tcW w:w="1701"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hAnsi="等线" w:eastAsia="方正书宋_GBK" w:cs="Times New Roman"/>
                <w:szCs w:val="22"/>
              </w:rPr>
            </w:pPr>
            <w:r>
              <w:rPr>
                <w:rFonts w:ascii="方正书宋_GBK" w:hAnsi="等线" w:eastAsia="方正书宋_GBK" w:cs="Times New Roman"/>
                <w:szCs w:val="22"/>
              </w:rPr>
              <w:t>产出指标</w:t>
            </w: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数量指标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论文、研究报告数量</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研究制定争取政策数量</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≥3个</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质量指标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研究政策性课题、论文发布率</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研究政策性课题、论文发布情况</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≥95%</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时效指标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调研报告完成及时率</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在领导规定时间内完成调研任务</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≤12月</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成本指标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对外交流成本</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跑办政策对外交流资料费、场地租赁费、专家讲课费等</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≤50000元</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成本指标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业务咨询委托</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实施政策业务咨询委托工作所需资金额度</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≤200000元</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成本指标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政策项目调研</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实施政策项目调查研究课题所需费用</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≤50000元</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hAnsi="等线" w:eastAsia="方正书宋_GBK" w:cs="Times New Roman"/>
                <w:szCs w:val="22"/>
              </w:rPr>
            </w:pPr>
            <w:r>
              <w:rPr>
                <w:rFonts w:ascii="方正书宋_GBK" w:hAnsi="等线" w:eastAsia="方正书宋_GBK" w:cs="Times New Roman"/>
                <w:szCs w:val="22"/>
              </w:rPr>
              <w:t>效益指标</w:t>
            </w: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社会效益指标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引入企业或项目数量</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借助政策优势引入企业、项目数量</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≥2个</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hAnsi="等线" w:eastAsia="方正书宋_GBK" w:cs="Times New Roman"/>
                <w:szCs w:val="22"/>
              </w:rPr>
            </w:pPr>
            <w:r>
              <w:rPr>
                <w:rFonts w:ascii="方正书宋_GBK" w:hAnsi="等线" w:eastAsia="方正书宋_GBK" w:cs="Times New Roman"/>
                <w:szCs w:val="22"/>
              </w:rPr>
              <w:t>满意度指标</w:t>
            </w: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服务对象满意度指标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服务对象满意度</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被调查单位或群体对本部门工作的满意程度</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≥90%</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综合调查结果</w:t>
            </w:r>
          </w:p>
        </w:tc>
      </w:tr>
    </w:tbl>
    <w:p>
      <w:pPr>
        <w:ind w:firstLine="640" w:firstLineChars="200"/>
        <w:jc w:val="left"/>
        <w:outlineLvl w:val="3"/>
        <w:rPr>
          <w:rFonts w:ascii="Times New Roman" w:hAnsi="宋体" w:eastAsia="宋体" w:cs="Times New Roman"/>
          <w:b/>
          <w:sz w:val="28"/>
          <w:szCs w:val="22"/>
        </w:rPr>
      </w:pPr>
      <w:bookmarkStart w:id="3" w:name="_Toc61936703"/>
      <w:r>
        <w:rPr>
          <w:rFonts w:hint="eastAsia" w:ascii="Times New Roman" w:hAnsi="Times New Roman" w:eastAsia="方正仿宋简体" w:cs="Times New Roman"/>
          <w:kern w:val="0"/>
          <w:sz w:val="32"/>
          <w:szCs w:val="32"/>
        </w:rPr>
        <w:t>3.与省发改委社会处合署办公经费绩效目标表</w:t>
      </w:r>
      <w:bookmarkEnd w:id="3"/>
      <w:r>
        <w:rPr>
          <w:rFonts w:ascii="等线" w:hAnsi="等线" w:eastAsia="等线" w:cs="Times New Roman"/>
          <w:szCs w:val="22"/>
        </w:rPr>
        <w:fldChar w:fldCharType="begin"/>
      </w:r>
      <w:r>
        <w:rPr>
          <w:rFonts w:ascii="方正仿宋_GBK" w:hAnsi="等线" w:eastAsia="方正仿宋_GBK" w:cs="Times New Roman"/>
          <w:b/>
          <w:sz w:val="28"/>
          <w:szCs w:val="22"/>
        </w:rPr>
        <w:instrText xml:space="preserve"> TC 3、与省发改委社会处合署办公经费绩效目标表 \f C \l 1 </w:instrText>
      </w:r>
      <w:r>
        <w:rPr>
          <w:rFonts w:ascii="方正仿宋_GBK" w:hAnsi="等线" w:eastAsia="方正仿宋_GBK" w:cs="Times New Roman"/>
          <w:b/>
          <w:sz w:val="28"/>
          <w:szCs w:val="22"/>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hAnsi="等线" w:eastAsia="方正书宋_GBK" w:cs="Times New Roman"/>
                <w:b/>
                <w:szCs w:val="22"/>
              </w:rPr>
            </w:pPr>
            <w:r>
              <w:rPr>
                <w:rFonts w:ascii="方正书宋_GBK" w:hAnsi="等线" w:eastAsia="方正书宋_GBK" w:cs="Times New Roman"/>
                <w:b/>
                <w:szCs w:val="22"/>
              </w:rPr>
              <w:t>901001北戴河生命健康产业研究院本级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hAnsi="等线" w:eastAsia="方正书宋_GBK" w:cs="Times New Roman"/>
                <w:szCs w:val="22"/>
              </w:rPr>
            </w:pPr>
            <w:r>
              <w:rPr>
                <w:rFonts w:ascii="方正书宋_GBK" w:hAnsi="等线" w:eastAsia="方正书宋_GBK" w:cs="Times New Roman"/>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绩效目标</w:t>
            </w:r>
          </w:p>
        </w:tc>
        <w:tc>
          <w:tcPr>
            <w:tcW w:w="8278" w:type="dxa"/>
            <w:gridSpan w:val="2"/>
            <w:tcBorders>
              <w:bottom w:val="nil"/>
            </w:tcBorders>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1.保障省领导小组办公室正常运转，建立政策跑办争取绿色通道，推动省级层面对示范区建设工作的支持。</w:t>
            </w:r>
          </w:p>
        </w:tc>
      </w:tr>
    </w:tbl>
    <w:p>
      <w:pPr>
        <w:spacing w:line="14" w:lineRule="exact"/>
        <w:ind w:firstLine="420" w:firstLineChars="200"/>
        <w:jc w:val="center"/>
        <w:rPr>
          <w:rFonts w:ascii="Times New Roman" w:hAnsi="宋体" w:eastAsia="宋体" w:cs="Times New Roman"/>
          <w:szCs w:val="22"/>
        </w:rPr>
      </w:pPr>
      <w:r>
        <w:rPr>
          <w:rFonts w:ascii="方正书宋_GBK" w:hAnsi="等线" w:eastAsia="方正书宋_GBK" w:cs="Times New Roman"/>
          <w:szCs w:val="22"/>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一级指标</w:t>
            </w:r>
          </w:p>
        </w:tc>
        <w:tc>
          <w:tcPr>
            <w:tcW w:w="1134"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二级指标</w:t>
            </w:r>
          </w:p>
        </w:tc>
        <w:tc>
          <w:tcPr>
            <w:tcW w:w="1276"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三级指标</w:t>
            </w:r>
          </w:p>
        </w:tc>
        <w:tc>
          <w:tcPr>
            <w:tcW w:w="2891"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绩效指标描述</w:t>
            </w:r>
          </w:p>
        </w:tc>
        <w:tc>
          <w:tcPr>
            <w:tcW w:w="1276"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指标值</w:t>
            </w:r>
          </w:p>
        </w:tc>
        <w:tc>
          <w:tcPr>
            <w:tcW w:w="1701"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hAnsi="等线" w:eastAsia="方正书宋_GBK" w:cs="Times New Roman"/>
                <w:szCs w:val="22"/>
              </w:rPr>
            </w:pPr>
            <w:r>
              <w:rPr>
                <w:rFonts w:ascii="方正书宋_GBK" w:hAnsi="等线" w:eastAsia="方正书宋_GBK" w:cs="Times New Roman"/>
                <w:szCs w:val="22"/>
              </w:rPr>
              <w:t>产出指标</w:t>
            </w: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数量指标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形成支持示范区建设的政策文件</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省级层面支持示范区建设文件印发数量</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≥1个</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数量指标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参与政府决策活动次数</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参与决策咨询活动次数</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≥20次</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质量指标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印发文件发布率</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省级层面支持示范区建设印发文件发布率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100%</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时效指标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及时性</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按各项任务时间节点及时完成</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≤12月</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成本指标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对外交流合作成本费用</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跑办政策对外交流资料费、场地租赁费、专家讲课费等</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≤20000元</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成本指标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差旅费</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工作人员到省发改委合署办公差旅费</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≤10000元</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hAnsi="等线" w:eastAsia="方正书宋_GBK" w:cs="Times New Roman"/>
                <w:szCs w:val="22"/>
              </w:rPr>
            </w:pPr>
            <w:r>
              <w:rPr>
                <w:rFonts w:ascii="方正书宋_GBK" w:hAnsi="等线" w:eastAsia="方正书宋_GBK" w:cs="Times New Roman"/>
                <w:szCs w:val="22"/>
              </w:rPr>
              <w:t>效益指标</w:t>
            </w: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社会效益指标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引入企业或项目数量</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借助政策优势引入企业、项目数量</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≥2个</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hAnsi="等线" w:eastAsia="方正书宋_GBK" w:cs="Times New Roman"/>
                <w:szCs w:val="22"/>
              </w:rPr>
            </w:pPr>
            <w:r>
              <w:rPr>
                <w:rFonts w:ascii="方正书宋_GBK" w:hAnsi="等线" w:eastAsia="方正书宋_GBK" w:cs="Times New Roman"/>
                <w:szCs w:val="22"/>
              </w:rPr>
              <w:t>满意度指标</w:t>
            </w: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服务对象满意度指标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服务对象满意度</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群众满意度数量占总数的比例</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≥90%</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综合调查结果</w:t>
            </w:r>
          </w:p>
        </w:tc>
      </w:tr>
    </w:tbl>
    <w:p>
      <w:pPr>
        <w:spacing w:line="300" w:lineRule="exact"/>
        <w:ind w:firstLine="420" w:firstLineChars="200"/>
        <w:jc w:val="left"/>
        <w:sectPr>
          <w:pgSz w:w="16839" w:h="11907" w:orient="landscape"/>
          <w:pgMar w:top="1304" w:right="1984" w:bottom="1304" w:left="1134" w:header="851" w:footer="992" w:gutter="0"/>
          <w:cols w:space="720" w:num="1"/>
          <w:docGrid w:type="lines" w:linePitch="312" w:charSpace="0"/>
        </w:sectPr>
      </w:pPr>
    </w:p>
    <w:p>
      <w:pPr>
        <w:ind w:firstLine="640" w:firstLineChars="200"/>
        <w:jc w:val="left"/>
        <w:outlineLvl w:val="3"/>
        <w:rPr>
          <w:rFonts w:ascii="Times New Roman" w:hAnsi="宋体" w:eastAsia="宋体" w:cs="Times New Roman"/>
          <w:b/>
          <w:sz w:val="28"/>
          <w:szCs w:val="22"/>
        </w:rPr>
      </w:pPr>
      <w:bookmarkStart w:id="4" w:name="_Toc61936704"/>
      <w:r>
        <w:rPr>
          <w:rFonts w:hint="eastAsia" w:ascii="Times New Roman" w:hAnsi="Times New Roman" w:eastAsia="方正仿宋简体" w:cs="Times New Roman"/>
          <w:kern w:val="0"/>
          <w:sz w:val="32"/>
          <w:szCs w:val="32"/>
        </w:rPr>
        <w:t>4.创新发展研究工作经费绩效目标表</w:t>
      </w:r>
      <w:bookmarkEnd w:id="4"/>
      <w:r>
        <w:rPr>
          <w:rFonts w:ascii="等线" w:hAnsi="等线" w:eastAsia="等线" w:cs="Times New Roman"/>
          <w:szCs w:val="22"/>
        </w:rPr>
        <w:fldChar w:fldCharType="begin"/>
      </w:r>
      <w:r>
        <w:rPr>
          <w:rFonts w:ascii="方正仿宋_GBK" w:hAnsi="等线" w:eastAsia="方正仿宋_GBK" w:cs="Times New Roman"/>
          <w:b/>
          <w:sz w:val="28"/>
          <w:szCs w:val="22"/>
        </w:rPr>
        <w:instrText xml:space="preserve"> TC 4、创新发展研究工作经费绩效目标表 \f C \l 1 </w:instrText>
      </w:r>
      <w:r>
        <w:rPr>
          <w:rFonts w:ascii="方正仿宋_GBK" w:hAnsi="等线" w:eastAsia="方正仿宋_GBK" w:cs="Times New Roman"/>
          <w:b/>
          <w:sz w:val="28"/>
          <w:szCs w:val="22"/>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hAnsi="等线" w:eastAsia="方正书宋_GBK" w:cs="Times New Roman"/>
                <w:b/>
                <w:szCs w:val="22"/>
              </w:rPr>
            </w:pPr>
            <w:r>
              <w:rPr>
                <w:rFonts w:ascii="方正书宋_GBK" w:hAnsi="等线" w:eastAsia="方正书宋_GBK" w:cs="Times New Roman"/>
                <w:b/>
                <w:szCs w:val="22"/>
              </w:rPr>
              <w:t>901001北戴河生命健康产业研究院本级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hAnsi="等线" w:eastAsia="方正书宋_GBK" w:cs="Times New Roman"/>
                <w:szCs w:val="22"/>
              </w:rPr>
            </w:pPr>
            <w:r>
              <w:rPr>
                <w:rFonts w:ascii="方正书宋_GBK" w:hAnsi="等线" w:eastAsia="方正书宋_GBK" w:cs="Times New Roman"/>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绩效目标</w:t>
            </w:r>
          </w:p>
        </w:tc>
        <w:tc>
          <w:tcPr>
            <w:tcW w:w="8278" w:type="dxa"/>
            <w:gridSpan w:val="2"/>
            <w:tcBorders>
              <w:bottom w:val="nil"/>
            </w:tcBorders>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紧盯新区相关产业发展动态，围绕新区重点产业及新产业、新业态开展调查研究，针对重点课题撰写调研报告，剖析产业实际、提出发展目标、明确发展路径，努力做新区产业发展的“说明书”、“明白卡”，发挥参谋助手作用。</w:t>
            </w:r>
          </w:p>
        </w:tc>
      </w:tr>
    </w:tbl>
    <w:p>
      <w:pPr>
        <w:spacing w:line="14" w:lineRule="exact"/>
        <w:ind w:firstLine="420" w:firstLineChars="200"/>
        <w:jc w:val="center"/>
        <w:rPr>
          <w:rFonts w:ascii="Times New Roman" w:hAnsi="宋体" w:eastAsia="宋体" w:cs="Times New Roman"/>
          <w:szCs w:val="22"/>
        </w:rPr>
      </w:pPr>
      <w:r>
        <w:rPr>
          <w:rFonts w:ascii="方正书宋_GBK" w:hAnsi="等线" w:eastAsia="方正书宋_GBK" w:cs="Times New Roman"/>
          <w:szCs w:val="22"/>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一级指标</w:t>
            </w:r>
          </w:p>
        </w:tc>
        <w:tc>
          <w:tcPr>
            <w:tcW w:w="1134"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二级指标</w:t>
            </w:r>
          </w:p>
        </w:tc>
        <w:tc>
          <w:tcPr>
            <w:tcW w:w="1276"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三级指标</w:t>
            </w:r>
          </w:p>
        </w:tc>
        <w:tc>
          <w:tcPr>
            <w:tcW w:w="2891"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绩效指标描述</w:t>
            </w:r>
          </w:p>
        </w:tc>
        <w:tc>
          <w:tcPr>
            <w:tcW w:w="1276"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指标值</w:t>
            </w:r>
          </w:p>
        </w:tc>
        <w:tc>
          <w:tcPr>
            <w:tcW w:w="1701"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hAnsi="等线" w:eastAsia="方正书宋_GBK" w:cs="Times New Roman"/>
                <w:szCs w:val="22"/>
              </w:rPr>
            </w:pPr>
            <w:r>
              <w:rPr>
                <w:rFonts w:ascii="方正书宋_GBK" w:hAnsi="等线" w:eastAsia="方正书宋_GBK" w:cs="Times New Roman"/>
                <w:szCs w:val="22"/>
              </w:rPr>
              <w:t>产出指标</w:t>
            </w: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数量指标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完成专题课题研究</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形成调研报告数量</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≥8个</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数量指标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参与决策咨询活动</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参与决策咨询活动次数</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≥10次</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质量指标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研究课题达标率</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针对重点课题撰写调研报告，剖析产业实际、提出发展目标、明确发展路径，努力做我区产业发展的“说明书”、“明白卡”，发挥参谋助手作用。</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100%</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时效指标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调研报告完成及时率</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在领导规定时间内完成调研任务</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≤12月</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成本指标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印刷费</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支付调研参考资料印刷费</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≤20000元</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成本指标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办公费</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创新发展研究工作所需日常办公费用</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≤30000元</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成本指标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差旅费</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工作人员外出调研参加会议差旅费</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≤100000元</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成本指标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调研费</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用于课题研究费用</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≤50000元</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hAnsi="等线" w:eastAsia="方正书宋_GBK" w:cs="Times New Roman"/>
                <w:szCs w:val="22"/>
              </w:rPr>
            </w:pPr>
            <w:r>
              <w:rPr>
                <w:rFonts w:ascii="方正书宋_GBK" w:hAnsi="等线" w:eastAsia="方正书宋_GBK" w:cs="Times New Roman"/>
                <w:szCs w:val="22"/>
              </w:rPr>
              <w:t>效益指标</w:t>
            </w: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社会效益指标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引入企业或项目数量</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借助政策优势引入企业、项目数量</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≥2个</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hAnsi="等线" w:eastAsia="方正书宋_GBK" w:cs="Times New Roman"/>
                <w:szCs w:val="22"/>
              </w:rPr>
            </w:pPr>
            <w:r>
              <w:rPr>
                <w:rFonts w:ascii="方正书宋_GBK" w:hAnsi="等线" w:eastAsia="方正书宋_GBK" w:cs="Times New Roman"/>
                <w:szCs w:val="22"/>
              </w:rPr>
              <w:t>满意度指标</w:t>
            </w: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服务对象满意度指标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服务对象满意度</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被调查单位或群体对本部门工作的满意程度</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≥90%</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综合调查结果</w:t>
            </w:r>
          </w:p>
        </w:tc>
      </w:tr>
    </w:tbl>
    <w:p>
      <w:pPr>
        <w:spacing w:line="300" w:lineRule="exact"/>
        <w:ind w:firstLine="42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rPr>
          <w:rFonts w:ascii="等线" w:hAnsi="等线" w:eastAsia="等线" w:cs="Times New Roman"/>
          <w:szCs w:val="22"/>
        </w:rPr>
      </w:pPr>
    </w:p>
    <w:p>
      <w:pPr>
        <w:ind w:firstLine="640" w:firstLineChars="200"/>
        <w:jc w:val="left"/>
        <w:outlineLvl w:val="3"/>
        <w:rPr>
          <w:rFonts w:ascii="Times New Roman" w:hAnsi="宋体" w:eastAsia="宋体" w:cs="Times New Roman"/>
          <w:b/>
          <w:sz w:val="28"/>
          <w:szCs w:val="22"/>
        </w:rPr>
      </w:pPr>
      <w:bookmarkStart w:id="5" w:name="_Toc61936705"/>
      <w:r>
        <w:rPr>
          <w:rFonts w:hint="eastAsia" w:ascii="Times New Roman" w:hAnsi="Times New Roman" w:eastAsia="方正仿宋简体" w:cs="Times New Roman"/>
          <w:kern w:val="0"/>
          <w:sz w:val="32"/>
          <w:szCs w:val="32"/>
        </w:rPr>
        <w:t>5.北戴河生命健康产业创新示范区专家咨询委员会秘书处经费绩效目标表</w:t>
      </w:r>
      <w:bookmarkEnd w:id="5"/>
      <w:r>
        <w:rPr>
          <w:rFonts w:ascii="等线" w:hAnsi="等线" w:eastAsia="等线" w:cs="Times New Roman"/>
          <w:szCs w:val="22"/>
        </w:rPr>
        <w:fldChar w:fldCharType="begin"/>
      </w:r>
      <w:r>
        <w:rPr>
          <w:rFonts w:ascii="方正仿宋_GBK" w:hAnsi="等线" w:eastAsia="方正仿宋_GBK" w:cs="Times New Roman"/>
          <w:b/>
          <w:sz w:val="28"/>
          <w:szCs w:val="22"/>
        </w:rPr>
        <w:instrText xml:space="preserve"> TC 5、北戴河生命健康产业创新示范区专家咨询委员会秘书处经费绩效目标表 \f C \l 1 </w:instrText>
      </w:r>
      <w:r>
        <w:rPr>
          <w:rFonts w:ascii="方正仿宋_GBK" w:hAnsi="等线" w:eastAsia="方正仿宋_GBK" w:cs="Times New Roman"/>
          <w:b/>
          <w:sz w:val="28"/>
          <w:szCs w:val="22"/>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hAnsi="等线" w:eastAsia="方正书宋_GBK" w:cs="Times New Roman"/>
                <w:b/>
                <w:szCs w:val="22"/>
              </w:rPr>
            </w:pPr>
            <w:r>
              <w:rPr>
                <w:rFonts w:ascii="方正书宋_GBK" w:hAnsi="等线" w:eastAsia="方正书宋_GBK" w:cs="Times New Roman"/>
                <w:b/>
                <w:szCs w:val="22"/>
              </w:rPr>
              <w:t>901001北戴河生命健康产业研究院本级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hAnsi="等线" w:eastAsia="方正书宋_GBK" w:cs="Times New Roman"/>
                <w:szCs w:val="22"/>
              </w:rPr>
            </w:pPr>
            <w:r>
              <w:rPr>
                <w:rFonts w:ascii="方正书宋_GBK" w:hAnsi="等线" w:eastAsia="方正书宋_GBK" w:cs="Times New Roman"/>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绩效目标</w:t>
            </w:r>
          </w:p>
        </w:tc>
        <w:tc>
          <w:tcPr>
            <w:tcW w:w="8278" w:type="dxa"/>
            <w:gridSpan w:val="2"/>
            <w:tcBorders>
              <w:bottom w:val="nil"/>
            </w:tcBorders>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1.通过示范区专家咨询委员会秘书处开展论文调研、课题研究等工作，为示范区建设提供政策咨询服务。</w:t>
            </w:r>
          </w:p>
        </w:tc>
      </w:tr>
    </w:tbl>
    <w:p>
      <w:pPr>
        <w:spacing w:line="14" w:lineRule="exact"/>
        <w:ind w:firstLine="420" w:firstLineChars="200"/>
        <w:jc w:val="center"/>
        <w:rPr>
          <w:rFonts w:ascii="Times New Roman" w:hAnsi="宋体" w:eastAsia="宋体" w:cs="Times New Roman"/>
          <w:szCs w:val="22"/>
        </w:rPr>
      </w:pPr>
      <w:r>
        <w:rPr>
          <w:rFonts w:ascii="方正书宋_GBK" w:hAnsi="等线" w:eastAsia="方正书宋_GBK" w:cs="Times New Roman"/>
          <w:szCs w:val="22"/>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一级指标</w:t>
            </w:r>
          </w:p>
        </w:tc>
        <w:tc>
          <w:tcPr>
            <w:tcW w:w="1134"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二级指标</w:t>
            </w:r>
          </w:p>
        </w:tc>
        <w:tc>
          <w:tcPr>
            <w:tcW w:w="1276"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三级指标</w:t>
            </w:r>
          </w:p>
        </w:tc>
        <w:tc>
          <w:tcPr>
            <w:tcW w:w="2891"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绩效指标描述</w:t>
            </w:r>
          </w:p>
        </w:tc>
        <w:tc>
          <w:tcPr>
            <w:tcW w:w="1276"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指标值</w:t>
            </w:r>
          </w:p>
        </w:tc>
        <w:tc>
          <w:tcPr>
            <w:tcW w:w="1701"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hAnsi="等线" w:eastAsia="方正书宋_GBK" w:cs="Times New Roman"/>
                <w:szCs w:val="22"/>
              </w:rPr>
            </w:pPr>
            <w:r>
              <w:rPr>
                <w:rFonts w:ascii="方正书宋_GBK" w:hAnsi="等线" w:eastAsia="方正书宋_GBK" w:cs="Times New Roman"/>
                <w:szCs w:val="22"/>
              </w:rPr>
              <w:t>产出指标</w:t>
            </w: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数量指标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论文调研报告数量</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专家委员发表的研究课题数量</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≥5个</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数量指标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研究制定调研课题</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形成调研报告数量</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≥5个</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数量指标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加强与专家的沟通联络</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参与决策咨询活动次数</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≥10次</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数量指标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形成可行性调研报告数量</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专家委员对示范区发展提出的可行性报告</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≥2个</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质量指标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研究课题、论文发布率</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研究课题、论文发布情况</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≥95%</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质量指标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可研报告通过率</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可研报告编制申请批复通过率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100%</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时效指标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及时性</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按各项任务时间节点及时完成</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≤12月</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成本指标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聘用专家费用</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年度内聘用专家劳务费用</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8000元/月</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成本指标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办公费用</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日常办公费用</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54000元</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hAnsi="等线" w:eastAsia="方正书宋_GBK" w:cs="Times New Roman"/>
                <w:szCs w:val="22"/>
              </w:rPr>
            </w:pPr>
            <w:r>
              <w:rPr>
                <w:rFonts w:ascii="方正书宋_GBK" w:hAnsi="等线" w:eastAsia="方正书宋_GBK" w:cs="Times New Roman"/>
                <w:szCs w:val="22"/>
              </w:rPr>
              <w:t>效益指标</w:t>
            </w: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社会效益指标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引入企业或项目数量</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借助政策优势引入企业、项目数量</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≥2个</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hAnsi="等线" w:eastAsia="方正书宋_GBK" w:cs="Times New Roman"/>
                <w:szCs w:val="22"/>
              </w:rPr>
            </w:pPr>
            <w:r>
              <w:rPr>
                <w:rFonts w:ascii="方正书宋_GBK" w:hAnsi="等线" w:eastAsia="方正书宋_GBK" w:cs="Times New Roman"/>
                <w:szCs w:val="22"/>
              </w:rPr>
              <w:t>满意度指标</w:t>
            </w: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服务对象满意度指标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服务对象满意度</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被调查单位或群体对本部门工作的满意程度</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≥90%</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综合调查结果</w:t>
            </w:r>
          </w:p>
        </w:tc>
      </w:tr>
    </w:tbl>
    <w:p>
      <w:pPr>
        <w:jc w:val="left"/>
        <w:rPr>
          <w:rFonts w:hint="eastAsia" w:ascii="方正仿宋简体" w:hAnsi="方正仿宋简体" w:eastAsia="方正仿宋简体" w:cs="方正仿宋简体"/>
          <w:sz w:val="28"/>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b w:val="0"/>
          <w:bCs/>
          <w:color w:val="auto"/>
          <w:sz w:val="32"/>
          <w:szCs w:val="22"/>
        </w:rPr>
      </w:pPr>
    </w:p>
    <w:p>
      <w:pPr>
        <w:widowControl/>
        <w:spacing w:before="10" w:after="10" w:line="240" w:lineRule="auto"/>
        <w:ind w:firstLine="640"/>
        <w:jc w:val="left"/>
        <w:outlineLvl w:val="2"/>
        <w:rPr>
          <w:rFonts w:ascii="Times New Roman" w:hAnsi="Times New Roman" w:eastAsia="Times New Roman"/>
          <w:kern w:val="0"/>
          <w:sz w:val="24"/>
          <w:lang w:eastAsia="uk-UA"/>
        </w:rPr>
      </w:pPr>
      <w:bookmarkStart w:id="6" w:name="_Toc_3_3_0000000015"/>
      <w:r>
        <w:rPr>
          <w:rFonts w:ascii="黑体" w:hAnsi="黑体" w:eastAsia="黑体" w:cs="黑体"/>
          <w:color w:val="000000"/>
          <w:kern w:val="0"/>
          <w:sz w:val="32"/>
          <w:lang w:eastAsia="uk-UA"/>
        </w:rPr>
        <w:t>六、政府采购预算情况</w:t>
      </w:r>
      <w:bookmarkEnd w:id="6"/>
    </w:p>
    <w:p>
      <w:pPr>
        <w:widowControl/>
        <w:spacing w:before="0" w:after="0" w:line="500" w:lineRule="exact"/>
        <w:ind w:firstLine="560"/>
        <w:jc w:val="left"/>
        <w:outlineLvl w:val="9"/>
        <w:rPr>
          <w:rFonts w:ascii="Times New Roman" w:hAnsi="Times New Roman" w:eastAsia="Times New Roman"/>
          <w:kern w:val="0"/>
          <w:sz w:val="24"/>
          <w:lang w:eastAsia="uk-UA"/>
        </w:rPr>
      </w:pPr>
      <w:r>
        <w:rPr>
          <w:rFonts w:ascii="Times New Roman" w:hAnsi="Times New Roman" w:eastAsia="方正仿宋_GBK" w:cs="Times New Roman"/>
          <w:b w:val="0"/>
          <w:color w:val="000000"/>
          <w:kern w:val="0"/>
          <w:sz w:val="28"/>
          <w:lang w:eastAsia="uk-UA"/>
        </w:rPr>
        <w:t>202</w:t>
      </w:r>
      <w:r>
        <w:rPr>
          <w:rFonts w:hint="eastAsia" w:ascii="Times New Roman" w:hAnsi="Times New Roman" w:eastAsia="方正仿宋_GBK" w:cs="Times New Roman"/>
          <w:b w:val="0"/>
          <w:color w:val="000000"/>
          <w:kern w:val="0"/>
          <w:sz w:val="28"/>
          <w:lang w:val="en-US" w:eastAsia="zh-CN"/>
        </w:rPr>
        <w:t>1</w:t>
      </w:r>
      <w:r>
        <w:rPr>
          <w:rFonts w:ascii="Times New Roman" w:hAnsi="Times New Roman" w:eastAsia="方正仿宋_GBK" w:cs="Times New Roman"/>
          <w:b w:val="0"/>
          <w:color w:val="000000"/>
          <w:kern w:val="0"/>
          <w:sz w:val="28"/>
          <w:lang w:eastAsia="uk-UA"/>
        </w:rPr>
        <w:t>年，北戴河生命健康产业研究院安排政府采购预算0.00万元。具体内容见下表。</w:t>
      </w:r>
    </w:p>
    <w:p>
      <w:pPr>
        <w:widowControl/>
        <w:spacing w:before="0" w:after="0" w:line="240" w:lineRule="auto"/>
        <w:ind w:firstLine="0"/>
        <w:jc w:val="center"/>
        <w:outlineLvl w:val="9"/>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widowControl/>
              <w:rPr>
                <w:kern w:val="0"/>
              </w:rPr>
            </w:pPr>
            <w:r>
              <w:rPr>
                <w:kern w:val="0"/>
              </w:rPr>
              <w:t>901北戴河生命健康产业研究院</w:t>
            </w:r>
          </w:p>
        </w:tc>
        <w:tc>
          <w:tcPr>
            <w:tcW w:w="8674" w:type="dxa"/>
            <w:gridSpan w:val="9"/>
            <w:tcBorders>
              <w:top w:val="single" w:color="FFFFFF" w:sz="6" w:space="0"/>
              <w:left w:val="single" w:color="FFFFFF" w:sz="6" w:space="0"/>
              <w:right w:val="single" w:color="FFFFFF" w:sz="6" w:space="0"/>
            </w:tcBorders>
            <w:vAlign w:val="center"/>
          </w:tcPr>
          <w:p>
            <w:pPr>
              <w:pStyle w:val="8"/>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widowControl/>
              <w:rPr>
                <w:kern w:val="0"/>
              </w:rPr>
            </w:pPr>
            <w:r>
              <w:rPr>
                <w:kern w:val="0"/>
              </w:rPr>
              <w:t>政府采购项目来源</w:t>
            </w:r>
          </w:p>
        </w:tc>
        <w:tc>
          <w:tcPr>
            <w:tcW w:w="1134" w:type="dxa"/>
            <w:vMerge w:val="restart"/>
            <w:vAlign w:val="center"/>
          </w:tcPr>
          <w:p>
            <w:pPr>
              <w:pStyle w:val="9"/>
              <w:widowControl/>
              <w:rPr>
                <w:kern w:val="0"/>
              </w:rPr>
            </w:pPr>
            <w:r>
              <w:rPr>
                <w:kern w:val="0"/>
              </w:rPr>
              <w:t>采购物品名称</w:t>
            </w:r>
          </w:p>
        </w:tc>
        <w:tc>
          <w:tcPr>
            <w:tcW w:w="1134" w:type="dxa"/>
            <w:vMerge w:val="restart"/>
            <w:vAlign w:val="center"/>
          </w:tcPr>
          <w:p>
            <w:pPr>
              <w:pStyle w:val="9"/>
              <w:widowControl/>
              <w:rPr>
                <w:kern w:val="0"/>
              </w:rPr>
            </w:pPr>
            <w:r>
              <w:rPr>
                <w:kern w:val="0"/>
              </w:rPr>
              <w:t>政府采购目录序号</w:t>
            </w:r>
          </w:p>
        </w:tc>
        <w:tc>
          <w:tcPr>
            <w:tcW w:w="709" w:type="dxa"/>
            <w:vMerge w:val="restart"/>
            <w:vAlign w:val="center"/>
          </w:tcPr>
          <w:p>
            <w:pPr>
              <w:pStyle w:val="9"/>
              <w:widowControl/>
              <w:rPr>
                <w:kern w:val="0"/>
              </w:rPr>
            </w:pPr>
            <w:r>
              <w:rPr>
                <w:kern w:val="0"/>
              </w:rPr>
              <w:t>计量  单位</w:t>
            </w:r>
          </w:p>
        </w:tc>
        <w:tc>
          <w:tcPr>
            <w:tcW w:w="850" w:type="dxa"/>
            <w:vMerge w:val="restart"/>
            <w:vAlign w:val="center"/>
          </w:tcPr>
          <w:p>
            <w:pPr>
              <w:pStyle w:val="9"/>
              <w:widowControl/>
              <w:rPr>
                <w:kern w:val="0"/>
              </w:rPr>
            </w:pPr>
            <w:r>
              <w:rPr>
                <w:kern w:val="0"/>
              </w:rPr>
              <w:t>数量</w:t>
            </w:r>
          </w:p>
        </w:tc>
        <w:tc>
          <w:tcPr>
            <w:tcW w:w="850" w:type="dxa"/>
            <w:vMerge w:val="restart"/>
            <w:vAlign w:val="center"/>
          </w:tcPr>
          <w:p>
            <w:pPr>
              <w:pStyle w:val="9"/>
              <w:widowControl/>
              <w:rPr>
                <w:kern w:val="0"/>
              </w:rPr>
            </w:pPr>
            <w:r>
              <w:rPr>
                <w:kern w:val="0"/>
              </w:rPr>
              <w:t>单价</w:t>
            </w:r>
          </w:p>
        </w:tc>
        <w:tc>
          <w:tcPr>
            <w:tcW w:w="7710" w:type="dxa"/>
            <w:gridSpan w:val="8"/>
            <w:vAlign w:val="center"/>
          </w:tcPr>
          <w:p>
            <w:pPr>
              <w:pStyle w:val="9"/>
              <w:widowControl/>
              <w:rPr>
                <w:kern w:val="0"/>
              </w:rPr>
            </w:pPr>
            <w:r>
              <w:rPr>
                <w:kern w:val="0"/>
              </w:rPr>
              <w:t>政府采购金额（当年部门预算安排资金）</w:t>
            </w:r>
          </w:p>
        </w:tc>
        <w:tc>
          <w:tcPr>
            <w:tcW w:w="964" w:type="dxa"/>
            <w:vMerge w:val="restart"/>
            <w:vAlign w:val="center"/>
          </w:tcPr>
          <w:p>
            <w:pPr>
              <w:pStyle w:val="9"/>
              <w:widowControl/>
              <w:rPr>
                <w:kern w:val="0"/>
              </w:rPr>
            </w:pPr>
            <w:r>
              <w:rPr>
                <w:kern w:val="0"/>
              </w:rPr>
              <w:t>202</w:t>
            </w:r>
            <w:r>
              <w:rPr>
                <w:rFonts w:hint="eastAsia"/>
                <w:kern w:val="0"/>
                <w:lang w:val="en-US" w:eastAsia="zh-CN"/>
              </w:rPr>
              <w:t>1</w:t>
            </w:r>
            <w:r>
              <w:rPr>
                <w:kern w:val="0"/>
              </w:rP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widowControl/>
              <w:rPr>
                <w:kern w:val="0"/>
              </w:rPr>
            </w:pPr>
            <w:r>
              <w:rPr>
                <w:kern w:val="0"/>
              </w:rPr>
              <w:t>项目名称</w:t>
            </w:r>
          </w:p>
        </w:tc>
        <w:tc>
          <w:tcPr>
            <w:tcW w:w="964" w:type="dxa"/>
            <w:vAlign w:val="center"/>
          </w:tcPr>
          <w:p>
            <w:pPr>
              <w:pStyle w:val="9"/>
              <w:widowControl/>
              <w:rPr>
                <w:kern w:val="0"/>
              </w:rPr>
            </w:pPr>
            <w:r>
              <w:rPr>
                <w:kern w:val="0"/>
              </w:rPr>
              <w:t>预算    资金</w:t>
            </w:r>
          </w:p>
        </w:tc>
        <w:tc>
          <w:tcPr>
            <w:tcW w:w="1134" w:type="dxa"/>
            <w:vMerge w:val="continue"/>
          </w:tcPr>
          <w:p>
            <w:pPr>
              <w:widowControl/>
              <w:jc w:val="left"/>
              <w:rPr>
                <w:rFonts w:ascii="Times New Roman" w:hAnsi="Times New Roman" w:eastAsia="Times New Roman"/>
                <w:kern w:val="0"/>
                <w:sz w:val="24"/>
                <w:lang w:eastAsia="uk-UA"/>
              </w:rPr>
            </w:pPr>
          </w:p>
        </w:tc>
        <w:tc>
          <w:tcPr>
            <w:tcW w:w="1134" w:type="dxa"/>
            <w:vMerge w:val="continue"/>
          </w:tcPr>
          <w:p>
            <w:pPr>
              <w:widowControl/>
              <w:jc w:val="left"/>
              <w:rPr>
                <w:rFonts w:ascii="Times New Roman" w:hAnsi="Times New Roman" w:eastAsia="Times New Roman"/>
                <w:kern w:val="0"/>
                <w:sz w:val="24"/>
                <w:lang w:eastAsia="uk-UA"/>
              </w:rPr>
            </w:pPr>
          </w:p>
        </w:tc>
        <w:tc>
          <w:tcPr>
            <w:tcW w:w="709" w:type="dxa"/>
            <w:vMerge w:val="continue"/>
          </w:tcPr>
          <w:p>
            <w:pPr>
              <w:widowControl/>
              <w:jc w:val="left"/>
              <w:rPr>
                <w:rFonts w:ascii="Times New Roman" w:hAnsi="Times New Roman" w:eastAsia="Times New Roman"/>
                <w:kern w:val="0"/>
                <w:sz w:val="24"/>
                <w:lang w:eastAsia="uk-UA"/>
              </w:rPr>
            </w:pPr>
          </w:p>
        </w:tc>
        <w:tc>
          <w:tcPr>
            <w:tcW w:w="850" w:type="dxa"/>
            <w:vMerge w:val="continue"/>
          </w:tcPr>
          <w:p>
            <w:pPr>
              <w:widowControl/>
              <w:jc w:val="left"/>
              <w:rPr>
                <w:rFonts w:ascii="Times New Roman" w:hAnsi="Times New Roman" w:eastAsia="Times New Roman"/>
                <w:kern w:val="0"/>
                <w:sz w:val="24"/>
                <w:lang w:eastAsia="uk-UA"/>
              </w:rPr>
            </w:pPr>
          </w:p>
        </w:tc>
        <w:tc>
          <w:tcPr>
            <w:tcW w:w="850" w:type="dxa"/>
            <w:vMerge w:val="continue"/>
          </w:tcPr>
          <w:p>
            <w:pPr>
              <w:widowControl/>
              <w:jc w:val="left"/>
              <w:rPr>
                <w:rFonts w:ascii="Times New Roman" w:hAnsi="Times New Roman" w:eastAsia="Times New Roman"/>
                <w:kern w:val="0"/>
                <w:sz w:val="24"/>
                <w:lang w:eastAsia="uk-UA"/>
              </w:rPr>
            </w:pPr>
          </w:p>
        </w:tc>
        <w:tc>
          <w:tcPr>
            <w:tcW w:w="964" w:type="dxa"/>
            <w:vAlign w:val="center"/>
          </w:tcPr>
          <w:p>
            <w:pPr>
              <w:pStyle w:val="9"/>
              <w:widowControl/>
              <w:rPr>
                <w:kern w:val="0"/>
              </w:rPr>
            </w:pPr>
            <w:r>
              <w:rPr>
                <w:kern w:val="0"/>
              </w:rPr>
              <w:t>合计</w:t>
            </w:r>
          </w:p>
        </w:tc>
        <w:tc>
          <w:tcPr>
            <w:tcW w:w="964" w:type="dxa"/>
            <w:vAlign w:val="center"/>
          </w:tcPr>
          <w:p>
            <w:pPr>
              <w:pStyle w:val="9"/>
              <w:widowControl/>
              <w:rPr>
                <w:kern w:val="0"/>
              </w:rPr>
            </w:pPr>
            <w:r>
              <w:rPr>
                <w:kern w:val="0"/>
              </w:rPr>
              <w:t>一般公共预算拨款</w:t>
            </w:r>
          </w:p>
        </w:tc>
        <w:tc>
          <w:tcPr>
            <w:tcW w:w="964" w:type="dxa"/>
            <w:vAlign w:val="center"/>
          </w:tcPr>
          <w:p>
            <w:pPr>
              <w:pStyle w:val="9"/>
              <w:widowControl/>
              <w:rPr>
                <w:kern w:val="0"/>
              </w:rPr>
            </w:pPr>
            <w:r>
              <w:rPr>
                <w:kern w:val="0"/>
              </w:rPr>
              <w:t>基金预算拨款</w:t>
            </w:r>
          </w:p>
        </w:tc>
        <w:tc>
          <w:tcPr>
            <w:tcW w:w="964" w:type="dxa"/>
            <w:vAlign w:val="center"/>
          </w:tcPr>
          <w:p>
            <w:pPr>
              <w:pStyle w:val="9"/>
              <w:widowControl/>
              <w:rPr>
                <w:kern w:val="0"/>
              </w:rPr>
            </w:pPr>
            <w:r>
              <w:rPr>
                <w:kern w:val="0"/>
              </w:rPr>
              <w:t>国有资本经营预算拨款</w:t>
            </w:r>
          </w:p>
        </w:tc>
        <w:tc>
          <w:tcPr>
            <w:tcW w:w="964" w:type="dxa"/>
            <w:vAlign w:val="center"/>
          </w:tcPr>
          <w:p>
            <w:pPr>
              <w:pStyle w:val="9"/>
              <w:widowControl/>
              <w:rPr>
                <w:kern w:val="0"/>
              </w:rPr>
            </w:pPr>
            <w:r>
              <w:rPr>
                <w:kern w:val="0"/>
              </w:rPr>
              <w:t>财政专户核拨</w:t>
            </w:r>
          </w:p>
        </w:tc>
        <w:tc>
          <w:tcPr>
            <w:tcW w:w="964" w:type="dxa"/>
            <w:vAlign w:val="center"/>
          </w:tcPr>
          <w:p>
            <w:pPr>
              <w:pStyle w:val="9"/>
              <w:widowControl/>
              <w:rPr>
                <w:kern w:val="0"/>
              </w:rPr>
            </w:pPr>
            <w:r>
              <w:rPr>
                <w:kern w:val="0"/>
              </w:rPr>
              <w:t>单位    资金</w:t>
            </w:r>
          </w:p>
        </w:tc>
        <w:tc>
          <w:tcPr>
            <w:tcW w:w="964" w:type="dxa"/>
            <w:vAlign w:val="center"/>
          </w:tcPr>
          <w:p>
            <w:pPr>
              <w:pStyle w:val="9"/>
              <w:widowControl/>
              <w:rPr>
                <w:kern w:val="0"/>
              </w:rPr>
            </w:pPr>
            <w:r>
              <w:rPr>
                <w:kern w:val="0"/>
              </w:rPr>
              <w:t>财政拨    款结转</w:t>
            </w:r>
          </w:p>
        </w:tc>
        <w:tc>
          <w:tcPr>
            <w:tcW w:w="964" w:type="dxa"/>
            <w:vAlign w:val="center"/>
          </w:tcPr>
          <w:p>
            <w:pPr>
              <w:pStyle w:val="9"/>
              <w:widowControl/>
              <w:rPr>
                <w:kern w:val="0"/>
              </w:rPr>
            </w:pPr>
            <w:r>
              <w:rPr>
                <w:kern w:val="0"/>
              </w:rPr>
              <w:t>非财政    拨款结    转结余</w:t>
            </w:r>
          </w:p>
        </w:tc>
        <w:tc>
          <w:tcPr>
            <w:tcW w:w="964" w:type="dxa"/>
            <w:vMerge w:val="continue"/>
          </w:tcPr>
          <w:p>
            <w:pPr>
              <w:widowControl/>
              <w:jc w:val="left"/>
              <w:rPr>
                <w:rFonts w:ascii="Times New Roman" w:hAnsi="Times New Roman" w:eastAsia="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widowControl/>
              <w:rPr>
                <w:kern w:val="0"/>
              </w:rPr>
            </w:pPr>
          </w:p>
        </w:tc>
        <w:tc>
          <w:tcPr>
            <w:tcW w:w="964" w:type="dxa"/>
            <w:vAlign w:val="center"/>
          </w:tcPr>
          <w:p>
            <w:pPr>
              <w:pStyle w:val="11"/>
              <w:widowControl/>
              <w:rPr>
                <w:kern w:val="0"/>
              </w:rPr>
            </w:pPr>
          </w:p>
        </w:tc>
        <w:tc>
          <w:tcPr>
            <w:tcW w:w="1134" w:type="dxa"/>
            <w:vAlign w:val="center"/>
          </w:tcPr>
          <w:p>
            <w:pPr>
              <w:pStyle w:val="10"/>
              <w:widowControl/>
              <w:rPr>
                <w:kern w:val="0"/>
              </w:rPr>
            </w:pPr>
          </w:p>
        </w:tc>
        <w:tc>
          <w:tcPr>
            <w:tcW w:w="1134" w:type="dxa"/>
            <w:vAlign w:val="center"/>
          </w:tcPr>
          <w:p>
            <w:pPr>
              <w:pStyle w:val="10"/>
              <w:widowControl/>
              <w:rPr>
                <w:kern w:val="0"/>
              </w:rPr>
            </w:pPr>
          </w:p>
        </w:tc>
        <w:tc>
          <w:tcPr>
            <w:tcW w:w="709" w:type="dxa"/>
            <w:vAlign w:val="center"/>
          </w:tcPr>
          <w:p>
            <w:pPr>
              <w:pStyle w:val="12"/>
              <w:widowControl/>
              <w:rPr>
                <w:kern w:val="0"/>
              </w:rPr>
            </w:pPr>
          </w:p>
        </w:tc>
        <w:tc>
          <w:tcPr>
            <w:tcW w:w="850" w:type="dxa"/>
            <w:vAlign w:val="center"/>
          </w:tcPr>
          <w:p>
            <w:pPr>
              <w:pStyle w:val="11"/>
              <w:widowControl/>
              <w:rPr>
                <w:kern w:val="0"/>
              </w:rPr>
            </w:pPr>
          </w:p>
        </w:tc>
        <w:tc>
          <w:tcPr>
            <w:tcW w:w="850"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r>
    </w:tbl>
    <w:p>
      <w:pPr>
        <w:widowControl/>
        <w:spacing w:before="0" w:after="0" w:line="500" w:lineRule="exact"/>
        <w:ind w:firstLine="420"/>
        <w:jc w:val="left"/>
        <w:outlineLvl w:val="9"/>
        <w:rPr>
          <w:rFonts w:ascii="Times New Roman" w:hAnsi="Times New Roman" w:eastAsia="Times New Roman"/>
          <w:kern w:val="0"/>
          <w:sz w:val="24"/>
          <w:lang w:eastAsia="uk-UA"/>
        </w:rPr>
      </w:pPr>
      <w:r>
        <w:rPr>
          <w:rFonts w:ascii="方正书宋_GBK" w:hAnsi="方正书宋_GBK" w:eastAsia="方正书宋_GBK" w:cs="方正书宋_GBK"/>
          <w:color w:val="000000"/>
          <w:kern w:val="0"/>
          <w:sz w:val="21"/>
          <w:lang w:eastAsia="uk-UA"/>
        </w:rPr>
        <w:t>注：同一采购目录序号的物品，其单价会因配置规格不同而变动，均符合资产配置标准。涉密采购事项按照相关规定执行。</w:t>
      </w:r>
    </w:p>
    <w:p>
      <w:pPr>
        <w:widowControl/>
        <w:spacing w:before="0" w:after="0" w:line="240" w:lineRule="auto"/>
        <w:ind w:firstLine="420"/>
        <w:jc w:val="left"/>
        <w:outlineLvl w:val="9"/>
        <w:rPr>
          <w:rFonts w:ascii="方正书宋_GBK" w:hAnsi="方正书宋_GBK" w:eastAsia="方正书宋_GBK" w:cs="方正书宋_GBK"/>
          <w:color w:val="000000"/>
          <w:kern w:val="0"/>
          <w:sz w:val="21"/>
          <w:lang w:eastAsia="uk-UA"/>
        </w:rPr>
      </w:pPr>
      <w:r>
        <w:rPr>
          <w:rFonts w:ascii="方正书宋_GBK" w:hAnsi="方正书宋_GBK" w:eastAsia="方正书宋_GBK" w:cs="方正书宋_GBK"/>
          <w:color w:val="000000"/>
          <w:kern w:val="0"/>
          <w:sz w:val="21"/>
          <w:lang w:eastAsia="uk-UA"/>
        </w:rPr>
        <w:t>注：无政府采购预算，空表列示。</w:t>
      </w:r>
    </w:p>
    <w:p>
      <w:pPr>
        <w:widowControl/>
        <w:spacing w:before="10" w:after="10" w:line="240" w:lineRule="auto"/>
        <w:ind w:firstLine="640"/>
        <w:jc w:val="left"/>
        <w:outlineLvl w:val="2"/>
        <w:rPr>
          <w:rFonts w:hint="eastAsia" w:ascii="方正小标宋简体" w:hAnsi="方正小标宋简体" w:eastAsia="方正小标宋简体" w:cs="方正小标宋简体"/>
          <w:b w:val="0"/>
          <w:bCs/>
          <w:color w:val="auto"/>
          <w:sz w:val="32"/>
          <w:szCs w:val="22"/>
        </w:rPr>
      </w:pPr>
      <w:bookmarkStart w:id="7" w:name="_Toc_3_3_0000000016"/>
      <w:r>
        <w:rPr>
          <w:rFonts w:ascii="黑体" w:hAnsi="黑体" w:eastAsia="黑体" w:cs="黑体"/>
          <w:color w:val="000000"/>
          <w:kern w:val="0"/>
          <w:sz w:val="32"/>
          <w:lang w:eastAsia="uk-UA"/>
        </w:rPr>
        <w:t>七、国有资产信息</w:t>
      </w:r>
      <w:bookmarkEnd w:id="7"/>
    </w:p>
    <w:p>
      <w:pPr>
        <w:widowControl/>
        <w:spacing w:before="0" w:after="0" w:line="500" w:lineRule="exact"/>
        <w:ind w:firstLine="560"/>
        <w:jc w:val="left"/>
        <w:outlineLvl w:val="9"/>
        <w:rPr>
          <w:rFonts w:ascii="Times New Roman" w:hAnsi="Times New Roman" w:eastAsia="Times New Roman"/>
          <w:kern w:val="0"/>
          <w:sz w:val="24"/>
          <w:lang w:eastAsia="uk-UA"/>
        </w:rPr>
      </w:pPr>
      <w:r>
        <w:rPr>
          <w:rFonts w:ascii="Times New Roman" w:hAnsi="Times New Roman" w:eastAsia="方正仿宋_GBK" w:cs="Times New Roman"/>
          <w:b w:val="0"/>
          <w:color w:val="000000"/>
          <w:kern w:val="0"/>
          <w:sz w:val="28"/>
          <w:lang w:eastAsia="uk-UA"/>
        </w:rPr>
        <w:t>北戴河生命健康产业研究院（含所属单位）上年末固定资产金额为</w:t>
      </w:r>
      <w:r>
        <w:rPr>
          <w:rFonts w:hint="eastAsia" w:ascii="Times New Roman" w:hAnsi="Times New Roman" w:eastAsia="方正仿宋_GBK" w:cs="Times New Roman"/>
          <w:b w:val="0"/>
          <w:color w:val="000000"/>
          <w:kern w:val="0"/>
          <w:sz w:val="28"/>
          <w:lang w:val="en-US" w:eastAsia="zh-CN"/>
        </w:rPr>
        <w:t>10.20</w:t>
      </w:r>
      <w:r>
        <w:rPr>
          <w:rFonts w:ascii="Times New Roman" w:hAnsi="Times New Roman" w:eastAsia="方正仿宋_GBK" w:cs="Times New Roman"/>
          <w:b w:val="0"/>
          <w:color w:val="000000"/>
          <w:kern w:val="0"/>
          <w:sz w:val="28"/>
          <w:lang w:eastAsia="uk-UA"/>
        </w:rPr>
        <w:t>万元（详见下表）。本年度拟购置固定资产总额为0.00万元，已按要求列入政府采购预算，详见政府采购预算表。</w:t>
      </w:r>
    </w:p>
    <w:p>
      <w:pPr>
        <w:widowControl/>
        <w:spacing w:before="0" w:after="0" w:line="240" w:lineRule="auto"/>
        <w:ind w:firstLine="0"/>
        <w:jc w:val="center"/>
        <w:outlineLvl w:val="9"/>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widowControl/>
              <w:rPr>
                <w:kern w:val="0"/>
              </w:rPr>
            </w:pPr>
            <w:r>
              <w:rPr>
                <w:kern w:val="0"/>
              </w:rPr>
              <w:t>901北戴河生命健康产业研究院</w:t>
            </w:r>
          </w:p>
        </w:tc>
        <w:tc>
          <w:tcPr>
            <w:tcW w:w="5669" w:type="dxa"/>
            <w:gridSpan w:val="2"/>
            <w:tcBorders>
              <w:top w:val="single" w:color="FFFFFF" w:sz="6" w:space="0"/>
              <w:left w:val="single" w:color="FFFFFF" w:sz="6" w:space="0"/>
              <w:right w:val="single" w:color="FFFFFF" w:sz="6" w:space="0"/>
            </w:tcBorders>
            <w:vAlign w:val="center"/>
          </w:tcPr>
          <w:p>
            <w:pPr>
              <w:pStyle w:val="13"/>
              <w:widowControl/>
              <w:rPr>
                <w:kern w:val="0"/>
              </w:rPr>
            </w:pPr>
            <w:r>
              <w:rPr>
                <w:kern w:val="0"/>
              </w:rPr>
              <w:t>截止时间：202</w:t>
            </w:r>
            <w:r>
              <w:rPr>
                <w:rFonts w:hint="eastAsia"/>
                <w:kern w:val="0"/>
                <w:lang w:val="en-US" w:eastAsia="zh-CN"/>
              </w:rPr>
              <w:t>0</w:t>
            </w:r>
            <w:r>
              <w:rPr>
                <w:kern w:val="0"/>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widowControl/>
              <w:rPr>
                <w:kern w:val="0"/>
              </w:rPr>
            </w:pPr>
            <w:r>
              <w:rPr>
                <w:kern w:val="0"/>
              </w:rPr>
              <w:t>项   目</w:t>
            </w:r>
          </w:p>
        </w:tc>
        <w:tc>
          <w:tcPr>
            <w:tcW w:w="2835" w:type="dxa"/>
            <w:vAlign w:val="center"/>
          </w:tcPr>
          <w:p>
            <w:pPr>
              <w:pStyle w:val="9"/>
              <w:widowControl/>
              <w:rPr>
                <w:kern w:val="0"/>
              </w:rPr>
            </w:pPr>
            <w:r>
              <w:rPr>
                <w:kern w:val="0"/>
              </w:rPr>
              <w:t>数量</w:t>
            </w:r>
          </w:p>
        </w:tc>
        <w:tc>
          <w:tcPr>
            <w:tcW w:w="2835" w:type="dxa"/>
            <w:vAlign w:val="center"/>
          </w:tcPr>
          <w:p>
            <w:pPr>
              <w:pStyle w:val="9"/>
              <w:widowControl/>
              <w:rPr>
                <w:kern w:val="0"/>
              </w:rPr>
            </w:pPr>
            <w:r>
              <w:rPr>
                <w:kern w:val="0"/>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widowControl/>
              <w:rPr>
                <w:rFonts w:hint="eastAsia" w:eastAsia="方正书宋_GBK"/>
                <w:kern w:val="0"/>
                <w:lang w:eastAsia="zh-CN"/>
              </w:rPr>
            </w:pPr>
            <w:r>
              <w:rPr>
                <w:rFonts w:hint="eastAsia"/>
                <w:kern w:val="0"/>
                <w:lang w:eastAsia="zh-CN"/>
              </w:rPr>
              <w:t>其他固定资产</w:t>
            </w:r>
          </w:p>
        </w:tc>
        <w:tc>
          <w:tcPr>
            <w:tcW w:w="2835" w:type="dxa"/>
            <w:vAlign w:val="center"/>
          </w:tcPr>
          <w:p>
            <w:pPr>
              <w:pStyle w:val="12"/>
              <w:widowControl/>
              <w:rPr>
                <w:kern w:val="0"/>
              </w:rPr>
            </w:pPr>
          </w:p>
        </w:tc>
        <w:tc>
          <w:tcPr>
            <w:tcW w:w="2835" w:type="dxa"/>
            <w:vAlign w:val="center"/>
          </w:tcPr>
          <w:p>
            <w:pPr>
              <w:pStyle w:val="11"/>
              <w:widowControl/>
              <w:rPr>
                <w:rFonts w:hint="default" w:eastAsia="方正书宋_GBK"/>
                <w:kern w:val="0"/>
                <w:lang w:val="en-US" w:eastAsia="zh-CN"/>
              </w:rPr>
            </w:pPr>
            <w:r>
              <w:rPr>
                <w:rFonts w:hint="eastAsia"/>
                <w:kern w:val="0"/>
                <w:lang w:val="en-US" w:eastAsia="zh-CN"/>
              </w:rPr>
              <w:t>10.20</w:t>
            </w:r>
          </w:p>
        </w:tc>
      </w:tr>
    </w:tbl>
    <w:p>
      <w:pPr>
        <w:widowControl/>
        <w:spacing w:before="10" w:after="10" w:line="240" w:lineRule="auto"/>
        <w:ind w:firstLine="640"/>
        <w:jc w:val="left"/>
        <w:outlineLvl w:val="2"/>
        <w:rPr>
          <w:rFonts w:ascii="Times New Roman" w:hAnsi="Times New Roman" w:eastAsia="Times New Roman"/>
          <w:kern w:val="0"/>
          <w:sz w:val="24"/>
          <w:lang w:eastAsia="uk-UA"/>
        </w:rPr>
      </w:pPr>
      <w:bookmarkStart w:id="8" w:name="_Toc_3_3_0000000017"/>
      <w:r>
        <w:rPr>
          <w:rFonts w:ascii="黑体" w:hAnsi="黑体" w:eastAsia="黑体" w:cs="黑体"/>
          <w:color w:val="000000"/>
          <w:kern w:val="0"/>
          <w:sz w:val="32"/>
          <w:lang w:eastAsia="uk-UA"/>
        </w:rPr>
        <w:t>八、名词解释</w:t>
      </w:r>
      <w:bookmarkEnd w:id="8"/>
    </w:p>
    <w:p>
      <w:pPr>
        <w:widowControl/>
        <w:spacing w:before="0" w:after="0" w:line="500" w:lineRule="exact"/>
        <w:ind w:firstLine="560"/>
        <w:jc w:val="left"/>
        <w:outlineLvl w:val="9"/>
        <w:rPr>
          <w:rFonts w:ascii="Times New Roman" w:hAnsi="Times New Roman" w:eastAsia="Times New Roman"/>
          <w:kern w:val="0"/>
          <w:sz w:val="24"/>
          <w:lang w:eastAsia="uk-UA"/>
        </w:rPr>
      </w:pPr>
      <w:r>
        <w:rPr>
          <w:rFonts w:ascii="Times New Roman" w:hAnsi="Times New Roman" w:eastAsia="方正仿宋_GBK" w:cs="Times New Roman"/>
          <w:b w:val="0"/>
          <w:color w:val="000000"/>
          <w:kern w:val="0"/>
          <w:sz w:val="28"/>
          <w:lang w:eastAsia="uk-UA"/>
        </w:rPr>
        <w:t>1、</w:t>
      </w:r>
      <w:r>
        <w:rPr>
          <w:rFonts w:ascii="Times New Roman" w:hAnsi="Times New Roman" w:eastAsia="方正仿宋_GBK" w:cs="Times New Roman"/>
          <w:b/>
          <w:color w:val="000000"/>
          <w:kern w:val="0"/>
          <w:sz w:val="28"/>
          <w:lang w:eastAsia="uk-UA"/>
        </w:rPr>
        <w:t>一般公共预算拨款收入：</w:t>
      </w:r>
      <w:r>
        <w:rPr>
          <w:rFonts w:ascii="Times New Roman" w:hAnsi="Times New Roman" w:eastAsia="方正仿宋_GBK" w:cs="Times New Roman"/>
          <w:b w:val="0"/>
          <w:color w:val="000000"/>
          <w:kern w:val="0"/>
          <w:sz w:val="28"/>
          <w:lang w:eastAsia="uk-UA"/>
        </w:rPr>
        <w:t>指省级财政当年拨付的资金。</w:t>
      </w:r>
    </w:p>
    <w:p>
      <w:pPr>
        <w:widowControl/>
        <w:spacing w:before="0" w:after="0" w:line="500" w:lineRule="exact"/>
        <w:ind w:firstLine="560"/>
        <w:jc w:val="left"/>
        <w:outlineLvl w:val="9"/>
        <w:rPr>
          <w:rFonts w:ascii="Times New Roman" w:hAnsi="Times New Roman" w:eastAsia="Times New Roman"/>
          <w:kern w:val="0"/>
          <w:sz w:val="24"/>
          <w:lang w:eastAsia="uk-UA"/>
        </w:rPr>
      </w:pPr>
      <w:r>
        <w:rPr>
          <w:rFonts w:ascii="Times New Roman" w:hAnsi="Times New Roman" w:eastAsia="方正仿宋_GBK" w:cs="Times New Roman"/>
          <w:b w:val="0"/>
          <w:color w:val="000000"/>
          <w:kern w:val="0"/>
          <w:sz w:val="28"/>
          <w:lang w:eastAsia="uk-UA"/>
        </w:rPr>
        <w:t>2、</w:t>
      </w:r>
      <w:r>
        <w:rPr>
          <w:rFonts w:ascii="Times New Roman" w:hAnsi="Times New Roman" w:eastAsia="方正仿宋_GBK" w:cs="Times New Roman"/>
          <w:b/>
          <w:color w:val="000000"/>
          <w:kern w:val="0"/>
          <w:sz w:val="28"/>
          <w:lang w:eastAsia="uk-UA"/>
        </w:rPr>
        <w:t>事业收入：</w:t>
      </w:r>
      <w:r>
        <w:rPr>
          <w:rFonts w:ascii="Times New Roman" w:hAnsi="Times New Roman" w:eastAsia="方正仿宋_GBK" w:cs="Times New Roman"/>
          <w:b w:val="0"/>
          <w:color w:val="000000"/>
          <w:kern w:val="0"/>
          <w:sz w:val="28"/>
          <w:lang w:eastAsia="uk-UA"/>
        </w:rPr>
        <w:t>指事业单位开展专业业务活动及辅助活动所取得的收入。</w:t>
      </w:r>
    </w:p>
    <w:p>
      <w:pPr>
        <w:widowControl/>
        <w:spacing w:before="0" w:after="0" w:line="500" w:lineRule="exact"/>
        <w:ind w:firstLine="560"/>
        <w:jc w:val="left"/>
        <w:outlineLvl w:val="9"/>
        <w:rPr>
          <w:rFonts w:ascii="Times New Roman" w:hAnsi="Times New Roman" w:eastAsia="Times New Roman"/>
          <w:kern w:val="0"/>
          <w:sz w:val="24"/>
          <w:lang w:eastAsia="uk-UA"/>
        </w:rPr>
      </w:pPr>
      <w:r>
        <w:rPr>
          <w:rFonts w:ascii="Times New Roman" w:hAnsi="Times New Roman" w:eastAsia="方正仿宋_GBK" w:cs="Times New Roman"/>
          <w:b w:val="0"/>
          <w:color w:val="000000"/>
          <w:kern w:val="0"/>
          <w:sz w:val="28"/>
          <w:lang w:eastAsia="uk-UA"/>
        </w:rPr>
        <w:t>3、</w:t>
      </w:r>
      <w:r>
        <w:rPr>
          <w:rFonts w:ascii="Times New Roman" w:hAnsi="Times New Roman" w:eastAsia="方正仿宋_GBK" w:cs="Times New Roman"/>
          <w:b/>
          <w:color w:val="000000"/>
          <w:kern w:val="0"/>
          <w:sz w:val="28"/>
          <w:lang w:eastAsia="uk-UA"/>
        </w:rPr>
        <w:t>其他收入：</w:t>
      </w:r>
      <w:r>
        <w:rPr>
          <w:rFonts w:ascii="Times New Roman" w:hAnsi="Times New Roman" w:eastAsia="方正仿宋_GBK" w:cs="Times New Roman"/>
          <w:b w:val="0"/>
          <w:color w:val="000000"/>
          <w:kern w:val="0"/>
          <w:sz w:val="28"/>
          <w:lang w:eastAsia="uk-UA"/>
        </w:rPr>
        <w:t>指除“一般公共预算拨款收入”、“事业收入”等以外的收入。主要是按规定动用的租房收入、存款利息收入等。</w:t>
      </w:r>
    </w:p>
    <w:p>
      <w:pPr>
        <w:widowControl/>
        <w:spacing w:before="0" w:after="0" w:line="500" w:lineRule="exact"/>
        <w:ind w:firstLine="560"/>
        <w:jc w:val="left"/>
        <w:outlineLvl w:val="9"/>
        <w:rPr>
          <w:rFonts w:ascii="Times New Roman" w:hAnsi="Times New Roman" w:eastAsia="Times New Roman"/>
          <w:kern w:val="0"/>
          <w:sz w:val="24"/>
          <w:lang w:eastAsia="uk-UA"/>
        </w:rPr>
      </w:pPr>
      <w:r>
        <w:rPr>
          <w:rFonts w:ascii="Times New Roman" w:hAnsi="Times New Roman" w:eastAsia="方正仿宋_GBK" w:cs="Times New Roman"/>
          <w:b w:val="0"/>
          <w:color w:val="000000"/>
          <w:kern w:val="0"/>
          <w:sz w:val="28"/>
          <w:lang w:eastAsia="uk-UA"/>
        </w:rPr>
        <w:t>4、</w:t>
      </w:r>
      <w:r>
        <w:rPr>
          <w:rFonts w:ascii="Times New Roman" w:hAnsi="Times New Roman" w:eastAsia="方正仿宋_GBK" w:cs="Times New Roman"/>
          <w:b/>
          <w:color w:val="000000"/>
          <w:kern w:val="0"/>
          <w:sz w:val="28"/>
          <w:lang w:eastAsia="uk-UA"/>
        </w:rPr>
        <w:t>基本支出：</w:t>
      </w:r>
      <w:r>
        <w:rPr>
          <w:rFonts w:ascii="Times New Roman" w:hAnsi="Times New Roman" w:eastAsia="方正仿宋_GBK" w:cs="Times New Roman"/>
          <w:b w:val="0"/>
          <w:color w:val="000000"/>
          <w:kern w:val="0"/>
          <w:sz w:val="28"/>
          <w:lang w:eastAsia="uk-UA"/>
        </w:rPr>
        <w:t>指为保障机构正常运转、完成日常工作任务而发生的人员支出和公用支出。</w:t>
      </w:r>
    </w:p>
    <w:p>
      <w:pPr>
        <w:widowControl/>
        <w:spacing w:before="0" w:after="0" w:line="500" w:lineRule="exact"/>
        <w:ind w:firstLine="560"/>
        <w:jc w:val="left"/>
        <w:outlineLvl w:val="9"/>
        <w:rPr>
          <w:rFonts w:ascii="Times New Roman" w:hAnsi="Times New Roman" w:eastAsia="Times New Roman"/>
          <w:kern w:val="0"/>
          <w:sz w:val="24"/>
          <w:lang w:eastAsia="uk-UA"/>
        </w:rPr>
      </w:pPr>
      <w:r>
        <w:rPr>
          <w:rFonts w:ascii="Times New Roman" w:hAnsi="Times New Roman" w:eastAsia="方正仿宋_GBK" w:cs="Times New Roman"/>
          <w:b w:val="0"/>
          <w:color w:val="000000"/>
          <w:kern w:val="0"/>
          <w:sz w:val="28"/>
          <w:lang w:eastAsia="uk-UA"/>
        </w:rPr>
        <w:t>5、</w:t>
      </w:r>
      <w:r>
        <w:rPr>
          <w:rFonts w:ascii="Times New Roman" w:hAnsi="Times New Roman" w:eastAsia="方正仿宋_GBK" w:cs="Times New Roman"/>
          <w:b/>
          <w:color w:val="000000"/>
          <w:kern w:val="0"/>
          <w:sz w:val="28"/>
          <w:lang w:eastAsia="uk-UA"/>
        </w:rPr>
        <w:t>项目支出：</w:t>
      </w:r>
      <w:r>
        <w:rPr>
          <w:rFonts w:ascii="Times New Roman" w:hAnsi="Times New Roman" w:eastAsia="方正仿宋_GBK" w:cs="Times New Roman"/>
          <w:b w:val="0"/>
          <w:color w:val="000000"/>
          <w:kern w:val="0"/>
          <w:sz w:val="28"/>
          <w:lang w:eastAsia="uk-UA"/>
        </w:rPr>
        <w:t>指在基本支出之外为完成特定行政任务和事业发展目标所发生的支出。</w:t>
      </w:r>
    </w:p>
    <w:p>
      <w:pPr>
        <w:widowControl/>
        <w:spacing w:before="0" w:after="0" w:line="500" w:lineRule="exact"/>
        <w:ind w:firstLine="560"/>
        <w:jc w:val="left"/>
        <w:outlineLvl w:val="9"/>
        <w:rPr>
          <w:rFonts w:ascii="Times New Roman" w:hAnsi="Times New Roman" w:eastAsia="Times New Roman"/>
          <w:kern w:val="0"/>
          <w:sz w:val="24"/>
          <w:lang w:eastAsia="uk-UA"/>
        </w:rPr>
      </w:pPr>
      <w:r>
        <w:rPr>
          <w:rFonts w:ascii="Times New Roman" w:hAnsi="Times New Roman" w:eastAsia="方正仿宋_GBK" w:cs="Times New Roman"/>
          <w:b w:val="0"/>
          <w:color w:val="000000"/>
          <w:kern w:val="0"/>
          <w:sz w:val="28"/>
          <w:lang w:eastAsia="uk-UA"/>
        </w:rPr>
        <w:t>6、</w:t>
      </w:r>
      <w:r>
        <w:rPr>
          <w:rFonts w:ascii="Times New Roman" w:hAnsi="Times New Roman" w:eastAsia="方正仿宋_GBK" w:cs="Times New Roman"/>
          <w:b/>
          <w:color w:val="000000"/>
          <w:kern w:val="0"/>
          <w:sz w:val="28"/>
          <w:lang w:eastAsia="uk-UA"/>
        </w:rPr>
        <w:t>上缴上级支出：</w:t>
      </w:r>
      <w:r>
        <w:rPr>
          <w:rFonts w:ascii="Times New Roman" w:hAnsi="Times New Roman" w:eastAsia="方正仿宋_GBK" w:cs="Times New Roman"/>
          <w:b w:val="0"/>
          <w:color w:val="000000"/>
          <w:kern w:val="0"/>
          <w:sz w:val="28"/>
          <w:lang w:eastAsia="uk-UA"/>
        </w:rPr>
        <w:t>指下级单位上缴上级的支出。</w:t>
      </w:r>
    </w:p>
    <w:p>
      <w:pPr>
        <w:widowControl/>
        <w:spacing w:before="0" w:after="0" w:line="500" w:lineRule="exact"/>
        <w:ind w:firstLine="560"/>
        <w:jc w:val="left"/>
        <w:outlineLvl w:val="9"/>
        <w:rPr>
          <w:rFonts w:ascii="Times New Roman" w:hAnsi="Times New Roman" w:eastAsia="Times New Roman"/>
          <w:kern w:val="0"/>
          <w:sz w:val="24"/>
          <w:lang w:eastAsia="uk-UA"/>
        </w:rPr>
      </w:pPr>
      <w:r>
        <w:rPr>
          <w:rFonts w:ascii="Times New Roman" w:hAnsi="Times New Roman" w:eastAsia="方正仿宋_GBK" w:cs="Times New Roman"/>
          <w:b w:val="0"/>
          <w:color w:val="000000"/>
          <w:kern w:val="0"/>
          <w:sz w:val="28"/>
          <w:lang w:eastAsia="uk-UA"/>
        </w:rPr>
        <w:t>7、</w:t>
      </w:r>
      <w:r>
        <w:rPr>
          <w:rFonts w:ascii="Times New Roman" w:hAnsi="Times New Roman" w:eastAsia="方正仿宋_GBK" w:cs="Times New Roman"/>
          <w:b/>
          <w:color w:val="000000"/>
          <w:kern w:val="0"/>
          <w:sz w:val="28"/>
          <w:lang w:eastAsia="uk-UA"/>
        </w:rPr>
        <w:t>“三公”经费：</w:t>
      </w:r>
      <w:r>
        <w:rPr>
          <w:rFonts w:ascii="Times New Roman" w:hAnsi="Times New Roman" w:eastAsia="方正仿宋_GBK" w:cs="Times New Roman"/>
          <w:b w:val="0"/>
          <w:color w:val="000000"/>
          <w:kern w:val="0"/>
          <w:sz w:val="28"/>
          <w:lang w:eastAsia="uk-UA"/>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widowControl/>
        <w:spacing w:before="0" w:after="0" w:line="500" w:lineRule="exact"/>
        <w:ind w:firstLine="560"/>
        <w:jc w:val="left"/>
        <w:outlineLvl w:val="9"/>
        <w:rPr>
          <w:rFonts w:ascii="Times New Roman" w:hAnsi="Times New Roman" w:eastAsia="Times New Roman"/>
          <w:kern w:val="0"/>
          <w:sz w:val="24"/>
          <w:lang w:eastAsia="uk-UA"/>
        </w:rPr>
      </w:pPr>
      <w:r>
        <w:rPr>
          <w:rFonts w:ascii="Times New Roman" w:hAnsi="Times New Roman" w:eastAsia="方正仿宋_GBK" w:cs="Times New Roman"/>
          <w:b w:val="0"/>
          <w:color w:val="000000"/>
          <w:kern w:val="0"/>
          <w:sz w:val="28"/>
          <w:lang w:eastAsia="uk-UA"/>
        </w:rPr>
        <w:t>8、</w:t>
      </w:r>
      <w:r>
        <w:rPr>
          <w:rFonts w:ascii="Times New Roman" w:hAnsi="Times New Roman" w:eastAsia="方正仿宋_GBK" w:cs="Times New Roman"/>
          <w:b/>
          <w:color w:val="000000"/>
          <w:kern w:val="0"/>
          <w:sz w:val="28"/>
          <w:lang w:eastAsia="uk-UA"/>
        </w:rPr>
        <w:t>机关运行费：</w:t>
      </w:r>
      <w:r>
        <w:rPr>
          <w:rFonts w:ascii="Times New Roman" w:hAnsi="Times New Roman" w:eastAsia="方正仿宋_GBK" w:cs="Times New Roman"/>
          <w:b w:val="0"/>
          <w:color w:val="000000"/>
          <w:kern w:val="0"/>
          <w:sz w:val="28"/>
          <w:lang w:eastAsia="uk-UA"/>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spacing w:before="0" w:after="0" w:line="500" w:lineRule="exact"/>
        <w:ind w:firstLine="560"/>
        <w:jc w:val="left"/>
        <w:outlineLvl w:val="9"/>
        <w:rPr>
          <w:rFonts w:ascii="Times New Roman" w:hAnsi="Times New Roman" w:eastAsia="Times New Roman"/>
          <w:kern w:val="0"/>
          <w:sz w:val="24"/>
          <w:lang w:eastAsia="uk-UA"/>
        </w:rPr>
      </w:pPr>
      <w:r>
        <w:rPr>
          <w:rFonts w:ascii="Times New Roman" w:hAnsi="Times New Roman" w:eastAsia="方正仿宋_GBK" w:cs="Times New Roman"/>
          <w:b w:val="0"/>
          <w:color w:val="000000"/>
          <w:kern w:val="0"/>
          <w:sz w:val="28"/>
          <w:lang w:eastAsia="uk-UA"/>
        </w:rPr>
        <w:t>9、</w:t>
      </w:r>
      <w:r>
        <w:rPr>
          <w:rFonts w:ascii="Times New Roman" w:hAnsi="Times New Roman" w:eastAsia="方正仿宋_GBK" w:cs="Times New Roman"/>
          <w:b/>
          <w:color w:val="000000"/>
          <w:kern w:val="0"/>
          <w:sz w:val="28"/>
          <w:lang w:eastAsia="uk-UA"/>
        </w:rPr>
        <w:t>上年结转：</w:t>
      </w:r>
      <w:r>
        <w:rPr>
          <w:rFonts w:ascii="Times New Roman" w:hAnsi="Times New Roman" w:eastAsia="方正仿宋_GBK" w:cs="Times New Roman"/>
          <w:b w:val="0"/>
          <w:color w:val="000000"/>
          <w:kern w:val="0"/>
          <w:sz w:val="28"/>
          <w:lang w:eastAsia="uk-UA"/>
        </w:rPr>
        <w:t>指以前年度尚未完成、结转到本年仍按原规定用途继续使用的资金。</w:t>
      </w:r>
    </w:p>
    <w:p>
      <w:pPr>
        <w:widowControl/>
        <w:spacing w:before="0" w:after="0" w:line="500" w:lineRule="exact"/>
        <w:ind w:firstLine="560"/>
        <w:jc w:val="left"/>
        <w:outlineLvl w:val="9"/>
        <w:rPr>
          <w:rFonts w:ascii="Times New Roman" w:hAnsi="Times New Roman" w:eastAsia="Times New Roman"/>
          <w:kern w:val="0"/>
          <w:sz w:val="24"/>
          <w:lang w:eastAsia="uk-UA"/>
        </w:rPr>
      </w:pPr>
      <w:r>
        <w:rPr>
          <w:rFonts w:ascii="Times New Roman" w:hAnsi="Times New Roman" w:eastAsia="方正仿宋_GBK" w:cs="Times New Roman"/>
          <w:b w:val="0"/>
          <w:color w:val="000000"/>
          <w:kern w:val="0"/>
          <w:sz w:val="28"/>
          <w:lang w:eastAsia="uk-UA"/>
        </w:rPr>
        <w:t>10、</w:t>
      </w:r>
      <w:r>
        <w:rPr>
          <w:rFonts w:ascii="Times New Roman" w:hAnsi="Times New Roman" w:eastAsia="方正仿宋_GBK" w:cs="Times New Roman"/>
          <w:b/>
          <w:color w:val="000000"/>
          <w:kern w:val="0"/>
          <w:sz w:val="28"/>
          <w:lang w:eastAsia="uk-UA"/>
        </w:rPr>
        <w:t>事业单位经营支出：</w:t>
      </w:r>
      <w:r>
        <w:rPr>
          <w:rFonts w:ascii="Times New Roman" w:hAnsi="Times New Roman" w:eastAsia="方正仿宋_GBK" w:cs="Times New Roman"/>
          <w:b w:val="0"/>
          <w:color w:val="000000"/>
          <w:kern w:val="0"/>
          <w:sz w:val="28"/>
          <w:lang w:eastAsia="uk-UA"/>
        </w:rPr>
        <w:t>指事业单位在专业业务活动及其辅助活动之外开展非独立核算经营活动发生的支出。</w:t>
      </w:r>
    </w:p>
    <w:p>
      <w:pPr>
        <w:widowControl/>
        <w:spacing w:before="10" w:after="10" w:line="240" w:lineRule="auto"/>
        <w:ind w:firstLine="640"/>
        <w:jc w:val="left"/>
        <w:outlineLvl w:val="2"/>
        <w:rPr>
          <w:rFonts w:ascii="Times New Roman" w:hAnsi="Times New Roman" w:eastAsia="Times New Roman"/>
          <w:kern w:val="0"/>
          <w:sz w:val="24"/>
          <w:lang w:eastAsia="uk-UA"/>
        </w:rPr>
      </w:pPr>
      <w:bookmarkStart w:id="9" w:name="_Toc_3_3_0000000018"/>
      <w:r>
        <w:rPr>
          <w:rFonts w:ascii="黑体" w:hAnsi="黑体" w:eastAsia="黑体" w:cs="黑体"/>
          <w:color w:val="000000"/>
          <w:kern w:val="0"/>
          <w:sz w:val="32"/>
          <w:lang w:eastAsia="uk-UA"/>
        </w:rPr>
        <w:t>九、其他需要说明的事项</w:t>
      </w:r>
      <w:bookmarkEnd w:id="9"/>
    </w:p>
    <w:p>
      <w:pPr>
        <w:spacing w:before="0" w:after="0" w:line="500" w:lineRule="exact"/>
        <w:ind w:firstLine="560"/>
        <w:jc w:val="left"/>
        <w:outlineLvl w:val="9"/>
        <w:rPr>
          <w:rFonts w:ascii="Times New Roman" w:hAnsi="Times New Roman" w:eastAsia="方正仿宋_GBK" w:cs="Times New Roman"/>
          <w:b w:val="0"/>
          <w:color w:val="000000"/>
          <w:kern w:val="0"/>
          <w:sz w:val="28"/>
          <w:lang w:eastAsia="uk-UA"/>
        </w:rPr>
      </w:pPr>
      <w:r>
        <w:rPr>
          <w:rFonts w:ascii="Times New Roman" w:hAnsi="Times New Roman" w:eastAsia="方正仿宋_GBK" w:cs="Times New Roman"/>
          <w:b w:val="0"/>
          <w:color w:val="000000"/>
          <w:kern w:val="0"/>
          <w:sz w:val="28"/>
          <w:lang w:eastAsia="uk-UA"/>
        </w:rPr>
        <w:t>我部门无其他需要说明的事项。</w:t>
      </w:r>
    </w:p>
    <w:p>
      <w:pPr>
        <w:spacing w:before="0" w:after="0" w:line="500" w:lineRule="exact"/>
        <w:ind w:firstLine="560"/>
        <w:jc w:val="left"/>
        <w:outlineLvl w:val="9"/>
        <w:rPr>
          <w:rFonts w:ascii="Times New Roman" w:hAnsi="Times New Roman" w:eastAsia="方正仿宋_GBK" w:cs="Times New Roman"/>
          <w:b w:val="0"/>
          <w:color w:val="000000"/>
          <w:kern w:val="0"/>
          <w:sz w:val="28"/>
          <w:lang w:eastAsia="uk-UA"/>
        </w:rPr>
      </w:pPr>
    </w:p>
    <w:p>
      <w:pPr>
        <w:spacing w:before="0" w:after="0" w:line="240" w:lineRule="auto"/>
        <w:ind w:firstLine="0"/>
        <w:jc w:val="center"/>
        <w:outlineLvl w:val="0"/>
        <w:rPr>
          <w:rFonts w:ascii="方正小标宋_GBK" w:hAnsi="方正小标宋_GBK" w:eastAsia="方正小标宋_GBK" w:cs="方正小标宋_GBK"/>
          <w:color w:val="000000"/>
          <w:kern w:val="0"/>
          <w:sz w:val="72"/>
          <w:lang w:eastAsia="uk-UA"/>
        </w:rPr>
      </w:pPr>
    </w:p>
    <w:p>
      <w:pPr>
        <w:spacing w:before="0" w:after="0" w:line="240" w:lineRule="auto"/>
        <w:ind w:firstLine="0"/>
        <w:jc w:val="center"/>
        <w:outlineLvl w:val="0"/>
        <w:rPr>
          <w:rFonts w:ascii="方正小标宋_GBK" w:hAnsi="方正小标宋_GBK" w:eastAsia="方正小标宋_GBK" w:cs="方正小标宋_GBK"/>
          <w:color w:val="000000"/>
          <w:kern w:val="0"/>
          <w:sz w:val="72"/>
          <w:lang w:eastAsia="uk-UA"/>
        </w:rPr>
      </w:pPr>
    </w:p>
    <w:p>
      <w:pPr>
        <w:spacing w:before="0" w:after="0" w:line="240" w:lineRule="auto"/>
        <w:ind w:firstLine="0"/>
        <w:jc w:val="center"/>
        <w:outlineLvl w:val="0"/>
        <w:rPr>
          <w:rFonts w:ascii="方正小标宋_GBK" w:hAnsi="方正小标宋_GBK" w:eastAsia="方正小标宋_GBK" w:cs="方正小标宋_GBK"/>
          <w:color w:val="000000"/>
          <w:kern w:val="0"/>
          <w:sz w:val="72"/>
          <w:lang w:eastAsia="uk-UA"/>
        </w:rPr>
      </w:pPr>
    </w:p>
    <w:p>
      <w:pPr>
        <w:spacing w:before="0" w:after="0" w:line="240" w:lineRule="auto"/>
        <w:ind w:firstLine="0"/>
        <w:jc w:val="center"/>
        <w:outlineLvl w:val="0"/>
        <w:rPr>
          <w:rFonts w:ascii="方正小标宋_GBK" w:hAnsi="方正小标宋_GBK" w:eastAsia="方正小标宋_GBK" w:cs="方正小标宋_GBK"/>
          <w:color w:val="000000"/>
          <w:kern w:val="0"/>
          <w:sz w:val="72"/>
          <w:lang w:eastAsia="uk-UA"/>
        </w:rPr>
      </w:pPr>
    </w:p>
    <w:p>
      <w:pPr>
        <w:spacing w:before="0" w:after="0" w:line="240" w:lineRule="auto"/>
        <w:ind w:firstLine="0"/>
        <w:jc w:val="center"/>
        <w:outlineLvl w:val="0"/>
        <w:sectPr>
          <w:pgSz w:w="16840" w:h="11900" w:orient="landscape"/>
          <w:pgMar w:top="1361" w:right="1020" w:bottom="1134" w:left="1020" w:header="720" w:footer="720" w:gutter="0"/>
        </w:sectPr>
      </w:pPr>
      <w:r>
        <w:rPr>
          <w:rFonts w:ascii="方正小标宋_GBK" w:hAnsi="方正小标宋_GBK" w:eastAsia="方正小标宋_GBK" w:cs="方正小标宋_GBK"/>
          <w:color w:val="000000"/>
          <w:kern w:val="0"/>
          <w:sz w:val="72"/>
          <w:lang w:eastAsia="uk-UA"/>
        </w:rPr>
        <w:t>第二部分  部门所属单位预算</w:t>
      </w:r>
    </w:p>
    <w:p>
      <w:pPr>
        <w:jc w:val="center"/>
        <w:outlineLvl w:val="1"/>
        <w:rPr>
          <w:rFonts w:hint="default" w:ascii="Times New Roman" w:hAnsi="Times New Roman" w:eastAsia="宋体" w:cs="Times New Roman"/>
          <w:sz w:val="36"/>
          <w:szCs w:val="22"/>
        </w:rPr>
      </w:pPr>
      <w:r>
        <w:rPr>
          <w:rFonts w:hint="eastAsia" w:ascii="Times New Roman" w:hAnsi="Times New Roman" w:eastAsia="方正小标宋_GBK" w:cs="Times New Roman"/>
          <w:sz w:val="36"/>
          <w:szCs w:val="22"/>
          <w:lang w:eastAsia="zh-CN"/>
        </w:rPr>
        <w:t>单位</w:t>
      </w:r>
      <w:r>
        <w:rPr>
          <w:rFonts w:hint="default" w:ascii="Times New Roman" w:hAnsi="Times New Roman" w:eastAsia="方正小标宋_GBK" w:cs="Times New Roman"/>
          <w:sz w:val="36"/>
          <w:szCs w:val="22"/>
        </w:rPr>
        <w:t>预算收支总表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hint="default" w:ascii="Times New Roman" w:hAnsi="Times New Roman" w:eastAsia="方正小标宋_GBK" w:cs="Times New Roman"/>
                <w:sz w:val="24"/>
                <w:szCs w:val="22"/>
                <w:lang w:val="en-US" w:eastAsia="zh-CN"/>
              </w:rPr>
            </w:pPr>
            <w:r>
              <w:rPr>
                <w:rFonts w:hint="eastAsia" w:ascii="Times New Roman" w:hAnsi="Times New Roman" w:eastAsia="方正小标宋_GBK" w:cs="Times New Roman"/>
                <w:sz w:val="24"/>
                <w:szCs w:val="22"/>
                <w:lang w:val="en-US" w:eastAsia="zh-CN"/>
              </w:rPr>
              <w:t>901001北戴河生命健康产业研究院本级</w:t>
            </w:r>
          </w:p>
        </w:tc>
        <w:tc>
          <w:tcPr>
            <w:tcW w:w="2126" w:type="dxa"/>
            <w:tcBorders>
              <w:top w:val="single" w:color="FFFFFF" w:sz="6" w:space="0"/>
              <w:left w:val="single" w:color="FFFFFF" w:sz="6" w:space="0"/>
              <w:right w:val="single" w:color="FFFFFF" w:sz="6" w:space="0"/>
            </w:tcBorders>
            <w:noWrap w:val="0"/>
            <w:vAlign w:val="center"/>
          </w:tcPr>
          <w:p>
            <w:pPr>
              <w:spacing w:line="300" w:lineRule="exact"/>
              <w:jc w:val="center"/>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预算年度：2021</w:t>
            </w:r>
          </w:p>
        </w:tc>
        <w:tc>
          <w:tcPr>
            <w:tcW w:w="6661"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序号</w:t>
            </w:r>
          </w:p>
        </w:tc>
        <w:tc>
          <w:tcPr>
            <w:tcW w:w="6661" w:type="dxa"/>
            <w:gridSpan w:val="2"/>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收入</w:t>
            </w:r>
          </w:p>
        </w:tc>
        <w:tc>
          <w:tcPr>
            <w:tcW w:w="6661" w:type="dxa"/>
            <w:gridSpan w:val="2"/>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项  目</w:t>
            </w:r>
          </w:p>
        </w:tc>
        <w:tc>
          <w:tcPr>
            <w:tcW w:w="2126"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预算数</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项  目</w:t>
            </w:r>
          </w:p>
        </w:tc>
        <w:tc>
          <w:tcPr>
            <w:tcW w:w="2126"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栏次</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1</w:t>
            </w:r>
          </w:p>
        </w:tc>
        <w:tc>
          <w:tcPr>
            <w:tcW w:w="2126"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3</w:t>
            </w:r>
          </w:p>
        </w:tc>
        <w:tc>
          <w:tcPr>
            <w:tcW w:w="2126"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一、一般公共预算拨款收入</w:t>
            </w:r>
          </w:p>
        </w:tc>
        <w:tc>
          <w:tcPr>
            <w:tcW w:w="2126"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233.83</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一、一般公共服务支出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二、政府性基金预算拨款收入</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二、外交支出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三、国有资本经营预算拨款收入</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三、国防支出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4</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四、财政专户管理资金收入</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四、公共安全支出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5</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五、事业收入</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五、教育支出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6</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六、事业单位经营收入</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六、科学技术支出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125.85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7</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七、上级补助收入</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七、文化旅游体育与传媒支出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8</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八、附属单位上缴收入</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八、社会保障和就业支出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9</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九、其他收入</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九、社会保险基金支出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10</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十、卫生健康支出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11</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十一、节能环保支出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12</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十二、城乡社区支出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13</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十三、农林水支出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14</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十四、交通运输支出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15</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十五、资源勘探工业信息等支出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16</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十六、商业服务业等支出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17</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十七、金融支出</w:t>
            </w:r>
          </w:p>
        </w:tc>
        <w:tc>
          <w:tcPr>
            <w:tcW w:w="2126" w:type="dxa"/>
            <w:noWrap w:val="0"/>
            <w:vAlign w:val="center"/>
          </w:tcPr>
          <w:p>
            <w:pPr>
              <w:spacing w:line="300" w:lineRule="exact"/>
              <w:jc w:val="right"/>
              <w:rPr>
                <w:rFonts w:hint="eastAsia" w:ascii="Times New Roman" w:hAnsi="Times New Roman" w:eastAsia="方正书宋_GBK" w:cs="Times New Roman"/>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18</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十八、援助其他地区支出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19</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十九、自然资源海洋气象等支出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20</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二十、住房保障支出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21</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二十一、粮油物资储备支出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22</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二十二、国有资本经营预算支出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23</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二十三、灾害防治及应急管理支出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24</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二十四、预备费</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25</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二十五、其他支出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26</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二十六、转移性支出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27</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二十七、债务还本支出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28</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二十八、债务付息支出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29</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二十九、债务发行费用支出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30</w:t>
            </w:r>
          </w:p>
        </w:tc>
        <w:tc>
          <w:tcPr>
            <w:tcW w:w="4535" w:type="dxa"/>
            <w:noWrap w:val="0"/>
            <w:vAlign w:val="center"/>
          </w:tcPr>
          <w:p>
            <w:pPr>
              <w:spacing w:line="300" w:lineRule="exact"/>
              <w:jc w:val="left"/>
              <w:rPr>
                <w:rFonts w:hint="default" w:ascii="Times New Roman" w:hAnsi="Times New Roman" w:eastAsia="方正书宋_GBK" w:cs="Times New Roman"/>
                <w:szCs w:val="22"/>
              </w:rPr>
            </w:pP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三十、抗疫特别国债安排的支出</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31</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本年收入合计</w:t>
            </w:r>
          </w:p>
        </w:tc>
        <w:tc>
          <w:tcPr>
            <w:tcW w:w="2126"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233.83</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本年支出合计</w:t>
            </w:r>
          </w:p>
        </w:tc>
        <w:tc>
          <w:tcPr>
            <w:tcW w:w="2126"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233.83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32</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上年结转结余</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年终结转结余</w:t>
            </w:r>
          </w:p>
        </w:tc>
        <w:tc>
          <w:tcPr>
            <w:tcW w:w="2126"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33</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收入总计</w:t>
            </w:r>
          </w:p>
        </w:tc>
        <w:tc>
          <w:tcPr>
            <w:tcW w:w="2126"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233.83</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支出总计</w:t>
            </w:r>
          </w:p>
        </w:tc>
        <w:tc>
          <w:tcPr>
            <w:tcW w:w="2126"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233.83</w:t>
            </w:r>
          </w:p>
        </w:tc>
      </w:tr>
    </w:tbl>
    <w:p>
      <w:pPr>
        <w:spacing w:line="300" w:lineRule="exact"/>
        <w:jc w:val="left"/>
        <w:outlineLvl w:val="1"/>
        <w:rPr>
          <w:rFonts w:hint="default" w:ascii="Times New Roman" w:hAnsi="Times New Roman" w:cs="Times New Roman"/>
        </w:rPr>
        <w:sectPr>
          <w:footerReference r:id="rId6" w:type="default"/>
          <w:pgSz w:w="16839" w:h="11907" w:orient="landscape"/>
          <w:pgMar w:top="1587" w:right="1134" w:bottom="1361" w:left="1134" w:header="851" w:footer="992" w:gutter="0"/>
          <w:cols w:space="720" w:num="1"/>
          <w:docGrid w:type="lines" w:linePitch="312" w:charSpace="0"/>
        </w:sectPr>
      </w:pPr>
    </w:p>
    <w:p>
      <w:pPr>
        <w:jc w:val="center"/>
        <w:outlineLvl w:val="1"/>
        <w:rPr>
          <w:rFonts w:hint="default" w:ascii="Times New Roman" w:hAnsi="Times New Roman" w:eastAsia="宋体" w:cs="Times New Roman"/>
          <w:sz w:val="36"/>
          <w:szCs w:val="22"/>
        </w:rPr>
      </w:pPr>
      <w:r>
        <w:rPr>
          <w:rFonts w:hint="eastAsia" w:ascii="Times New Roman" w:hAnsi="Times New Roman" w:eastAsia="方正小标宋_GBK" w:cs="Times New Roman"/>
          <w:sz w:val="36"/>
          <w:szCs w:val="22"/>
          <w:lang w:eastAsia="zh-CN"/>
        </w:rPr>
        <w:t>单位</w:t>
      </w:r>
      <w:r>
        <w:rPr>
          <w:rFonts w:hint="default" w:ascii="Times New Roman" w:hAnsi="Times New Roman" w:eastAsia="方正小标宋_GBK" w:cs="Times New Roman"/>
          <w:sz w:val="36"/>
          <w:szCs w:val="22"/>
        </w:rPr>
        <w:t>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022"/>
        <w:gridCol w:w="152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hint="eastAsia" w:ascii="Times New Roman" w:hAnsi="Times New Roman" w:eastAsia="方正小标宋_GBK" w:cs="Times New Roman"/>
                <w:sz w:val="24"/>
                <w:szCs w:val="22"/>
                <w:lang w:eastAsia="zh-CN"/>
              </w:rPr>
            </w:pPr>
            <w:r>
              <w:rPr>
                <w:rFonts w:hint="eastAsia" w:ascii="Times New Roman" w:hAnsi="Times New Roman" w:eastAsia="方正小标宋_GBK" w:cs="Times New Roman"/>
                <w:sz w:val="24"/>
                <w:szCs w:val="22"/>
                <w:lang w:val="en-US" w:eastAsia="zh-CN"/>
              </w:rPr>
              <w:t>901001北戴河生命健康产业研究院本级</w:t>
            </w:r>
          </w:p>
        </w:tc>
        <w:tc>
          <w:tcPr>
            <w:tcW w:w="3402" w:type="dxa"/>
            <w:gridSpan w:val="3"/>
            <w:tcBorders>
              <w:top w:val="single" w:color="FFFFFF" w:sz="6" w:space="0"/>
              <w:left w:val="single" w:color="FFFFFF" w:sz="6" w:space="0"/>
              <w:right w:val="single" w:color="FFFFFF" w:sz="6" w:space="0"/>
            </w:tcBorders>
            <w:noWrap w:val="0"/>
            <w:vAlign w:val="center"/>
          </w:tcPr>
          <w:p>
            <w:pPr>
              <w:spacing w:line="300" w:lineRule="exact"/>
              <w:jc w:val="center"/>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预算年度：2021</w:t>
            </w:r>
          </w:p>
        </w:tc>
        <w:tc>
          <w:tcPr>
            <w:tcW w:w="5670"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序号</w:t>
            </w:r>
          </w:p>
        </w:tc>
        <w:tc>
          <w:tcPr>
            <w:tcW w:w="2551" w:type="dxa"/>
            <w:gridSpan w:val="2"/>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功能分类科目</w:t>
            </w:r>
          </w:p>
        </w:tc>
        <w:tc>
          <w:tcPr>
            <w:tcW w:w="1134"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合计</w:t>
            </w:r>
          </w:p>
        </w:tc>
        <w:tc>
          <w:tcPr>
            <w:tcW w:w="9072" w:type="dxa"/>
            <w:gridSpan w:val="8"/>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本年收入</w:t>
            </w:r>
          </w:p>
        </w:tc>
        <w:tc>
          <w:tcPr>
            <w:tcW w:w="1134"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1022"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科目  编码</w:t>
            </w:r>
          </w:p>
        </w:tc>
        <w:tc>
          <w:tcPr>
            <w:tcW w:w="1529"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科目名称</w:t>
            </w:r>
          </w:p>
        </w:tc>
        <w:tc>
          <w:tcPr>
            <w:tcW w:w="1134"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小计</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财政拨款 收入</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财政专户 收入</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事业收入</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经营收入</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上级补助收入</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附属单位上缴收入</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其他收入</w:t>
            </w:r>
          </w:p>
        </w:tc>
        <w:tc>
          <w:tcPr>
            <w:tcW w:w="1134" w:type="dxa"/>
            <w:vMerge w:val="continue"/>
            <w:noWrap w:val="0"/>
            <w:vAlign w:val="center"/>
          </w:tcPr>
          <w:p>
            <w:pPr>
              <w:spacing w:line="300" w:lineRule="exact"/>
              <w:jc w:val="left"/>
              <w:outlineLvl w:val="1"/>
              <w:rPr>
                <w:rFonts w:hint="default" w:ascii="Times New Roman" w:hAnsi="Times New Roman" w:eastAsia="等线"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栏次</w:t>
            </w:r>
          </w:p>
        </w:tc>
        <w:tc>
          <w:tcPr>
            <w:tcW w:w="1022"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1</w:t>
            </w:r>
          </w:p>
        </w:tc>
        <w:tc>
          <w:tcPr>
            <w:tcW w:w="1529"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3</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4</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5</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6</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7</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8</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9</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10</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11</w:t>
            </w:r>
          </w:p>
        </w:tc>
        <w:tc>
          <w:tcPr>
            <w:tcW w:w="113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w:t>
            </w:r>
          </w:p>
        </w:tc>
        <w:tc>
          <w:tcPr>
            <w:tcW w:w="1022" w:type="dxa"/>
            <w:noWrap w:val="0"/>
            <w:vAlign w:val="center"/>
          </w:tcPr>
          <w:p>
            <w:pPr>
              <w:spacing w:line="300" w:lineRule="exact"/>
              <w:jc w:val="left"/>
              <w:rPr>
                <w:rFonts w:hint="default" w:ascii="Times New Roman" w:hAnsi="Times New Roman" w:eastAsia="方正书宋_GBK" w:cs="Times New Roman"/>
                <w:b/>
                <w:szCs w:val="22"/>
              </w:rPr>
            </w:pPr>
          </w:p>
        </w:tc>
        <w:tc>
          <w:tcPr>
            <w:tcW w:w="1529"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合计</w:t>
            </w:r>
          </w:p>
        </w:tc>
        <w:tc>
          <w:tcPr>
            <w:tcW w:w="1134"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233.83</w:t>
            </w:r>
          </w:p>
        </w:tc>
        <w:tc>
          <w:tcPr>
            <w:tcW w:w="1134"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233.83</w:t>
            </w:r>
          </w:p>
        </w:tc>
        <w:tc>
          <w:tcPr>
            <w:tcW w:w="1134"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233.83</w:t>
            </w:r>
          </w:p>
        </w:tc>
        <w:tc>
          <w:tcPr>
            <w:tcW w:w="1134" w:type="dxa"/>
            <w:noWrap w:val="0"/>
            <w:vAlign w:val="center"/>
          </w:tcPr>
          <w:p>
            <w:pPr>
              <w:spacing w:line="300" w:lineRule="exact"/>
              <w:jc w:val="right"/>
              <w:rPr>
                <w:rFonts w:hint="default" w:ascii="Times New Roman" w:hAnsi="Times New Roman" w:eastAsia="方正书宋_GBK" w:cs="Times New Roman"/>
                <w:b/>
                <w:szCs w:val="22"/>
              </w:rPr>
            </w:pPr>
          </w:p>
        </w:tc>
        <w:tc>
          <w:tcPr>
            <w:tcW w:w="1134" w:type="dxa"/>
            <w:noWrap w:val="0"/>
            <w:vAlign w:val="center"/>
          </w:tcPr>
          <w:p>
            <w:pPr>
              <w:spacing w:line="300" w:lineRule="exact"/>
              <w:jc w:val="right"/>
              <w:rPr>
                <w:rFonts w:hint="default" w:ascii="Times New Roman" w:hAnsi="Times New Roman" w:eastAsia="方正书宋_GBK" w:cs="Times New Roman"/>
                <w:b/>
                <w:szCs w:val="22"/>
              </w:rPr>
            </w:pPr>
          </w:p>
        </w:tc>
        <w:tc>
          <w:tcPr>
            <w:tcW w:w="1134" w:type="dxa"/>
            <w:noWrap w:val="0"/>
            <w:vAlign w:val="center"/>
          </w:tcPr>
          <w:p>
            <w:pPr>
              <w:spacing w:line="300" w:lineRule="exact"/>
              <w:jc w:val="right"/>
              <w:rPr>
                <w:rFonts w:hint="default" w:ascii="Times New Roman" w:hAnsi="Times New Roman" w:eastAsia="方正书宋_GBK" w:cs="Times New Roman"/>
                <w:b/>
                <w:szCs w:val="22"/>
              </w:rPr>
            </w:pPr>
          </w:p>
        </w:tc>
        <w:tc>
          <w:tcPr>
            <w:tcW w:w="1134" w:type="dxa"/>
            <w:noWrap w:val="0"/>
            <w:vAlign w:val="center"/>
          </w:tcPr>
          <w:p>
            <w:pPr>
              <w:spacing w:line="300" w:lineRule="exact"/>
              <w:jc w:val="right"/>
              <w:rPr>
                <w:rFonts w:hint="default" w:ascii="Times New Roman" w:hAnsi="Times New Roman" w:eastAsia="方正书宋_GBK" w:cs="Times New Roman"/>
                <w:b/>
                <w:szCs w:val="22"/>
              </w:rPr>
            </w:pPr>
          </w:p>
        </w:tc>
        <w:tc>
          <w:tcPr>
            <w:tcW w:w="1134" w:type="dxa"/>
            <w:noWrap w:val="0"/>
            <w:vAlign w:val="center"/>
          </w:tcPr>
          <w:p>
            <w:pPr>
              <w:spacing w:line="300" w:lineRule="exact"/>
              <w:jc w:val="right"/>
              <w:rPr>
                <w:rFonts w:hint="default" w:ascii="Times New Roman" w:hAnsi="Times New Roman" w:eastAsia="方正书宋_GBK" w:cs="Times New Roman"/>
                <w:b/>
                <w:szCs w:val="22"/>
              </w:rPr>
            </w:pPr>
          </w:p>
        </w:tc>
        <w:tc>
          <w:tcPr>
            <w:tcW w:w="1134" w:type="dxa"/>
            <w:noWrap w:val="0"/>
            <w:vAlign w:val="center"/>
          </w:tcPr>
          <w:p>
            <w:pPr>
              <w:spacing w:line="300" w:lineRule="exact"/>
              <w:jc w:val="right"/>
              <w:rPr>
                <w:rFonts w:hint="default" w:ascii="Times New Roman" w:hAnsi="Times New Roman" w:eastAsia="方正书宋_GBK" w:cs="Times New Roman"/>
                <w:b/>
                <w:szCs w:val="22"/>
              </w:rPr>
            </w:pPr>
          </w:p>
        </w:tc>
        <w:tc>
          <w:tcPr>
            <w:tcW w:w="1134" w:type="dxa"/>
            <w:noWrap w:val="0"/>
            <w:vAlign w:val="center"/>
          </w:tcPr>
          <w:p>
            <w:pPr>
              <w:spacing w:line="300" w:lineRule="exact"/>
              <w:jc w:val="right"/>
              <w:rPr>
                <w:rFonts w:hint="default" w:ascii="Times New Roman" w:hAnsi="Times New Roman" w:eastAsia="方正书宋_GBK" w:cs="Times New Roman"/>
                <w:b/>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w:t>
            </w:r>
          </w:p>
        </w:tc>
        <w:tc>
          <w:tcPr>
            <w:tcW w:w="102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201</w:t>
            </w:r>
          </w:p>
        </w:tc>
        <w:tc>
          <w:tcPr>
            <w:tcW w:w="1529"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一般公共服务支出</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w:t>
            </w:r>
          </w:p>
        </w:tc>
        <w:tc>
          <w:tcPr>
            <w:tcW w:w="102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20103</w:t>
            </w:r>
          </w:p>
        </w:tc>
        <w:tc>
          <w:tcPr>
            <w:tcW w:w="1529"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政府办公厅（室）及相关机构事务</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4</w:t>
            </w:r>
          </w:p>
        </w:tc>
        <w:tc>
          <w:tcPr>
            <w:tcW w:w="102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2010305</w:t>
            </w:r>
          </w:p>
        </w:tc>
        <w:tc>
          <w:tcPr>
            <w:tcW w:w="1529"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专项业务及机关事务管理</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5</w:t>
            </w:r>
          </w:p>
        </w:tc>
        <w:tc>
          <w:tcPr>
            <w:tcW w:w="1022" w:type="dxa"/>
            <w:noWrap w:val="0"/>
            <w:vAlign w:val="center"/>
          </w:tcPr>
          <w:p>
            <w:pPr>
              <w:spacing w:line="300" w:lineRule="exact"/>
              <w:jc w:val="left"/>
              <w:rPr>
                <w:rFonts w:hint="default" w:ascii="Times New Roman" w:hAnsi="Times New Roman" w:eastAsia="方正书宋_GBK" w:cs="Times New Roman"/>
                <w:szCs w:val="22"/>
                <w:lang w:val="en-US" w:eastAsia="zh-CN"/>
              </w:rPr>
            </w:pPr>
            <w:r>
              <w:rPr>
                <w:rFonts w:hint="default" w:ascii="Times New Roman" w:hAnsi="Times New Roman" w:eastAsia="方正书宋_GBK" w:cs="Times New Roman"/>
                <w:szCs w:val="22"/>
              </w:rPr>
              <w:t>206</w:t>
            </w:r>
          </w:p>
        </w:tc>
        <w:tc>
          <w:tcPr>
            <w:tcW w:w="1529" w:type="dxa"/>
            <w:noWrap w:val="0"/>
            <w:vAlign w:val="center"/>
          </w:tcPr>
          <w:p>
            <w:pPr>
              <w:spacing w:line="300" w:lineRule="exact"/>
              <w:jc w:val="lef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科学技术支出</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125.85</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125.85</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125.85</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6</w:t>
            </w:r>
          </w:p>
        </w:tc>
        <w:tc>
          <w:tcPr>
            <w:tcW w:w="1022" w:type="dxa"/>
            <w:noWrap w:val="0"/>
            <w:vAlign w:val="center"/>
          </w:tcPr>
          <w:p>
            <w:pPr>
              <w:spacing w:line="300" w:lineRule="exact"/>
              <w:jc w:val="left"/>
              <w:rPr>
                <w:rFonts w:hint="default" w:ascii="Times New Roman" w:hAnsi="Times New Roman" w:eastAsia="方正书宋_GBK" w:cs="Times New Roman"/>
                <w:szCs w:val="22"/>
                <w:lang w:val="en-US" w:eastAsia="zh-CN"/>
              </w:rPr>
            </w:pPr>
            <w:r>
              <w:rPr>
                <w:rFonts w:hint="default" w:ascii="Times New Roman" w:hAnsi="Times New Roman" w:eastAsia="方正书宋_GBK" w:cs="Times New Roman"/>
                <w:szCs w:val="22"/>
              </w:rPr>
              <w:t>20604</w:t>
            </w:r>
          </w:p>
        </w:tc>
        <w:tc>
          <w:tcPr>
            <w:tcW w:w="1529" w:type="dxa"/>
            <w:noWrap w:val="0"/>
            <w:vAlign w:val="center"/>
          </w:tcPr>
          <w:p>
            <w:pPr>
              <w:spacing w:line="300" w:lineRule="exact"/>
              <w:jc w:val="lef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技术研究与开发</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125.85</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125.85</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125.85</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7</w:t>
            </w:r>
          </w:p>
        </w:tc>
        <w:tc>
          <w:tcPr>
            <w:tcW w:w="1022" w:type="dxa"/>
            <w:noWrap w:val="0"/>
            <w:vAlign w:val="center"/>
          </w:tcPr>
          <w:p>
            <w:pPr>
              <w:spacing w:line="300" w:lineRule="exact"/>
              <w:jc w:val="left"/>
              <w:rPr>
                <w:rFonts w:hint="default" w:ascii="Times New Roman" w:hAnsi="Times New Roman" w:eastAsia="方正书宋_GBK" w:cs="Times New Roman"/>
                <w:szCs w:val="22"/>
                <w:lang w:val="en-US" w:eastAsia="zh-CN"/>
              </w:rPr>
            </w:pPr>
            <w:r>
              <w:rPr>
                <w:rFonts w:hint="default" w:ascii="Times New Roman" w:hAnsi="Times New Roman" w:eastAsia="方正书宋_GBK" w:cs="Times New Roman"/>
                <w:szCs w:val="22"/>
              </w:rPr>
              <w:t>2060401</w:t>
            </w:r>
          </w:p>
        </w:tc>
        <w:tc>
          <w:tcPr>
            <w:tcW w:w="1529" w:type="dxa"/>
            <w:noWrap w:val="0"/>
            <w:vAlign w:val="center"/>
          </w:tcPr>
          <w:p>
            <w:pPr>
              <w:spacing w:line="300" w:lineRule="exact"/>
              <w:jc w:val="lef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机构运行</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57.85</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57.85</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57.85</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8</w:t>
            </w:r>
          </w:p>
        </w:tc>
        <w:tc>
          <w:tcPr>
            <w:tcW w:w="1022" w:type="dxa"/>
            <w:noWrap w:val="0"/>
            <w:vAlign w:val="center"/>
          </w:tcPr>
          <w:p>
            <w:pPr>
              <w:spacing w:line="300" w:lineRule="exact"/>
              <w:jc w:val="left"/>
              <w:rPr>
                <w:rFonts w:hint="default" w:ascii="Times New Roman" w:hAnsi="Times New Roman" w:eastAsia="方正书宋_GBK" w:cs="Times New Roman"/>
                <w:szCs w:val="22"/>
                <w:lang w:val="en-US" w:eastAsia="zh-CN"/>
              </w:rPr>
            </w:pPr>
            <w:r>
              <w:rPr>
                <w:rFonts w:hint="default" w:ascii="Times New Roman" w:hAnsi="Times New Roman" w:eastAsia="方正书宋_GBK" w:cs="Times New Roman"/>
                <w:szCs w:val="22"/>
              </w:rPr>
              <w:t>2060404</w:t>
            </w:r>
          </w:p>
        </w:tc>
        <w:tc>
          <w:tcPr>
            <w:tcW w:w="1529" w:type="dxa"/>
            <w:noWrap w:val="0"/>
            <w:vAlign w:val="center"/>
          </w:tcPr>
          <w:p>
            <w:pPr>
              <w:spacing w:line="300" w:lineRule="exact"/>
              <w:jc w:val="lef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科技成果转化与扩散</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68.00</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68.00</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68.00</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9</w:t>
            </w:r>
          </w:p>
        </w:tc>
        <w:tc>
          <w:tcPr>
            <w:tcW w:w="102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208</w:t>
            </w:r>
          </w:p>
        </w:tc>
        <w:tc>
          <w:tcPr>
            <w:tcW w:w="1529"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社会保障和就业支出</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6.64</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6.64</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10</w:t>
            </w:r>
          </w:p>
        </w:tc>
        <w:tc>
          <w:tcPr>
            <w:tcW w:w="102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20805</w:t>
            </w:r>
          </w:p>
        </w:tc>
        <w:tc>
          <w:tcPr>
            <w:tcW w:w="1529"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行政事业单位养老支出</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6.64</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6.64</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11</w:t>
            </w:r>
          </w:p>
        </w:tc>
        <w:tc>
          <w:tcPr>
            <w:tcW w:w="102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2080505</w:t>
            </w:r>
          </w:p>
        </w:tc>
        <w:tc>
          <w:tcPr>
            <w:tcW w:w="1529"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机关事业单位基本养老保险缴费支出</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6.64</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6.64</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12</w:t>
            </w:r>
          </w:p>
        </w:tc>
        <w:tc>
          <w:tcPr>
            <w:tcW w:w="102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210</w:t>
            </w:r>
          </w:p>
        </w:tc>
        <w:tc>
          <w:tcPr>
            <w:tcW w:w="1529"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卫生健康支出</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6.35</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6.35</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13</w:t>
            </w:r>
          </w:p>
        </w:tc>
        <w:tc>
          <w:tcPr>
            <w:tcW w:w="102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21011</w:t>
            </w:r>
          </w:p>
        </w:tc>
        <w:tc>
          <w:tcPr>
            <w:tcW w:w="1529"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行政事业单位医疗</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6.35</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6.35</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14</w:t>
            </w:r>
          </w:p>
        </w:tc>
        <w:tc>
          <w:tcPr>
            <w:tcW w:w="102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2101102</w:t>
            </w:r>
          </w:p>
        </w:tc>
        <w:tc>
          <w:tcPr>
            <w:tcW w:w="1529"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事业单位医疗</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6.35</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6.35</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15</w:t>
            </w:r>
          </w:p>
        </w:tc>
        <w:tc>
          <w:tcPr>
            <w:tcW w:w="102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221</w:t>
            </w:r>
          </w:p>
        </w:tc>
        <w:tc>
          <w:tcPr>
            <w:tcW w:w="1529"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住房保障支出</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4.98</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4.98</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16</w:t>
            </w:r>
          </w:p>
        </w:tc>
        <w:tc>
          <w:tcPr>
            <w:tcW w:w="102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22102</w:t>
            </w:r>
          </w:p>
        </w:tc>
        <w:tc>
          <w:tcPr>
            <w:tcW w:w="1529"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住房改革支出</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4.98</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4.98</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17</w:t>
            </w:r>
          </w:p>
        </w:tc>
        <w:tc>
          <w:tcPr>
            <w:tcW w:w="102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2210201</w:t>
            </w:r>
          </w:p>
        </w:tc>
        <w:tc>
          <w:tcPr>
            <w:tcW w:w="1529"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住房公积金</w:t>
            </w:r>
          </w:p>
        </w:tc>
        <w:tc>
          <w:tcPr>
            <w:tcW w:w="113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4.98</w:t>
            </w:r>
          </w:p>
        </w:tc>
        <w:tc>
          <w:tcPr>
            <w:tcW w:w="113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4.98</w:t>
            </w: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c>
          <w:tcPr>
            <w:tcW w:w="1134" w:type="dxa"/>
            <w:noWrap w:val="0"/>
            <w:vAlign w:val="center"/>
          </w:tcPr>
          <w:p>
            <w:pPr>
              <w:spacing w:line="300" w:lineRule="exact"/>
              <w:jc w:val="right"/>
              <w:rPr>
                <w:rFonts w:hint="default" w:ascii="Times New Roman" w:hAnsi="Times New Roman" w:eastAsia="方正书宋_GBK" w:cs="Times New Roman"/>
                <w:szCs w:val="22"/>
              </w:rPr>
            </w:pPr>
          </w:p>
        </w:tc>
      </w:tr>
    </w:tbl>
    <w:p>
      <w:pPr>
        <w:spacing w:line="300" w:lineRule="exact"/>
        <w:jc w:val="left"/>
        <w:outlineLvl w:val="1"/>
        <w:rPr>
          <w:rFonts w:hint="default" w:ascii="Times New Roman" w:hAnsi="Times New Roman" w:cs="Times New Roman"/>
        </w:rPr>
        <w:sectPr>
          <w:pgSz w:w="16839" w:h="11907" w:orient="landscape"/>
          <w:pgMar w:top="1361" w:right="1020" w:bottom="1134" w:left="1020" w:header="851" w:footer="992" w:gutter="0"/>
          <w:cols w:space="720" w:num="1"/>
          <w:docGrid w:type="lines" w:linePitch="312" w:charSpace="0"/>
        </w:sectPr>
      </w:pPr>
    </w:p>
    <w:p>
      <w:pPr>
        <w:jc w:val="center"/>
        <w:outlineLvl w:val="1"/>
        <w:rPr>
          <w:rFonts w:hint="default" w:ascii="Times New Roman" w:hAnsi="Times New Roman" w:eastAsia="宋体" w:cs="Times New Roman"/>
          <w:sz w:val="36"/>
          <w:szCs w:val="22"/>
        </w:rPr>
      </w:pPr>
      <w:r>
        <w:rPr>
          <w:rFonts w:hint="eastAsia" w:ascii="Times New Roman" w:hAnsi="Times New Roman" w:eastAsia="方正小标宋_GBK" w:cs="Times New Roman"/>
          <w:sz w:val="36"/>
          <w:szCs w:val="22"/>
          <w:lang w:eastAsia="zh-CN"/>
        </w:rPr>
        <w:t>单位</w:t>
      </w:r>
      <w:r>
        <w:rPr>
          <w:rFonts w:hint="default" w:ascii="Times New Roman" w:hAnsi="Times New Roman" w:eastAsia="方正小标宋_GBK" w:cs="Times New Roman"/>
          <w:sz w:val="36"/>
          <w:szCs w:val="22"/>
        </w:rPr>
        <w:t>预算支出总表</w:t>
      </w:r>
    </w:p>
    <w:tbl>
      <w:tblPr>
        <w:tblStyle w:val="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hint="default" w:ascii="Times New Roman" w:hAnsi="Times New Roman" w:eastAsia="方正小标宋_GBK" w:cs="Times New Roman"/>
                <w:sz w:val="24"/>
                <w:szCs w:val="22"/>
                <w:lang w:val="en-US" w:eastAsia="zh-CN"/>
              </w:rPr>
            </w:pPr>
            <w:r>
              <w:rPr>
                <w:rFonts w:hint="eastAsia" w:ascii="Times New Roman" w:hAnsi="Times New Roman" w:eastAsia="方正小标宋_GBK" w:cs="Times New Roman"/>
                <w:sz w:val="24"/>
                <w:szCs w:val="22"/>
                <w:lang w:val="en-US" w:eastAsia="zh-CN"/>
              </w:rPr>
              <w:t>901001北戴河生命健康产业研究院本级</w:t>
            </w:r>
          </w:p>
        </w:tc>
        <w:tc>
          <w:tcPr>
            <w:tcW w:w="2722" w:type="dxa"/>
            <w:gridSpan w:val="2"/>
            <w:tcBorders>
              <w:top w:val="single" w:color="FFFFFF" w:sz="6" w:space="0"/>
              <w:left w:val="single" w:color="FFFFFF" w:sz="6" w:space="0"/>
              <w:right w:val="single" w:color="FFFFFF" w:sz="6" w:space="0"/>
            </w:tcBorders>
            <w:noWrap w:val="0"/>
            <w:vAlign w:val="center"/>
          </w:tcPr>
          <w:p>
            <w:pPr>
              <w:spacing w:line="300" w:lineRule="exact"/>
              <w:jc w:val="center"/>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预算年度：2021</w:t>
            </w:r>
          </w:p>
        </w:tc>
        <w:tc>
          <w:tcPr>
            <w:tcW w:w="5444"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序号</w:t>
            </w:r>
          </w:p>
        </w:tc>
        <w:tc>
          <w:tcPr>
            <w:tcW w:w="5527" w:type="dxa"/>
            <w:gridSpan w:val="2"/>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功能分类科目</w:t>
            </w:r>
          </w:p>
        </w:tc>
        <w:tc>
          <w:tcPr>
            <w:tcW w:w="1361"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合计</w:t>
            </w:r>
          </w:p>
        </w:tc>
        <w:tc>
          <w:tcPr>
            <w:tcW w:w="1361"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基本支出</w:t>
            </w:r>
          </w:p>
        </w:tc>
        <w:tc>
          <w:tcPr>
            <w:tcW w:w="1361"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项目支出</w:t>
            </w:r>
          </w:p>
        </w:tc>
        <w:tc>
          <w:tcPr>
            <w:tcW w:w="1361"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经营支出</w:t>
            </w:r>
          </w:p>
        </w:tc>
        <w:tc>
          <w:tcPr>
            <w:tcW w:w="1361"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上解上级 支出</w:t>
            </w:r>
          </w:p>
        </w:tc>
        <w:tc>
          <w:tcPr>
            <w:tcW w:w="1361"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992"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科目  编码</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科目名称</w:t>
            </w:r>
          </w:p>
        </w:tc>
        <w:tc>
          <w:tcPr>
            <w:tcW w:w="1361"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1361"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1361"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1361"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1361"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1361" w:type="dxa"/>
            <w:vMerge w:val="continue"/>
            <w:noWrap w:val="0"/>
            <w:vAlign w:val="center"/>
          </w:tcPr>
          <w:p>
            <w:pPr>
              <w:spacing w:line="300" w:lineRule="exact"/>
              <w:jc w:val="left"/>
              <w:outlineLvl w:val="1"/>
              <w:rPr>
                <w:rFonts w:hint="default" w:ascii="Times New Roman" w:hAnsi="Times New Roman" w:eastAsia="等线"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栏次</w:t>
            </w:r>
          </w:p>
        </w:tc>
        <w:tc>
          <w:tcPr>
            <w:tcW w:w="992"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1</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w:t>
            </w:r>
          </w:p>
        </w:tc>
        <w:tc>
          <w:tcPr>
            <w:tcW w:w="136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3</w:t>
            </w:r>
          </w:p>
        </w:tc>
        <w:tc>
          <w:tcPr>
            <w:tcW w:w="136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4</w:t>
            </w:r>
          </w:p>
        </w:tc>
        <w:tc>
          <w:tcPr>
            <w:tcW w:w="136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5</w:t>
            </w:r>
          </w:p>
        </w:tc>
        <w:tc>
          <w:tcPr>
            <w:tcW w:w="136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6</w:t>
            </w:r>
          </w:p>
        </w:tc>
        <w:tc>
          <w:tcPr>
            <w:tcW w:w="136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7</w:t>
            </w:r>
          </w:p>
        </w:tc>
        <w:tc>
          <w:tcPr>
            <w:tcW w:w="136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w:t>
            </w:r>
          </w:p>
        </w:tc>
        <w:tc>
          <w:tcPr>
            <w:tcW w:w="992" w:type="dxa"/>
            <w:noWrap w:val="0"/>
            <w:vAlign w:val="center"/>
          </w:tcPr>
          <w:p>
            <w:pPr>
              <w:spacing w:line="300" w:lineRule="exact"/>
              <w:jc w:val="left"/>
              <w:rPr>
                <w:rFonts w:hint="default" w:ascii="Times New Roman" w:hAnsi="Times New Roman" w:eastAsia="方正书宋_GBK" w:cs="Times New Roman"/>
                <w:b/>
                <w:szCs w:val="22"/>
              </w:rPr>
            </w:pP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合计</w:t>
            </w:r>
          </w:p>
        </w:tc>
        <w:tc>
          <w:tcPr>
            <w:tcW w:w="1361"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233.83</w:t>
            </w:r>
          </w:p>
        </w:tc>
        <w:tc>
          <w:tcPr>
            <w:tcW w:w="1361"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75.83</w:t>
            </w:r>
          </w:p>
        </w:tc>
        <w:tc>
          <w:tcPr>
            <w:tcW w:w="1361"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158.00</w:t>
            </w:r>
          </w:p>
        </w:tc>
        <w:tc>
          <w:tcPr>
            <w:tcW w:w="1361" w:type="dxa"/>
            <w:noWrap w:val="0"/>
            <w:vAlign w:val="center"/>
          </w:tcPr>
          <w:p>
            <w:pPr>
              <w:spacing w:line="300" w:lineRule="exact"/>
              <w:jc w:val="right"/>
              <w:rPr>
                <w:rFonts w:hint="default" w:ascii="Times New Roman" w:hAnsi="Times New Roman" w:eastAsia="方正书宋_GBK" w:cs="Times New Roman"/>
                <w:b/>
                <w:szCs w:val="22"/>
              </w:rPr>
            </w:pPr>
          </w:p>
        </w:tc>
        <w:tc>
          <w:tcPr>
            <w:tcW w:w="1361" w:type="dxa"/>
            <w:noWrap w:val="0"/>
            <w:vAlign w:val="center"/>
          </w:tcPr>
          <w:p>
            <w:pPr>
              <w:spacing w:line="300" w:lineRule="exact"/>
              <w:jc w:val="right"/>
              <w:rPr>
                <w:rFonts w:hint="default" w:ascii="Times New Roman" w:hAnsi="Times New Roman" w:eastAsia="方正书宋_GBK" w:cs="Times New Roman"/>
                <w:b/>
                <w:szCs w:val="22"/>
              </w:rPr>
            </w:pPr>
          </w:p>
        </w:tc>
        <w:tc>
          <w:tcPr>
            <w:tcW w:w="1361" w:type="dxa"/>
            <w:noWrap w:val="0"/>
            <w:vAlign w:val="center"/>
          </w:tcPr>
          <w:p>
            <w:pPr>
              <w:spacing w:line="300" w:lineRule="exact"/>
              <w:jc w:val="right"/>
              <w:rPr>
                <w:rFonts w:hint="default" w:ascii="Times New Roman" w:hAnsi="Times New Roman" w:eastAsia="方正书宋_GBK" w:cs="Times New Roman"/>
                <w:b/>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201</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一般公共服务支出</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20103</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政府办公厅（室）及相关机构事务</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4</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2010305</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专项业务及机关事务管理</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5</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206</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科学技术支出</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125.85</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57.85</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68.00</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6</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20604</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技术研究与开发</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125.85</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57.85</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68.00</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7</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2060401</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机构运行</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57.85</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57.85</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8</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2060404</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科技成果转化与扩散</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68.00</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68.00</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9</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208</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社会保障和就业支出</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10</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20805</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行政事业单位养老支出</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11</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2080505</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机关事业单位基本养老保险缴费支出</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12</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210</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卫生健康支出</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13</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21011</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行政事业单位医疗</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14</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2101102</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事业单位医疗</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15</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221</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住房保障支出</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16</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22102</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住房改革支出</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17</w:t>
            </w:r>
          </w:p>
        </w:tc>
        <w:tc>
          <w:tcPr>
            <w:tcW w:w="99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2210201</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住房公积金</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136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c>
          <w:tcPr>
            <w:tcW w:w="1361" w:type="dxa"/>
            <w:noWrap w:val="0"/>
            <w:vAlign w:val="center"/>
          </w:tcPr>
          <w:p>
            <w:pPr>
              <w:spacing w:line="300" w:lineRule="exact"/>
              <w:jc w:val="right"/>
              <w:rPr>
                <w:rFonts w:hint="default" w:ascii="Times New Roman" w:hAnsi="Times New Roman" w:eastAsia="方正书宋_GBK" w:cs="Times New Roman"/>
                <w:szCs w:val="22"/>
              </w:rPr>
            </w:pPr>
          </w:p>
        </w:tc>
      </w:tr>
    </w:tbl>
    <w:p>
      <w:pPr>
        <w:spacing w:line="300" w:lineRule="exact"/>
        <w:jc w:val="left"/>
        <w:outlineLvl w:val="1"/>
        <w:rPr>
          <w:rFonts w:hint="default" w:ascii="Times New Roman" w:hAnsi="Times New Roman" w:cs="Times New Roman"/>
        </w:rPr>
        <w:sectPr>
          <w:pgSz w:w="16839" w:h="11907" w:orient="landscape"/>
          <w:pgMar w:top="1361" w:right="1020" w:bottom="1134" w:left="1020" w:header="851" w:footer="992" w:gutter="0"/>
          <w:cols w:space="720" w:num="1"/>
          <w:docGrid w:type="lines" w:linePitch="312" w:charSpace="0"/>
        </w:sectPr>
      </w:pPr>
    </w:p>
    <w:p>
      <w:pPr>
        <w:jc w:val="center"/>
        <w:outlineLvl w:val="1"/>
        <w:rPr>
          <w:rFonts w:hint="default" w:ascii="Times New Roman" w:hAnsi="Times New Roman" w:eastAsia="宋体" w:cs="Times New Roman"/>
          <w:sz w:val="36"/>
          <w:szCs w:val="22"/>
        </w:rPr>
      </w:pPr>
      <w:r>
        <w:rPr>
          <w:rFonts w:hint="eastAsia" w:ascii="Times New Roman" w:hAnsi="Times New Roman" w:eastAsia="方正小标宋_GBK" w:cs="Times New Roman"/>
          <w:sz w:val="36"/>
          <w:szCs w:val="22"/>
          <w:lang w:eastAsia="zh-CN"/>
        </w:rPr>
        <w:t>单位</w:t>
      </w:r>
      <w:r>
        <w:rPr>
          <w:rFonts w:hint="default" w:ascii="Times New Roman" w:hAnsi="Times New Roman" w:eastAsia="方正小标宋_GBK" w:cs="Times New Roman"/>
          <w:sz w:val="36"/>
          <w:szCs w:val="22"/>
        </w:rPr>
        <w:t>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hint="default" w:ascii="Times New Roman" w:hAnsi="Times New Roman" w:eastAsia="方正小标宋_GBK" w:cs="Times New Roman"/>
                <w:sz w:val="24"/>
                <w:szCs w:val="22"/>
                <w:lang w:val="en-US" w:eastAsia="zh-CN"/>
              </w:rPr>
            </w:pPr>
            <w:r>
              <w:rPr>
                <w:rFonts w:hint="eastAsia" w:ascii="Times New Roman" w:hAnsi="Times New Roman" w:eastAsia="方正小标宋_GBK" w:cs="Times New Roman"/>
                <w:sz w:val="24"/>
                <w:szCs w:val="22"/>
                <w:lang w:val="en-US" w:eastAsia="zh-CN"/>
              </w:rPr>
              <w:t>901001北戴河生命健康产业研究院本级</w:t>
            </w:r>
          </w:p>
        </w:tc>
        <w:tc>
          <w:tcPr>
            <w:tcW w:w="3402" w:type="dxa"/>
            <w:tcBorders>
              <w:top w:val="single" w:color="FFFFFF" w:sz="6" w:space="0"/>
              <w:left w:val="single" w:color="FFFFFF" w:sz="6" w:space="0"/>
              <w:right w:val="single" w:color="FFFFFF" w:sz="6" w:space="0"/>
            </w:tcBorders>
            <w:noWrap w:val="0"/>
            <w:vAlign w:val="center"/>
          </w:tcPr>
          <w:p>
            <w:pPr>
              <w:spacing w:line="300" w:lineRule="exact"/>
              <w:jc w:val="center"/>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预算年度：2021</w:t>
            </w:r>
          </w:p>
        </w:tc>
        <w:tc>
          <w:tcPr>
            <w:tcW w:w="5896"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序号</w:t>
            </w:r>
          </w:p>
        </w:tc>
        <w:tc>
          <w:tcPr>
            <w:tcW w:w="4876" w:type="dxa"/>
            <w:gridSpan w:val="2"/>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收入</w:t>
            </w:r>
          </w:p>
        </w:tc>
        <w:tc>
          <w:tcPr>
            <w:tcW w:w="9298" w:type="dxa"/>
            <w:gridSpan w:val="5"/>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3402"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项  目</w:t>
            </w:r>
          </w:p>
        </w:tc>
        <w:tc>
          <w:tcPr>
            <w:tcW w:w="147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金额</w:t>
            </w:r>
          </w:p>
        </w:tc>
        <w:tc>
          <w:tcPr>
            <w:tcW w:w="3402"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项  目</w:t>
            </w:r>
          </w:p>
        </w:tc>
        <w:tc>
          <w:tcPr>
            <w:tcW w:w="147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合计</w:t>
            </w:r>
          </w:p>
        </w:tc>
        <w:tc>
          <w:tcPr>
            <w:tcW w:w="147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一般公共预算财政拨款</w:t>
            </w:r>
          </w:p>
        </w:tc>
        <w:tc>
          <w:tcPr>
            <w:tcW w:w="147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政府性基金预算财政拨款</w:t>
            </w:r>
          </w:p>
        </w:tc>
        <w:tc>
          <w:tcPr>
            <w:tcW w:w="147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栏次</w:t>
            </w:r>
          </w:p>
        </w:tc>
        <w:tc>
          <w:tcPr>
            <w:tcW w:w="3402"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1</w:t>
            </w:r>
          </w:p>
        </w:tc>
        <w:tc>
          <w:tcPr>
            <w:tcW w:w="147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w:t>
            </w:r>
          </w:p>
        </w:tc>
        <w:tc>
          <w:tcPr>
            <w:tcW w:w="3402"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3</w:t>
            </w:r>
          </w:p>
        </w:tc>
        <w:tc>
          <w:tcPr>
            <w:tcW w:w="147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4</w:t>
            </w:r>
          </w:p>
        </w:tc>
        <w:tc>
          <w:tcPr>
            <w:tcW w:w="147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5</w:t>
            </w:r>
          </w:p>
        </w:tc>
        <w:tc>
          <w:tcPr>
            <w:tcW w:w="147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6</w:t>
            </w:r>
          </w:p>
        </w:tc>
        <w:tc>
          <w:tcPr>
            <w:tcW w:w="1474"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w:t>
            </w: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一、一般公共预算拨款</w:t>
            </w:r>
          </w:p>
        </w:tc>
        <w:tc>
          <w:tcPr>
            <w:tcW w:w="147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233.83</w:t>
            </w: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一、一般公共服务支出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233.83</w:t>
            </w:r>
          </w:p>
        </w:tc>
        <w:tc>
          <w:tcPr>
            <w:tcW w:w="147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233.83</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w:t>
            </w: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二、政府性基金预算拨款</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二、外交支出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w:t>
            </w: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三、国有资本经营预算拨款</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三、国防支出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4</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四、公共安全支出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5</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五、教育支出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6</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六、科学技术支出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125.85</w:t>
            </w:r>
          </w:p>
        </w:tc>
        <w:tc>
          <w:tcPr>
            <w:tcW w:w="147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125.85</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7</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七、文化旅游体育与传媒支出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8</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八、社会保障和就业支出</w:t>
            </w:r>
          </w:p>
        </w:tc>
        <w:tc>
          <w:tcPr>
            <w:tcW w:w="147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6.64</w:t>
            </w:r>
          </w:p>
        </w:tc>
        <w:tc>
          <w:tcPr>
            <w:tcW w:w="147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6.64</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9</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九、社会保险基金支出</w:t>
            </w:r>
          </w:p>
        </w:tc>
        <w:tc>
          <w:tcPr>
            <w:tcW w:w="147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p>
        </w:tc>
        <w:tc>
          <w:tcPr>
            <w:tcW w:w="147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10</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十、卫生健康支出</w:t>
            </w:r>
          </w:p>
        </w:tc>
        <w:tc>
          <w:tcPr>
            <w:tcW w:w="147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6.35</w:t>
            </w:r>
          </w:p>
        </w:tc>
        <w:tc>
          <w:tcPr>
            <w:tcW w:w="1474" w:type="dxa"/>
            <w:noWrap w:val="0"/>
            <w:vAlign w:val="center"/>
          </w:tcPr>
          <w:p>
            <w:pPr>
              <w:spacing w:line="300" w:lineRule="exact"/>
              <w:jc w:val="right"/>
              <w:rPr>
                <w:rFonts w:hint="default" w:ascii="Times New Roman" w:hAnsi="Times New Roman" w:eastAsia="方正书宋_GBK" w:cs="Times New Roman"/>
                <w:kern w:val="2"/>
                <w:sz w:val="21"/>
                <w:szCs w:val="22"/>
                <w:lang w:val="en-US" w:eastAsia="zh-CN" w:bidi="ar-SA"/>
              </w:rPr>
            </w:pPr>
            <w:r>
              <w:rPr>
                <w:rFonts w:hint="default" w:ascii="Times New Roman" w:hAnsi="Times New Roman" w:eastAsia="方正书宋_GBK" w:cs="Times New Roman"/>
                <w:szCs w:val="22"/>
              </w:rPr>
              <w:t>6.35</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11</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十一、节能环保支出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12</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十二、城乡社区支出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13</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十三、农林水支出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14</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十四、交通运输支出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15</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十五、资源勘探工业信息等支出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16</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十六、商业服务业等支出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17</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十七、金融支出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18</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十八、援助其他地区支出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19</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十九、自然资源海洋气象等支出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20</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二十、住房保障支出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1474"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21</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二十一、粮油物资储备支出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22</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二十二、国有资本经营预算支出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23</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二十三、灾害防治及应急管理支出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24</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二十四、预备费</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25</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二十五、其他支出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26</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二十六、转移性支出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27</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二十七、债务还本支出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28</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二十八、债务付息支出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29</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二十九、债务发行费用支出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30</w:t>
            </w: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三十、抗疫特别国债安排的支出</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31</w:t>
            </w:r>
          </w:p>
        </w:tc>
        <w:tc>
          <w:tcPr>
            <w:tcW w:w="3402"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本年收入合计</w:t>
            </w:r>
          </w:p>
        </w:tc>
        <w:tc>
          <w:tcPr>
            <w:tcW w:w="1474"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233.83</w:t>
            </w:r>
          </w:p>
        </w:tc>
        <w:tc>
          <w:tcPr>
            <w:tcW w:w="3402"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本年支出合计</w:t>
            </w:r>
          </w:p>
        </w:tc>
        <w:tc>
          <w:tcPr>
            <w:tcW w:w="1474"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233.83</w:t>
            </w:r>
          </w:p>
        </w:tc>
        <w:tc>
          <w:tcPr>
            <w:tcW w:w="1474"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233.83</w:t>
            </w:r>
          </w:p>
        </w:tc>
        <w:tc>
          <w:tcPr>
            <w:tcW w:w="1474" w:type="dxa"/>
            <w:noWrap w:val="0"/>
            <w:vAlign w:val="center"/>
          </w:tcPr>
          <w:p>
            <w:pPr>
              <w:spacing w:line="300" w:lineRule="exact"/>
              <w:jc w:val="right"/>
              <w:rPr>
                <w:rFonts w:hint="default" w:ascii="Times New Roman" w:hAnsi="Times New Roman" w:eastAsia="方正书宋_GBK" w:cs="Times New Roman"/>
                <w:b/>
                <w:szCs w:val="22"/>
              </w:rPr>
            </w:pPr>
          </w:p>
        </w:tc>
        <w:tc>
          <w:tcPr>
            <w:tcW w:w="1474" w:type="dxa"/>
            <w:noWrap w:val="0"/>
            <w:vAlign w:val="center"/>
          </w:tcPr>
          <w:p>
            <w:pPr>
              <w:spacing w:line="300" w:lineRule="exact"/>
              <w:jc w:val="right"/>
              <w:rPr>
                <w:rFonts w:hint="default" w:ascii="Times New Roman" w:hAnsi="Times New Roman" w:eastAsia="方正书宋_GBK" w:cs="Times New Roman"/>
                <w:b/>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32</w:t>
            </w: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年初财政拨款结转和结余</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年末财政拨款结转和结余</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33</w:t>
            </w: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一、一般公共预算拨款</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34</w:t>
            </w: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二、政府性基金预算拨款</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35</w:t>
            </w:r>
          </w:p>
        </w:tc>
        <w:tc>
          <w:tcPr>
            <w:tcW w:w="3402"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三、国有资本经营预算拨款</w:t>
            </w: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3402" w:type="dxa"/>
            <w:noWrap w:val="0"/>
            <w:vAlign w:val="center"/>
          </w:tcPr>
          <w:p>
            <w:pPr>
              <w:spacing w:line="300" w:lineRule="exact"/>
              <w:jc w:val="lef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c>
          <w:tcPr>
            <w:tcW w:w="1474"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36</w:t>
            </w:r>
          </w:p>
        </w:tc>
        <w:tc>
          <w:tcPr>
            <w:tcW w:w="3402"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收入总计</w:t>
            </w:r>
          </w:p>
        </w:tc>
        <w:tc>
          <w:tcPr>
            <w:tcW w:w="1474"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233.83</w:t>
            </w:r>
          </w:p>
        </w:tc>
        <w:tc>
          <w:tcPr>
            <w:tcW w:w="3402"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支出总计</w:t>
            </w:r>
          </w:p>
        </w:tc>
        <w:tc>
          <w:tcPr>
            <w:tcW w:w="1474"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233.83</w:t>
            </w:r>
          </w:p>
        </w:tc>
        <w:tc>
          <w:tcPr>
            <w:tcW w:w="1474"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233.83</w:t>
            </w:r>
          </w:p>
        </w:tc>
        <w:tc>
          <w:tcPr>
            <w:tcW w:w="1474" w:type="dxa"/>
            <w:noWrap w:val="0"/>
            <w:vAlign w:val="center"/>
          </w:tcPr>
          <w:p>
            <w:pPr>
              <w:spacing w:line="300" w:lineRule="exact"/>
              <w:jc w:val="right"/>
              <w:rPr>
                <w:rFonts w:hint="default" w:ascii="Times New Roman" w:hAnsi="Times New Roman" w:eastAsia="方正书宋_GBK" w:cs="Times New Roman"/>
                <w:b/>
                <w:szCs w:val="22"/>
              </w:rPr>
            </w:pPr>
          </w:p>
        </w:tc>
        <w:tc>
          <w:tcPr>
            <w:tcW w:w="1474" w:type="dxa"/>
            <w:noWrap w:val="0"/>
            <w:vAlign w:val="center"/>
          </w:tcPr>
          <w:p>
            <w:pPr>
              <w:spacing w:line="300" w:lineRule="exact"/>
              <w:jc w:val="right"/>
              <w:rPr>
                <w:rFonts w:hint="default" w:ascii="Times New Roman" w:hAnsi="Times New Roman" w:eastAsia="方正书宋_GBK" w:cs="Times New Roman"/>
                <w:b/>
                <w:szCs w:val="22"/>
              </w:rPr>
            </w:pPr>
          </w:p>
        </w:tc>
      </w:tr>
    </w:tbl>
    <w:p>
      <w:pPr>
        <w:spacing w:line="300" w:lineRule="exact"/>
        <w:jc w:val="left"/>
        <w:outlineLvl w:val="1"/>
        <w:rPr>
          <w:rFonts w:hint="default" w:ascii="Times New Roman" w:hAnsi="Times New Roman" w:cs="Times New Roman"/>
        </w:rPr>
        <w:sectPr>
          <w:pgSz w:w="16839" w:h="11907" w:orient="landscape"/>
          <w:pgMar w:top="1361" w:right="1020" w:bottom="1134" w:left="1020" w:header="851" w:footer="992" w:gutter="0"/>
          <w:cols w:space="720" w:num="1"/>
          <w:docGrid w:type="lines" w:linePitch="312" w:charSpace="0"/>
        </w:sectPr>
      </w:pPr>
    </w:p>
    <w:p>
      <w:pPr>
        <w:jc w:val="center"/>
        <w:outlineLvl w:val="1"/>
        <w:rPr>
          <w:rFonts w:hint="default" w:ascii="Times New Roman" w:hAnsi="Times New Roman" w:eastAsia="宋体" w:cs="Times New Roman"/>
          <w:sz w:val="36"/>
          <w:szCs w:val="22"/>
        </w:rPr>
      </w:pPr>
      <w:r>
        <w:rPr>
          <w:rFonts w:hint="eastAsia" w:ascii="Times New Roman" w:hAnsi="Times New Roman" w:eastAsia="方正小标宋_GBK" w:cs="Times New Roman"/>
          <w:sz w:val="36"/>
          <w:szCs w:val="22"/>
          <w:lang w:eastAsia="zh-CN"/>
        </w:rPr>
        <w:t>单位</w:t>
      </w:r>
      <w:r>
        <w:rPr>
          <w:rFonts w:hint="default" w:ascii="Times New Roman" w:hAnsi="Times New Roman" w:eastAsia="方正小标宋_GBK" w:cs="Times New Roman"/>
          <w:sz w:val="36"/>
          <w:szCs w:val="22"/>
        </w:rPr>
        <w:t>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hint="default" w:ascii="Times New Roman" w:hAnsi="Times New Roman" w:eastAsia="方正小标宋_GBK" w:cs="Times New Roman"/>
                <w:sz w:val="24"/>
                <w:szCs w:val="22"/>
                <w:lang w:val="en-US" w:eastAsia="zh-CN"/>
              </w:rPr>
            </w:pPr>
            <w:r>
              <w:rPr>
                <w:rFonts w:hint="eastAsia" w:ascii="Times New Roman" w:hAnsi="Times New Roman" w:eastAsia="方正小标宋_GBK" w:cs="Times New Roman"/>
                <w:sz w:val="24"/>
                <w:szCs w:val="22"/>
                <w:lang w:val="en-US" w:eastAsia="zh-CN"/>
              </w:rPr>
              <w:t>901001北戴河生命健康产业研究院本级</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序号</w:t>
            </w:r>
          </w:p>
        </w:tc>
        <w:tc>
          <w:tcPr>
            <w:tcW w:w="5726" w:type="dxa"/>
            <w:gridSpan w:val="2"/>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功能分类科目</w:t>
            </w:r>
          </w:p>
        </w:tc>
        <w:tc>
          <w:tcPr>
            <w:tcW w:w="2551"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合计</w:t>
            </w:r>
          </w:p>
        </w:tc>
        <w:tc>
          <w:tcPr>
            <w:tcW w:w="2551"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基本支出</w:t>
            </w:r>
          </w:p>
        </w:tc>
        <w:tc>
          <w:tcPr>
            <w:tcW w:w="2551"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119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科目编码</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科目名称</w:t>
            </w:r>
          </w:p>
        </w:tc>
        <w:tc>
          <w:tcPr>
            <w:tcW w:w="2551"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2551"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2551" w:type="dxa"/>
            <w:vMerge w:val="continue"/>
            <w:noWrap w:val="0"/>
            <w:vAlign w:val="center"/>
          </w:tcPr>
          <w:p>
            <w:pPr>
              <w:spacing w:line="300" w:lineRule="exact"/>
              <w:jc w:val="left"/>
              <w:outlineLvl w:val="1"/>
              <w:rPr>
                <w:rFonts w:hint="default" w:ascii="Times New Roman" w:hAnsi="Times New Roman" w:eastAsia="等线"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栏次</w:t>
            </w:r>
          </w:p>
        </w:tc>
        <w:tc>
          <w:tcPr>
            <w:tcW w:w="119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1</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w:t>
            </w:r>
          </w:p>
        </w:tc>
        <w:tc>
          <w:tcPr>
            <w:tcW w:w="255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3</w:t>
            </w:r>
          </w:p>
        </w:tc>
        <w:tc>
          <w:tcPr>
            <w:tcW w:w="255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4</w:t>
            </w:r>
          </w:p>
        </w:tc>
        <w:tc>
          <w:tcPr>
            <w:tcW w:w="255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w:t>
            </w:r>
          </w:p>
        </w:tc>
        <w:tc>
          <w:tcPr>
            <w:tcW w:w="1191" w:type="dxa"/>
            <w:noWrap w:val="0"/>
            <w:vAlign w:val="center"/>
          </w:tcPr>
          <w:p>
            <w:pPr>
              <w:spacing w:line="300" w:lineRule="exact"/>
              <w:jc w:val="left"/>
              <w:rPr>
                <w:rFonts w:hint="default" w:ascii="Times New Roman" w:hAnsi="Times New Roman" w:eastAsia="方正书宋_GBK" w:cs="Times New Roman"/>
                <w:b/>
                <w:szCs w:val="22"/>
              </w:rPr>
            </w:pP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合计</w:t>
            </w:r>
          </w:p>
        </w:tc>
        <w:tc>
          <w:tcPr>
            <w:tcW w:w="2551"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233.83</w:t>
            </w:r>
          </w:p>
        </w:tc>
        <w:tc>
          <w:tcPr>
            <w:tcW w:w="2551"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75.83</w:t>
            </w:r>
          </w:p>
        </w:tc>
        <w:tc>
          <w:tcPr>
            <w:tcW w:w="2551"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158.00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201</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一般公共服务支出</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20103</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政府办公厅（室）及相关机构事务</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4</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2010305</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专项业务及机关事务管理</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5</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206</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科学技术支出</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125.85</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57.85</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6</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20604</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技术研究与开发</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125.85</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57.85</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7</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2060401</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机构运行</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57.85</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57.85</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8</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2060404</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科技成果转化与扩散</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68.00</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9</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208</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社会保障和就业支出</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10</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20805</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行政事业单位养老支出</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11</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2080505</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机关事业单位基本养老保险缴费支出</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12</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210</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卫生健康支出</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13</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21011</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行政事业单位医疗</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14</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2101102</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事业单位医疗</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15</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221</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住房保障支出</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16</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22102</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住房改革支出</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17</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2210201</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住房公积金</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bl>
    <w:p>
      <w:pPr>
        <w:spacing w:line="300" w:lineRule="exact"/>
        <w:jc w:val="left"/>
        <w:outlineLvl w:val="1"/>
        <w:rPr>
          <w:rFonts w:hint="default" w:ascii="Times New Roman" w:hAnsi="Times New Roman" w:cs="Times New Roman"/>
        </w:rPr>
        <w:sectPr>
          <w:pgSz w:w="16839" w:h="11907" w:orient="landscape"/>
          <w:pgMar w:top="1361" w:right="1020" w:bottom="1134" w:left="1020" w:header="851" w:footer="992" w:gutter="0"/>
          <w:cols w:space="720" w:num="1"/>
          <w:docGrid w:type="lines" w:linePitch="312" w:charSpace="0"/>
        </w:sectPr>
      </w:pPr>
    </w:p>
    <w:p>
      <w:pPr>
        <w:jc w:val="center"/>
        <w:outlineLvl w:val="1"/>
        <w:rPr>
          <w:rFonts w:hint="default" w:ascii="Times New Roman" w:hAnsi="Times New Roman" w:eastAsia="宋体" w:cs="Times New Roman"/>
          <w:sz w:val="36"/>
          <w:szCs w:val="22"/>
        </w:rPr>
      </w:pPr>
      <w:r>
        <w:rPr>
          <w:rFonts w:hint="eastAsia" w:ascii="Times New Roman" w:hAnsi="Times New Roman" w:eastAsia="方正小标宋_GBK" w:cs="Times New Roman"/>
          <w:sz w:val="36"/>
          <w:szCs w:val="22"/>
          <w:lang w:eastAsia="zh-CN"/>
        </w:rPr>
        <w:t>单位</w:t>
      </w:r>
      <w:r>
        <w:rPr>
          <w:rFonts w:hint="default" w:ascii="Times New Roman" w:hAnsi="Times New Roman" w:eastAsia="方正小标宋_GBK" w:cs="Times New Roman"/>
          <w:sz w:val="36"/>
          <w:szCs w:val="22"/>
        </w:rPr>
        <w:t>预算一般公共预算财政拨款基本支出表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hint="default" w:ascii="Times New Roman" w:hAnsi="Times New Roman" w:eastAsia="方正小标宋_GBK" w:cs="Times New Roman"/>
                <w:sz w:val="24"/>
                <w:szCs w:val="22"/>
                <w:lang w:val="en-US" w:eastAsia="zh-CN"/>
              </w:rPr>
            </w:pPr>
            <w:r>
              <w:rPr>
                <w:rFonts w:hint="eastAsia" w:ascii="Times New Roman" w:hAnsi="Times New Roman" w:eastAsia="方正小标宋_GBK" w:cs="Times New Roman"/>
                <w:sz w:val="24"/>
                <w:szCs w:val="22"/>
                <w:lang w:val="en-US" w:eastAsia="zh-CN"/>
              </w:rPr>
              <w:t>901001北戴河生命健康产业研究院本级</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序号</w:t>
            </w:r>
          </w:p>
        </w:tc>
        <w:tc>
          <w:tcPr>
            <w:tcW w:w="5726" w:type="dxa"/>
            <w:gridSpan w:val="2"/>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支出部门经济分类科目</w:t>
            </w:r>
          </w:p>
        </w:tc>
        <w:tc>
          <w:tcPr>
            <w:tcW w:w="7653" w:type="dxa"/>
            <w:gridSpan w:val="3"/>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119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科目编码</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科目名称</w:t>
            </w:r>
          </w:p>
        </w:tc>
        <w:tc>
          <w:tcPr>
            <w:tcW w:w="255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合计</w:t>
            </w:r>
          </w:p>
        </w:tc>
        <w:tc>
          <w:tcPr>
            <w:tcW w:w="255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人员经费</w:t>
            </w:r>
          </w:p>
        </w:tc>
        <w:tc>
          <w:tcPr>
            <w:tcW w:w="255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栏次</w:t>
            </w:r>
          </w:p>
        </w:tc>
        <w:tc>
          <w:tcPr>
            <w:tcW w:w="119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1</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w:t>
            </w:r>
          </w:p>
        </w:tc>
        <w:tc>
          <w:tcPr>
            <w:tcW w:w="255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3</w:t>
            </w:r>
          </w:p>
        </w:tc>
        <w:tc>
          <w:tcPr>
            <w:tcW w:w="255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4</w:t>
            </w:r>
          </w:p>
        </w:tc>
        <w:tc>
          <w:tcPr>
            <w:tcW w:w="255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w:t>
            </w:r>
          </w:p>
        </w:tc>
        <w:tc>
          <w:tcPr>
            <w:tcW w:w="1191" w:type="dxa"/>
            <w:noWrap w:val="0"/>
            <w:vAlign w:val="center"/>
          </w:tcPr>
          <w:p>
            <w:pPr>
              <w:spacing w:line="300" w:lineRule="exact"/>
              <w:jc w:val="left"/>
              <w:rPr>
                <w:rFonts w:hint="default" w:ascii="Times New Roman" w:hAnsi="Times New Roman" w:eastAsia="方正书宋_GBK" w:cs="Times New Roman"/>
                <w:b/>
                <w:szCs w:val="22"/>
              </w:rPr>
            </w:pP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合计</w:t>
            </w:r>
          </w:p>
        </w:tc>
        <w:tc>
          <w:tcPr>
            <w:tcW w:w="2551"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75.83</w:t>
            </w:r>
          </w:p>
        </w:tc>
        <w:tc>
          <w:tcPr>
            <w:tcW w:w="2551"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68.21</w:t>
            </w:r>
          </w:p>
        </w:tc>
        <w:tc>
          <w:tcPr>
            <w:tcW w:w="2551" w:type="dxa"/>
            <w:noWrap w:val="0"/>
            <w:vAlign w:val="center"/>
          </w:tcPr>
          <w:p>
            <w:pPr>
              <w:spacing w:line="300" w:lineRule="exact"/>
              <w:jc w:val="right"/>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301</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工资福利支出</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68.21</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68.21</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30101</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基本工资</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13.46</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13.46</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4</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30102</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津贴补贴</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11.23</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11.23</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5</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30103</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奖金</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5.09</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5.09</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6</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30107</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绩效工资</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20.02</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20.02</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7</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30108</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机关事业单位基本养老保险缴费</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6.64</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8</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30110</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职工基本医疗保险缴费</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6.35</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9</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30112</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其他社会保障缴费</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0.43</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0.43</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10</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30113</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住房公积金</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4.98</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11</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302</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商品和服务支出</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7.50</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12</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30201</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办公费</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0.99</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13</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30202</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印刷费</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0.12</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14</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30211</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差旅费</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0.57</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15</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30215</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会议费</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2.70</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16</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30216</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培训费</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0.36</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17</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30217</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公务接待费</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0.09</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18</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30228</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工会经费</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0.48</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19</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30229</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福利费</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0.35</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20</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30239</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其他交通费用</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1.86</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21</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310</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资本性支出</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0.12</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22</w:t>
            </w:r>
          </w:p>
        </w:tc>
        <w:tc>
          <w:tcPr>
            <w:tcW w:w="1191"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31002</w:t>
            </w:r>
          </w:p>
        </w:tc>
        <w:tc>
          <w:tcPr>
            <w:tcW w:w="4535"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办公设备购置</w:t>
            </w: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0.12</w:t>
            </w:r>
          </w:p>
        </w:tc>
        <w:tc>
          <w:tcPr>
            <w:tcW w:w="2551" w:type="dxa"/>
            <w:noWrap w:val="0"/>
            <w:vAlign w:val="center"/>
          </w:tcPr>
          <w:p>
            <w:pPr>
              <w:spacing w:line="300" w:lineRule="exact"/>
              <w:jc w:val="right"/>
              <w:rPr>
                <w:rFonts w:hint="default" w:ascii="Times New Roman" w:hAnsi="Times New Roman" w:eastAsia="方正书宋_GBK" w:cs="Times New Roman"/>
                <w:szCs w:val="22"/>
              </w:rPr>
            </w:pPr>
          </w:p>
        </w:tc>
        <w:tc>
          <w:tcPr>
            <w:tcW w:w="2551" w:type="dxa"/>
            <w:noWrap w:val="0"/>
            <w:vAlign w:val="center"/>
          </w:tcPr>
          <w:p>
            <w:pPr>
              <w:spacing w:line="300" w:lineRule="exact"/>
              <w:jc w:val="right"/>
              <w:rPr>
                <w:rFonts w:hint="default" w:ascii="Times New Roman" w:hAnsi="Times New Roman" w:eastAsia="方正书宋_GBK" w:cs="Times New Roman"/>
                <w:szCs w:val="22"/>
              </w:rPr>
            </w:pPr>
            <w:r>
              <w:rPr>
                <w:rFonts w:hint="default" w:ascii="Times New Roman" w:hAnsi="Times New Roman" w:eastAsia="方正书宋_GBK" w:cs="Times New Roman"/>
                <w:szCs w:val="22"/>
              </w:rPr>
              <w:t>0.12</w:t>
            </w:r>
          </w:p>
        </w:tc>
      </w:tr>
    </w:tbl>
    <w:p>
      <w:pPr>
        <w:spacing w:line="300" w:lineRule="exact"/>
        <w:jc w:val="left"/>
        <w:outlineLvl w:val="1"/>
        <w:rPr>
          <w:rFonts w:hint="default" w:ascii="Times New Roman" w:hAnsi="Times New Roman" w:cs="Times New Roman"/>
        </w:rPr>
        <w:sectPr>
          <w:pgSz w:w="16839" w:h="11907" w:orient="landscape"/>
          <w:pgMar w:top="1361" w:right="1020" w:bottom="1134" w:left="1020" w:header="851" w:footer="992" w:gutter="0"/>
          <w:cols w:space="720" w:num="1"/>
          <w:docGrid w:type="lines" w:linePitch="312" w:charSpace="0"/>
        </w:sectPr>
      </w:pPr>
    </w:p>
    <w:p>
      <w:pPr>
        <w:jc w:val="center"/>
        <w:outlineLvl w:val="1"/>
        <w:rPr>
          <w:rFonts w:hint="default" w:ascii="Times New Roman" w:hAnsi="Times New Roman" w:eastAsia="宋体" w:cs="Times New Roman"/>
          <w:sz w:val="36"/>
          <w:szCs w:val="22"/>
        </w:rPr>
      </w:pPr>
      <w:r>
        <w:rPr>
          <w:rFonts w:hint="eastAsia" w:ascii="Times New Roman" w:hAnsi="Times New Roman" w:eastAsia="方正小标宋_GBK" w:cs="Times New Roman"/>
          <w:sz w:val="36"/>
          <w:szCs w:val="22"/>
          <w:lang w:eastAsia="zh-CN"/>
        </w:rPr>
        <w:t>单位</w:t>
      </w:r>
      <w:r>
        <w:rPr>
          <w:rFonts w:hint="default" w:ascii="Times New Roman" w:hAnsi="Times New Roman" w:eastAsia="方正小标宋_GBK" w:cs="Times New Roman"/>
          <w:sz w:val="36"/>
          <w:szCs w:val="22"/>
        </w:rPr>
        <w:t>预算政府基金预算财政拨款支出表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hint="default" w:ascii="Times New Roman" w:hAnsi="Times New Roman" w:eastAsia="方正小标宋_GBK" w:cs="Times New Roman"/>
                <w:sz w:val="24"/>
                <w:szCs w:val="22"/>
                <w:lang w:val="en-US" w:eastAsia="zh-CN"/>
              </w:rPr>
            </w:pPr>
            <w:r>
              <w:rPr>
                <w:rFonts w:hint="eastAsia" w:ascii="Times New Roman" w:hAnsi="Times New Roman" w:eastAsia="方正小标宋_GBK" w:cs="Times New Roman"/>
                <w:sz w:val="24"/>
                <w:szCs w:val="22"/>
                <w:lang w:val="en-US" w:eastAsia="zh-CN"/>
              </w:rPr>
              <w:t>901001北戴河生命健康产业研究院本级</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序号</w:t>
            </w:r>
          </w:p>
        </w:tc>
        <w:tc>
          <w:tcPr>
            <w:tcW w:w="5726" w:type="dxa"/>
            <w:gridSpan w:val="2"/>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功能分类科目</w:t>
            </w:r>
          </w:p>
        </w:tc>
        <w:tc>
          <w:tcPr>
            <w:tcW w:w="2551"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合计</w:t>
            </w:r>
          </w:p>
        </w:tc>
        <w:tc>
          <w:tcPr>
            <w:tcW w:w="2551"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基本支出</w:t>
            </w:r>
          </w:p>
        </w:tc>
        <w:tc>
          <w:tcPr>
            <w:tcW w:w="2551"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119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科目编码</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科目名称</w:t>
            </w:r>
          </w:p>
        </w:tc>
        <w:tc>
          <w:tcPr>
            <w:tcW w:w="2551"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2551"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2551" w:type="dxa"/>
            <w:vMerge w:val="continue"/>
            <w:noWrap w:val="0"/>
            <w:vAlign w:val="center"/>
          </w:tcPr>
          <w:p>
            <w:pPr>
              <w:spacing w:line="300" w:lineRule="exact"/>
              <w:jc w:val="left"/>
              <w:outlineLvl w:val="1"/>
              <w:rPr>
                <w:rFonts w:hint="default" w:ascii="Times New Roman" w:hAnsi="Times New Roman" w:eastAsia="等线"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栏次</w:t>
            </w:r>
          </w:p>
        </w:tc>
        <w:tc>
          <w:tcPr>
            <w:tcW w:w="119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1</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w:t>
            </w:r>
          </w:p>
        </w:tc>
        <w:tc>
          <w:tcPr>
            <w:tcW w:w="255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3</w:t>
            </w:r>
          </w:p>
        </w:tc>
        <w:tc>
          <w:tcPr>
            <w:tcW w:w="255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4</w:t>
            </w:r>
          </w:p>
        </w:tc>
        <w:tc>
          <w:tcPr>
            <w:tcW w:w="255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p>
        </w:tc>
        <w:tc>
          <w:tcPr>
            <w:tcW w:w="1191" w:type="dxa"/>
            <w:noWrap w:val="0"/>
            <w:vAlign w:val="center"/>
          </w:tcPr>
          <w:p>
            <w:pPr>
              <w:spacing w:line="300" w:lineRule="exact"/>
              <w:jc w:val="left"/>
              <w:rPr>
                <w:rFonts w:hint="default" w:ascii="Times New Roman" w:hAnsi="Times New Roman" w:eastAsia="方正书宋_GBK" w:cs="Times New Roman"/>
                <w:b/>
                <w:szCs w:val="22"/>
              </w:rPr>
            </w:pPr>
          </w:p>
        </w:tc>
        <w:tc>
          <w:tcPr>
            <w:tcW w:w="4535" w:type="dxa"/>
            <w:noWrap w:val="0"/>
            <w:vAlign w:val="center"/>
          </w:tcPr>
          <w:p>
            <w:pPr>
              <w:spacing w:line="300" w:lineRule="exact"/>
              <w:jc w:val="center"/>
              <w:rPr>
                <w:rFonts w:hint="default" w:ascii="Times New Roman" w:hAnsi="Times New Roman" w:eastAsia="方正书宋_GBK" w:cs="Times New Roman"/>
                <w:b/>
                <w:szCs w:val="22"/>
              </w:rPr>
            </w:pPr>
          </w:p>
        </w:tc>
        <w:tc>
          <w:tcPr>
            <w:tcW w:w="2551" w:type="dxa"/>
            <w:noWrap w:val="0"/>
            <w:vAlign w:val="center"/>
          </w:tcPr>
          <w:p>
            <w:pPr>
              <w:spacing w:line="300" w:lineRule="exact"/>
              <w:jc w:val="right"/>
              <w:rPr>
                <w:rFonts w:hint="default" w:ascii="Times New Roman" w:hAnsi="Times New Roman" w:eastAsia="方正书宋_GBK" w:cs="Times New Roman"/>
                <w:b/>
                <w:szCs w:val="22"/>
              </w:rPr>
            </w:pPr>
          </w:p>
        </w:tc>
        <w:tc>
          <w:tcPr>
            <w:tcW w:w="2551" w:type="dxa"/>
            <w:noWrap w:val="0"/>
            <w:vAlign w:val="center"/>
          </w:tcPr>
          <w:p>
            <w:pPr>
              <w:spacing w:line="300" w:lineRule="exact"/>
              <w:jc w:val="right"/>
              <w:rPr>
                <w:rFonts w:hint="default" w:ascii="Times New Roman" w:hAnsi="Times New Roman" w:eastAsia="方正书宋_GBK" w:cs="Times New Roman"/>
                <w:b/>
                <w:szCs w:val="22"/>
              </w:rPr>
            </w:pPr>
          </w:p>
        </w:tc>
        <w:tc>
          <w:tcPr>
            <w:tcW w:w="2551" w:type="dxa"/>
            <w:noWrap w:val="0"/>
            <w:vAlign w:val="center"/>
          </w:tcPr>
          <w:p>
            <w:pPr>
              <w:spacing w:line="300" w:lineRule="exact"/>
              <w:jc w:val="right"/>
              <w:rPr>
                <w:rFonts w:hint="default" w:ascii="Times New Roman" w:hAnsi="Times New Roman" w:eastAsia="方正书宋_GBK" w:cs="Times New Roman"/>
                <w:b/>
                <w:szCs w:val="22"/>
              </w:rPr>
            </w:pPr>
          </w:p>
        </w:tc>
      </w:tr>
    </w:tbl>
    <w:p>
      <w:pPr>
        <w:ind w:firstLine="420" w:firstLineChars="200"/>
        <w:jc w:val="left"/>
        <w:rPr>
          <w:rFonts w:hint="default" w:ascii="Times New Roman" w:hAnsi="Times New Roman" w:eastAsia="宋体" w:cs="Times New Roman"/>
          <w:szCs w:val="22"/>
        </w:rPr>
      </w:pPr>
      <w:r>
        <w:rPr>
          <w:rFonts w:hint="default" w:ascii="Times New Roman" w:hAnsi="Times New Roman" w:eastAsia="方正书宋_GBK" w:cs="Times New Roman"/>
          <w:szCs w:val="22"/>
        </w:rPr>
        <w:t>注：无政府基金预算财政拨款预算，空表列示。</w:t>
      </w:r>
    </w:p>
    <w:p>
      <w:pPr>
        <w:ind w:firstLine="420" w:firstLineChars="200"/>
        <w:jc w:val="left"/>
        <w:rPr>
          <w:rFonts w:hint="default" w:ascii="Times New Roman" w:hAnsi="Times New Roman" w:cs="Times New Roman"/>
        </w:rPr>
        <w:sectPr>
          <w:pgSz w:w="16839" w:h="11907" w:orient="landscape"/>
          <w:pgMar w:top="1361" w:right="1020" w:bottom="1134" w:left="1020" w:header="851" w:footer="992" w:gutter="0"/>
          <w:cols w:space="720" w:num="1"/>
          <w:docGrid w:type="lines" w:linePitch="312" w:charSpace="0"/>
        </w:sectPr>
      </w:pPr>
    </w:p>
    <w:p>
      <w:pPr>
        <w:jc w:val="center"/>
        <w:outlineLvl w:val="1"/>
        <w:rPr>
          <w:rFonts w:hint="default" w:ascii="Times New Roman" w:hAnsi="Times New Roman" w:eastAsia="宋体" w:cs="Times New Roman"/>
          <w:sz w:val="36"/>
          <w:szCs w:val="22"/>
        </w:rPr>
      </w:pPr>
      <w:r>
        <w:rPr>
          <w:rFonts w:hint="eastAsia" w:ascii="Times New Roman" w:hAnsi="Times New Roman" w:eastAsia="方正小标宋_GBK" w:cs="Times New Roman"/>
          <w:sz w:val="36"/>
          <w:szCs w:val="22"/>
          <w:lang w:eastAsia="zh-CN"/>
        </w:rPr>
        <w:t>单位</w:t>
      </w:r>
      <w:r>
        <w:rPr>
          <w:rFonts w:hint="default" w:ascii="Times New Roman" w:hAnsi="Times New Roman" w:eastAsia="方正小标宋_GBK" w:cs="Times New Roman"/>
          <w:sz w:val="36"/>
          <w:szCs w:val="22"/>
        </w:rPr>
        <w:t>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hint="default" w:ascii="Times New Roman" w:hAnsi="Times New Roman" w:eastAsia="方正小标宋_GBK" w:cs="Times New Roman"/>
                <w:sz w:val="24"/>
                <w:szCs w:val="22"/>
                <w:lang w:val="en-US" w:eastAsia="zh-CN"/>
              </w:rPr>
            </w:pPr>
            <w:r>
              <w:rPr>
                <w:rFonts w:hint="eastAsia" w:ascii="Times New Roman" w:hAnsi="Times New Roman" w:eastAsia="方正小标宋_GBK" w:cs="Times New Roman"/>
                <w:sz w:val="24"/>
                <w:szCs w:val="22"/>
                <w:lang w:val="en-US" w:eastAsia="zh-CN"/>
              </w:rPr>
              <w:t>901001北戴河生命健康产业研究院本级</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序号</w:t>
            </w:r>
          </w:p>
        </w:tc>
        <w:tc>
          <w:tcPr>
            <w:tcW w:w="5726" w:type="dxa"/>
            <w:gridSpan w:val="2"/>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功能分类科目</w:t>
            </w:r>
          </w:p>
        </w:tc>
        <w:tc>
          <w:tcPr>
            <w:tcW w:w="2551"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合计</w:t>
            </w:r>
          </w:p>
        </w:tc>
        <w:tc>
          <w:tcPr>
            <w:tcW w:w="2551"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基本支出</w:t>
            </w:r>
          </w:p>
        </w:tc>
        <w:tc>
          <w:tcPr>
            <w:tcW w:w="2551"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119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科目编码</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科目名称</w:t>
            </w:r>
          </w:p>
        </w:tc>
        <w:tc>
          <w:tcPr>
            <w:tcW w:w="2551"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2551"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2551" w:type="dxa"/>
            <w:vMerge w:val="continue"/>
            <w:noWrap w:val="0"/>
            <w:vAlign w:val="center"/>
          </w:tcPr>
          <w:p>
            <w:pPr>
              <w:spacing w:line="300" w:lineRule="exact"/>
              <w:jc w:val="left"/>
              <w:outlineLvl w:val="1"/>
              <w:rPr>
                <w:rFonts w:hint="default" w:ascii="Times New Roman" w:hAnsi="Times New Roman" w:eastAsia="等线"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栏次</w:t>
            </w:r>
          </w:p>
        </w:tc>
        <w:tc>
          <w:tcPr>
            <w:tcW w:w="119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1</w:t>
            </w:r>
          </w:p>
        </w:tc>
        <w:tc>
          <w:tcPr>
            <w:tcW w:w="4535"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w:t>
            </w:r>
          </w:p>
        </w:tc>
        <w:tc>
          <w:tcPr>
            <w:tcW w:w="255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3</w:t>
            </w:r>
          </w:p>
        </w:tc>
        <w:tc>
          <w:tcPr>
            <w:tcW w:w="255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4</w:t>
            </w:r>
          </w:p>
        </w:tc>
        <w:tc>
          <w:tcPr>
            <w:tcW w:w="255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p>
        </w:tc>
        <w:tc>
          <w:tcPr>
            <w:tcW w:w="1191" w:type="dxa"/>
            <w:noWrap w:val="0"/>
            <w:vAlign w:val="center"/>
          </w:tcPr>
          <w:p>
            <w:pPr>
              <w:spacing w:line="300" w:lineRule="exact"/>
              <w:jc w:val="left"/>
              <w:rPr>
                <w:rFonts w:hint="default" w:ascii="Times New Roman" w:hAnsi="Times New Roman" w:eastAsia="方正书宋_GBK" w:cs="Times New Roman"/>
                <w:b/>
                <w:szCs w:val="22"/>
              </w:rPr>
            </w:pPr>
          </w:p>
        </w:tc>
        <w:tc>
          <w:tcPr>
            <w:tcW w:w="4535" w:type="dxa"/>
            <w:noWrap w:val="0"/>
            <w:vAlign w:val="center"/>
          </w:tcPr>
          <w:p>
            <w:pPr>
              <w:spacing w:line="300" w:lineRule="exact"/>
              <w:jc w:val="center"/>
              <w:rPr>
                <w:rFonts w:hint="default" w:ascii="Times New Roman" w:hAnsi="Times New Roman" w:eastAsia="方正书宋_GBK" w:cs="Times New Roman"/>
                <w:b/>
                <w:szCs w:val="22"/>
              </w:rPr>
            </w:pPr>
          </w:p>
        </w:tc>
        <w:tc>
          <w:tcPr>
            <w:tcW w:w="2551" w:type="dxa"/>
            <w:noWrap w:val="0"/>
            <w:vAlign w:val="center"/>
          </w:tcPr>
          <w:p>
            <w:pPr>
              <w:spacing w:line="300" w:lineRule="exact"/>
              <w:jc w:val="right"/>
              <w:rPr>
                <w:rFonts w:hint="default" w:ascii="Times New Roman" w:hAnsi="Times New Roman" w:eastAsia="方正书宋_GBK" w:cs="Times New Roman"/>
                <w:b/>
                <w:szCs w:val="22"/>
              </w:rPr>
            </w:pPr>
          </w:p>
        </w:tc>
        <w:tc>
          <w:tcPr>
            <w:tcW w:w="2551" w:type="dxa"/>
            <w:noWrap w:val="0"/>
            <w:vAlign w:val="center"/>
          </w:tcPr>
          <w:p>
            <w:pPr>
              <w:spacing w:line="300" w:lineRule="exact"/>
              <w:jc w:val="right"/>
              <w:rPr>
                <w:rFonts w:hint="default" w:ascii="Times New Roman" w:hAnsi="Times New Roman" w:eastAsia="方正书宋_GBK" w:cs="Times New Roman"/>
                <w:b/>
                <w:szCs w:val="22"/>
              </w:rPr>
            </w:pPr>
          </w:p>
        </w:tc>
        <w:tc>
          <w:tcPr>
            <w:tcW w:w="2551" w:type="dxa"/>
            <w:noWrap w:val="0"/>
            <w:vAlign w:val="center"/>
          </w:tcPr>
          <w:p>
            <w:pPr>
              <w:spacing w:line="300" w:lineRule="exact"/>
              <w:jc w:val="right"/>
              <w:rPr>
                <w:rFonts w:hint="default" w:ascii="Times New Roman" w:hAnsi="Times New Roman" w:eastAsia="方正书宋_GBK" w:cs="Times New Roman"/>
                <w:b/>
                <w:szCs w:val="22"/>
              </w:rPr>
            </w:pPr>
          </w:p>
        </w:tc>
      </w:tr>
    </w:tbl>
    <w:p>
      <w:pPr>
        <w:ind w:firstLine="420" w:firstLineChars="200"/>
        <w:jc w:val="left"/>
        <w:rPr>
          <w:rFonts w:hint="default" w:ascii="Times New Roman" w:hAnsi="Times New Roman" w:eastAsia="宋体" w:cs="Times New Roman"/>
          <w:szCs w:val="22"/>
        </w:rPr>
      </w:pPr>
      <w:r>
        <w:rPr>
          <w:rFonts w:hint="default" w:ascii="Times New Roman" w:hAnsi="Times New Roman" w:eastAsia="方正书宋_GBK" w:cs="Times New Roman"/>
          <w:szCs w:val="22"/>
        </w:rPr>
        <w:t>注：无国有资本经营预算财政拨款预算，空表列示。</w:t>
      </w:r>
    </w:p>
    <w:p>
      <w:pPr>
        <w:ind w:firstLine="420" w:firstLineChars="200"/>
        <w:jc w:val="left"/>
        <w:rPr>
          <w:rFonts w:hint="default" w:ascii="Times New Roman" w:hAnsi="Times New Roman" w:cs="Times New Roman"/>
        </w:rPr>
        <w:sectPr>
          <w:pgSz w:w="16839" w:h="11907" w:orient="landscape"/>
          <w:pgMar w:top="1361" w:right="1020" w:bottom="1134" w:left="1020" w:header="851" w:footer="992" w:gutter="0"/>
          <w:cols w:space="720" w:num="1"/>
          <w:docGrid w:type="lines" w:linePitch="312" w:charSpace="0"/>
        </w:sectPr>
      </w:pPr>
    </w:p>
    <w:p>
      <w:pPr>
        <w:jc w:val="center"/>
        <w:outlineLvl w:val="1"/>
        <w:rPr>
          <w:rFonts w:hint="default" w:ascii="Times New Roman" w:hAnsi="Times New Roman" w:eastAsia="宋体" w:cs="Times New Roman"/>
          <w:sz w:val="32"/>
          <w:szCs w:val="22"/>
        </w:rPr>
      </w:pPr>
      <w:r>
        <w:rPr>
          <w:rFonts w:hint="eastAsia" w:ascii="Times New Roman" w:hAnsi="Times New Roman" w:eastAsia="方正小标宋_GBK" w:cs="Times New Roman"/>
          <w:sz w:val="32"/>
          <w:szCs w:val="22"/>
          <w:lang w:eastAsia="zh-CN"/>
        </w:rPr>
        <w:t>单位</w:t>
      </w:r>
      <w:r>
        <w:rPr>
          <w:rFonts w:hint="default" w:ascii="Times New Roman" w:hAnsi="Times New Roman" w:eastAsia="方正小标宋_GBK" w:cs="Times New Roman"/>
          <w:sz w:val="32"/>
          <w:szCs w:val="22"/>
        </w:rPr>
        <w:t>预算财政拨款“三公”经费支出表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4648"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hint="default" w:ascii="Times New Roman" w:hAnsi="Times New Roman" w:eastAsia="方正小标宋_GBK" w:cs="Times New Roman"/>
                <w:sz w:val="24"/>
                <w:szCs w:val="22"/>
                <w:lang w:val="en-US" w:eastAsia="zh-CN"/>
              </w:rPr>
            </w:pPr>
            <w:r>
              <w:rPr>
                <w:rFonts w:hint="eastAsia" w:ascii="Times New Roman" w:hAnsi="Times New Roman" w:eastAsia="方正小标宋_GBK" w:cs="Times New Roman"/>
                <w:sz w:val="24"/>
                <w:szCs w:val="22"/>
                <w:lang w:val="en-US" w:eastAsia="zh-CN"/>
              </w:rPr>
              <w:t>901001北戴河生命健康产业研究院本级</w:t>
            </w:r>
          </w:p>
        </w:tc>
        <w:tc>
          <w:tcPr>
            <w:tcW w:w="2381" w:type="dxa"/>
            <w:tcBorders>
              <w:top w:val="single" w:color="FFFFFF" w:sz="6" w:space="0"/>
              <w:left w:val="single" w:color="FFFFFF" w:sz="6" w:space="0"/>
              <w:right w:val="single" w:color="FFFFFF" w:sz="6" w:space="0"/>
            </w:tcBorders>
            <w:noWrap w:val="0"/>
            <w:vAlign w:val="center"/>
          </w:tcPr>
          <w:p>
            <w:pPr>
              <w:spacing w:line="300" w:lineRule="exact"/>
              <w:jc w:val="center"/>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预算年度：2021</w:t>
            </w:r>
          </w:p>
        </w:tc>
        <w:tc>
          <w:tcPr>
            <w:tcW w:w="7143" w:type="dxa"/>
            <w:gridSpan w:val="3"/>
            <w:tcBorders>
              <w:top w:val="single" w:color="FFFFFF" w:sz="6" w:space="0"/>
              <w:left w:val="single" w:color="FFFFFF" w:sz="6" w:space="0"/>
              <w:right w:val="single" w:color="FFFFFF" w:sz="6" w:space="0"/>
            </w:tcBorders>
            <w:noWrap w:val="0"/>
            <w:vAlign w:val="center"/>
          </w:tcPr>
          <w:p>
            <w:pPr>
              <w:spacing w:line="300" w:lineRule="exact"/>
              <w:jc w:val="right"/>
              <w:rPr>
                <w:rFonts w:hint="default" w:ascii="Times New Roman" w:hAnsi="Times New Roman" w:eastAsia="方正小标宋_GBK" w:cs="Times New Roman"/>
                <w:sz w:val="24"/>
                <w:szCs w:val="22"/>
              </w:rPr>
            </w:pPr>
            <w:r>
              <w:rPr>
                <w:rFonts w:hint="default" w:ascii="Times New Roman" w:hAnsi="Times New Roman" w:eastAsia="方正小标宋_GBK" w:cs="Times New Roman"/>
                <w:sz w:val="24"/>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序号</w:t>
            </w:r>
          </w:p>
        </w:tc>
        <w:tc>
          <w:tcPr>
            <w:tcW w:w="3798" w:type="dxa"/>
            <w:vMerge w:val="restart"/>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项  目</w:t>
            </w:r>
          </w:p>
        </w:tc>
        <w:tc>
          <w:tcPr>
            <w:tcW w:w="9524" w:type="dxa"/>
            <w:gridSpan w:val="4"/>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3798" w:type="dxa"/>
            <w:vMerge w:val="continue"/>
            <w:noWrap w:val="0"/>
            <w:vAlign w:val="center"/>
          </w:tcPr>
          <w:p>
            <w:pPr>
              <w:spacing w:line="300" w:lineRule="exact"/>
              <w:jc w:val="left"/>
              <w:outlineLvl w:val="1"/>
              <w:rPr>
                <w:rFonts w:hint="default" w:ascii="Times New Roman" w:hAnsi="Times New Roman" w:eastAsia="等线" w:cs="Times New Roman"/>
                <w:szCs w:val="22"/>
              </w:rPr>
            </w:pPr>
          </w:p>
        </w:tc>
        <w:tc>
          <w:tcPr>
            <w:tcW w:w="238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合计</w:t>
            </w:r>
          </w:p>
        </w:tc>
        <w:tc>
          <w:tcPr>
            <w:tcW w:w="238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一般公共预算   财政拨款</w:t>
            </w:r>
          </w:p>
        </w:tc>
        <w:tc>
          <w:tcPr>
            <w:tcW w:w="238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政府性基金     预算拨款</w:t>
            </w:r>
          </w:p>
        </w:tc>
        <w:tc>
          <w:tcPr>
            <w:tcW w:w="238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栏次</w:t>
            </w:r>
          </w:p>
        </w:tc>
        <w:tc>
          <w:tcPr>
            <w:tcW w:w="3798"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1</w:t>
            </w:r>
          </w:p>
        </w:tc>
        <w:tc>
          <w:tcPr>
            <w:tcW w:w="238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2</w:t>
            </w:r>
          </w:p>
        </w:tc>
        <w:tc>
          <w:tcPr>
            <w:tcW w:w="238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3</w:t>
            </w:r>
          </w:p>
        </w:tc>
        <w:tc>
          <w:tcPr>
            <w:tcW w:w="238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4</w:t>
            </w:r>
          </w:p>
        </w:tc>
        <w:tc>
          <w:tcPr>
            <w:tcW w:w="2381"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1</w:t>
            </w:r>
          </w:p>
        </w:tc>
        <w:tc>
          <w:tcPr>
            <w:tcW w:w="3798" w:type="dxa"/>
            <w:noWrap w:val="0"/>
            <w:vAlign w:val="center"/>
          </w:tcPr>
          <w:p>
            <w:pPr>
              <w:spacing w:line="300" w:lineRule="exact"/>
              <w:jc w:val="center"/>
              <w:rPr>
                <w:rFonts w:hint="default" w:ascii="Times New Roman" w:hAnsi="Times New Roman" w:eastAsia="方正书宋_GBK" w:cs="Times New Roman"/>
                <w:b/>
                <w:szCs w:val="22"/>
              </w:rPr>
            </w:pPr>
            <w:r>
              <w:rPr>
                <w:rFonts w:hint="default" w:ascii="Times New Roman" w:hAnsi="Times New Roman" w:eastAsia="方正书宋_GBK" w:cs="Times New Roman"/>
                <w:b/>
                <w:szCs w:val="22"/>
              </w:rPr>
              <w:t>合计</w:t>
            </w:r>
          </w:p>
        </w:tc>
        <w:tc>
          <w:tcPr>
            <w:tcW w:w="2381" w:type="dxa"/>
            <w:noWrap w:val="0"/>
            <w:vAlign w:val="center"/>
          </w:tcPr>
          <w:p>
            <w:pPr>
              <w:spacing w:line="300" w:lineRule="exact"/>
              <w:jc w:val="right"/>
              <w:rPr>
                <w:rFonts w:hint="default" w:ascii="Times New Roman" w:hAnsi="Times New Roman" w:eastAsia="方正书宋_GBK" w:cs="Times New Roman"/>
                <w:b/>
                <w:szCs w:val="22"/>
                <w:lang w:val="en-US" w:eastAsia="zh-CN"/>
              </w:rPr>
            </w:pPr>
            <w:r>
              <w:rPr>
                <w:rFonts w:hint="eastAsia" w:ascii="Times New Roman" w:hAnsi="Times New Roman" w:eastAsia="方正书宋_GBK" w:cs="Times New Roman"/>
                <w:b/>
                <w:szCs w:val="22"/>
                <w:lang w:val="en-US" w:eastAsia="zh-CN"/>
              </w:rPr>
              <w:t>0.09</w:t>
            </w:r>
          </w:p>
        </w:tc>
        <w:tc>
          <w:tcPr>
            <w:tcW w:w="2381" w:type="dxa"/>
            <w:noWrap w:val="0"/>
            <w:vAlign w:val="center"/>
          </w:tcPr>
          <w:p>
            <w:pPr>
              <w:spacing w:line="300" w:lineRule="exact"/>
              <w:jc w:val="right"/>
              <w:rPr>
                <w:rFonts w:hint="default" w:ascii="Times New Roman" w:hAnsi="Times New Roman" w:eastAsia="方正书宋_GBK" w:cs="Times New Roman"/>
                <w:b/>
                <w:szCs w:val="22"/>
                <w:lang w:val="en-US" w:eastAsia="zh-CN"/>
              </w:rPr>
            </w:pPr>
            <w:r>
              <w:rPr>
                <w:rFonts w:hint="eastAsia" w:ascii="Times New Roman" w:hAnsi="Times New Roman" w:eastAsia="方正书宋_GBK" w:cs="Times New Roman"/>
                <w:b/>
                <w:szCs w:val="22"/>
                <w:lang w:val="en-US" w:eastAsia="zh-CN"/>
              </w:rPr>
              <w:t>0.09</w:t>
            </w:r>
          </w:p>
        </w:tc>
        <w:tc>
          <w:tcPr>
            <w:tcW w:w="2381" w:type="dxa"/>
            <w:noWrap w:val="0"/>
            <w:vAlign w:val="center"/>
          </w:tcPr>
          <w:p>
            <w:pPr>
              <w:spacing w:line="300" w:lineRule="exact"/>
              <w:jc w:val="right"/>
              <w:rPr>
                <w:rFonts w:hint="default" w:ascii="Times New Roman" w:hAnsi="Times New Roman" w:eastAsia="方正书宋_GBK" w:cs="Times New Roman"/>
                <w:b/>
                <w:szCs w:val="22"/>
              </w:rPr>
            </w:pPr>
          </w:p>
        </w:tc>
        <w:tc>
          <w:tcPr>
            <w:tcW w:w="2381" w:type="dxa"/>
            <w:noWrap w:val="0"/>
            <w:vAlign w:val="center"/>
          </w:tcPr>
          <w:p>
            <w:pPr>
              <w:spacing w:line="300" w:lineRule="exact"/>
              <w:jc w:val="right"/>
              <w:rPr>
                <w:rFonts w:hint="default" w:ascii="Times New Roman" w:hAnsi="Times New Roman" w:eastAsia="方正书宋_GBK" w:cs="Times New Roman"/>
                <w:b/>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2</w:t>
            </w:r>
          </w:p>
        </w:tc>
        <w:tc>
          <w:tcPr>
            <w:tcW w:w="3798"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一、因公出国（境）费</w:t>
            </w: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3</w:t>
            </w:r>
          </w:p>
        </w:tc>
        <w:tc>
          <w:tcPr>
            <w:tcW w:w="3798"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二、公务用车购置及运维费</w:t>
            </w: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4</w:t>
            </w:r>
          </w:p>
        </w:tc>
        <w:tc>
          <w:tcPr>
            <w:tcW w:w="3798"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 xml:space="preserve">    其中：公务用车购置费</w:t>
            </w: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5</w:t>
            </w:r>
          </w:p>
        </w:tc>
        <w:tc>
          <w:tcPr>
            <w:tcW w:w="3798"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 xml:space="preserve">          公务用车运行维护费</w:t>
            </w: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hint="default" w:ascii="Times New Roman" w:hAnsi="Times New Roman" w:eastAsia="方正书宋_GBK" w:cs="Times New Roman"/>
                <w:szCs w:val="22"/>
              </w:rPr>
            </w:pPr>
            <w:r>
              <w:rPr>
                <w:rFonts w:hint="default" w:ascii="Times New Roman" w:hAnsi="Times New Roman" w:eastAsia="方正书宋_GBK" w:cs="Times New Roman"/>
                <w:szCs w:val="22"/>
              </w:rPr>
              <w:t>6</w:t>
            </w:r>
          </w:p>
        </w:tc>
        <w:tc>
          <w:tcPr>
            <w:tcW w:w="3798" w:type="dxa"/>
            <w:noWrap w:val="0"/>
            <w:vAlign w:val="center"/>
          </w:tcPr>
          <w:p>
            <w:pPr>
              <w:spacing w:line="300" w:lineRule="exact"/>
              <w:jc w:val="left"/>
              <w:rPr>
                <w:rFonts w:hint="default" w:ascii="Times New Roman" w:hAnsi="Times New Roman" w:eastAsia="方正书宋_GBK" w:cs="Times New Roman"/>
                <w:szCs w:val="22"/>
              </w:rPr>
            </w:pPr>
            <w:r>
              <w:rPr>
                <w:rFonts w:hint="default" w:ascii="Times New Roman" w:hAnsi="Times New Roman" w:eastAsia="方正书宋_GBK" w:cs="Times New Roman"/>
                <w:szCs w:val="22"/>
              </w:rPr>
              <w:t>三、公务接待费</w:t>
            </w:r>
          </w:p>
        </w:tc>
        <w:tc>
          <w:tcPr>
            <w:tcW w:w="2381" w:type="dxa"/>
            <w:noWrap w:val="0"/>
            <w:vAlign w:val="center"/>
          </w:tcPr>
          <w:p>
            <w:pPr>
              <w:spacing w:line="300" w:lineRule="exact"/>
              <w:jc w:val="right"/>
              <w:rPr>
                <w:rFonts w:hint="default" w:ascii="Times New Roman" w:hAnsi="Times New Roman" w:eastAsia="方正书宋_GBK" w:cs="Times New Roman"/>
                <w:szCs w:val="22"/>
                <w:lang w:val="en-US" w:eastAsia="zh-CN"/>
              </w:rPr>
            </w:pPr>
            <w:r>
              <w:rPr>
                <w:rFonts w:hint="eastAsia" w:ascii="Times New Roman" w:hAnsi="Times New Roman" w:eastAsia="方正书宋_GBK" w:cs="Times New Roman"/>
                <w:szCs w:val="22"/>
                <w:lang w:val="en-US" w:eastAsia="zh-CN"/>
              </w:rPr>
              <w:t>0.09</w:t>
            </w:r>
          </w:p>
        </w:tc>
        <w:tc>
          <w:tcPr>
            <w:tcW w:w="2381" w:type="dxa"/>
            <w:noWrap w:val="0"/>
            <w:vAlign w:val="center"/>
          </w:tcPr>
          <w:p>
            <w:pPr>
              <w:spacing w:line="300" w:lineRule="exact"/>
              <w:jc w:val="right"/>
              <w:rPr>
                <w:rFonts w:hint="default" w:ascii="Times New Roman" w:hAnsi="Times New Roman" w:eastAsia="方正书宋_GBK" w:cs="Times New Roman"/>
                <w:szCs w:val="22"/>
                <w:lang w:val="en-US" w:eastAsia="zh-CN"/>
              </w:rPr>
            </w:pPr>
            <w:r>
              <w:rPr>
                <w:rFonts w:hint="eastAsia" w:ascii="Times New Roman" w:hAnsi="Times New Roman" w:eastAsia="方正书宋_GBK" w:cs="Times New Roman"/>
                <w:szCs w:val="22"/>
                <w:lang w:val="en-US" w:eastAsia="zh-CN"/>
              </w:rPr>
              <w:t>0.09</w:t>
            </w: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c>
          <w:tcPr>
            <w:tcW w:w="2381" w:type="dxa"/>
            <w:noWrap w:val="0"/>
            <w:vAlign w:val="center"/>
          </w:tcPr>
          <w:p>
            <w:pPr>
              <w:spacing w:line="300" w:lineRule="exact"/>
              <w:jc w:val="right"/>
              <w:rPr>
                <w:rFonts w:hint="default" w:ascii="Times New Roman" w:hAnsi="Times New Roman" w:eastAsia="方正书宋_GBK" w:cs="Times New Roman"/>
                <w:szCs w:val="22"/>
              </w:rPr>
            </w:pPr>
          </w:p>
        </w:tc>
      </w:tr>
    </w:tbl>
    <w:p>
      <w:pPr>
        <w:spacing w:before="0" w:after="0" w:line="500" w:lineRule="exact"/>
        <w:ind w:firstLine="560"/>
        <w:jc w:val="left"/>
        <w:outlineLvl w:val="9"/>
        <w:rPr>
          <w:rFonts w:ascii="Times New Roman" w:hAnsi="Times New Roman" w:eastAsia="方正仿宋_GBK" w:cs="Times New Roman"/>
          <w:b w:val="0"/>
          <w:color w:val="000000"/>
          <w:kern w:val="0"/>
          <w:sz w:val="28"/>
          <w:lang w:eastAsia="uk-UA"/>
        </w:rPr>
        <w:sectPr>
          <w:pgSz w:w="16840" w:h="11900" w:orient="landscape"/>
          <w:pgMar w:top="1361" w:right="1020" w:bottom="1134" w:left="1020" w:header="720" w:footer="720" w:gutter="0"/>
        </w:sectPr>
      </w:pPr>
    </w:p>
    <w:p>
      <w:pPr>
        <w:widowControl/>
        <w:spacing w:before="0" w:after="0" w:line="240" w:lineRule="auto"/>
        <w:ind w:firstLine="0"/>
        <w:jc w:val="center"/>
        <w:outlineLvl w:val="4"/>
        <w:rPr>
          <w:rFonts w:ascii="Times New Roman" w:hAnsi="Times New Roman" w:eastAsia="Times New Roman"/>
          <w:kern w:val="0"/>
          <w:sz w:val="24"/>
          <w:lang w:eastAsia="uk-UA"/>
        </w:rPr>
      </w:pPr>
      <w:r>
        <w:rPr>
          <w:rFonts w:ascii="方正小标宋_GBK" w:hAnsi="方正小标宋_GBK" w:eastAsia="方正小标宋_GBK" w:cs="方正小标宋_GBK"/>
          <w:b w:val="0"/>
          <w:color w:val="000000"/>
          <w:kern w:val="0"/>
          <w:sz w:val="44"/>
          <w:lang w:eastAsia="uk-UA"/>
        </w:rPr>
        <w:t>北戴河生命健康产业研究院本级202</w:t>
      </w:r>
      <w:r>
        <w:rPr>
          <w:rFonts w:hint="eastAsia" w:ascii="方正小标宋_GBK" w:hAnsi="方正小标宋_GBK" w:eastAsia="方正小标宋_GBK" w:cs="方正小标宋_GBK"/>
          <w:b w:val="0"/>
          <w:color w:val="000000"/>
          <w:kern w:val="0"/>
          <w:sz w:val="44"/>
          <w:lang w:val="en-US" w:eastAsia="zh-CN"/>
        </w:rPr>
        <w:t>1</w:t>
      </w:r>
      <w:r>
        <w:rPr>
          <w:rFonts w:ascii="方正小标宋_GBK" w:hAnsi="方正小标宋_GBK" w:eastAsia="方正小标宋_GBK" w:cs="方正小标宋_GBK"/>
          <w:b w:val="0"/>
          <w:color w:val="000000"/>
          <w:kern w:val="0"/>
          <w:sz w:val="44"/>
          <w:lang w:eastAsia="uk-UA"/>
        </w:rPr>
        <w:t>年单位预算信息公开情况说明</w:t>
      </w:r>
    </w:p>
    <w:p>
      <w:pPr>
        <w:widowControl/>
        <w:spacing w:before="0" w:after="0" w:line="500" w:lineRule="exact"/>
        <w:ind w:firstLine="560"/>
        <w:jc w:val="left"/>
        <w:outlineLvl w:val="9"/>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按照《预算法》、《地方预决算公开操作规程》和《关于进一步推进预算公开工作的实施意见》规定，现将北戴河生命健康产业研究院202</w:t>
      </w:r>
      <w:r>
        <w:rPr>
          <w:rFonts w:hint="eastAsia" w:ascii="Times New Roman" w:hAnsi="Times New Roman" w:eastAsia="方正仿宋_GBK" w:cs="Times New Roman"/>
          <w:color w:val="000000"/>
          <w:kern w:val="0"/>
          <w:sz w:val="28"/>
          <w:lang w:val="en-US" w:eastAsia="zh-CN"/>
        </w:rPr>
        <w:t>1</w:t>
      </w:r>
      <w:r>
        <w:rPr>
          <w:rFonts w:ascii="Times New Roman" w:hAnsi="Times New Roman" w:eastAsia="方正仿宋_GBK" w:cs="Times New Roman"/>
          <w:color w:val="000000"/>
          <w:kern w:val="0"/>
          <w:sz w:val="28"/>
          <w:lang w:eastAsia="uk-UA"/>
        </w:rPr>
        <w:t>年</w:t>
      </w:r>
      <w:r>
        <w:rPr>
          <w:rFonts w:ascii="Times New Roman" w:hAnsi="Times New Roman" w:eastAsia="方正仿宋_GBK" w:cs="Times New Roman"/>
          <w:b w:val="0"/>
          <w:color w:val="000000"/>
          <w:sz w:val="28"/>
        </w:rPr>
        <w:t>单位</w:t>
      </w:r>
      <w:r>
        <w:rPr>
          <w:rFonts w:ascii="Times New Roman" w:hAnsi="Times New Roman" w:eastAsia="方正仿宋_GBK" w:cs="Times New Roman"/>
          <w:color w:val="000000"/>
          <w:kern w:val="0"/>
          <w:sz w:val="28"/>
          <w:lang w:eastAsia="uk-UA"/>
        </w:rPr>
        <w:t>预算公开如下：</w:t>
      </w:r>
    </w:p>
    <w:p>
      <w:pPr>
        <w:adjustRightInd w:val="0"/>
        <w:spacing w:line="560" w:lineRule="exact"/>
        <w:ind w:firstLine="640" w:firstLineChars="200"/>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val="en-US" w:eastAsia="zh-CN"/>
        </w:rPr>
        <w:t>一、</w:t>
      </w:r>
      <w:r>
        <w:rPr>
          <w:rFonts w:hint="eastAsia" w:ascii="黑体" w:hAnsi="黑体" w:eastAsia="黑体" w:cs="黑体"/>
          <w:b w:val="0"/>
          <w:bCs/>
          <w:color w:val="auto"/>
          <w:kern w:val="0"/>
          <w:sz w:val="32"/>
          <w:szCs w:val="32"/>
          <w:lang w:eastAsia="zh-CN"/>
        </w:rPr>
        <w:t>单位</w:t>
      </w:r>
      <w:r>
        <w:rPr>
          <w:rFonts w:hint="eastAsia" w:ascii="黑体" w:hAnsi="黑体" w:eastAsia="黑体" w:cs="黑体"/>
          <w:b w:val="0"/>
          <w:bCs/>
          <w:color w:val="auto"/>
          <w:kern w:val="0"/>
          <w:sz w:val="32"/>
          <w:szCs w:val="32"/>
        </w:rPr>
        <w:t>职责及机构设置情况</w:t>
      </w:r>
    </w:p>
    <w:p>
      <w:pPr>
        <w:ind w:firstLine="643" w:firstLineChars="200"/>
        <w:jc w:val="left"/>
        <w:rPr>
          <w:rFonts w:hint="eastAsia" w:ascii="方正仿宋简体" w:hAnsi="方正仿宋简体" w:eastAsia="方正仿宋简体" w:cs="方正仿宋简体"/>
          <w:b/>
          <w:bCs w:val="0"/>
          <w:sz w:val="32"/>
          <w:szCs w:val="22"/>
        </w:rPr>
      </w:pPr>
      <w:r>
        <w:rPr>
          <w:rFonts w:hint="eastAsia" w:ascii="方正仿宋简体" w:hAnsi="方正仿宋简体" w:eastAsia="方正仿宋简体" w:cs="方正仿宋简体"/>
          <w:b/>
          <w:bCs w:val="0"/>
          <w:sz w:val="32"/>
          <w:szCs w:val="22"/>
          <w:lang w:eastAsia="zh-CN"/>
        </w:rPr>
        <w:t>单位</w:t>
      </w:r>
      <w:r>
        <w:rPr>
          <w:rFonts w:hint="eastAsia" w:ascii="方正仿宋简体" w:hAnsi="方正仿宋简体" w:eastAsia="方正仿宋简体" w:cs="方正仿宋简体"/>
          <w:b/>
          <w:bCs w:val="0"/>
          <w:sz w:val="32"/>
          <w:szCs w:val="22"/>
        </w:rPr>
        <w:t>职责：</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根据《秦皇岛市机构编制委员会关于成立北戴河生命健康产业研究院的批复》（秦编〔2017〕108号）要求及2017年新区第17次工委会议精神，结合新区经济社会发展，设置北戴河生命健康产业研究院，作为新区工委、管委内设机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 xml:space="preserve">一、主要职责 </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（一）研究制定示范区支持政策，对接省直相关部门、国家有关部委，全力争取示范区在国家政策层面改革创新、先行先试，持续获得国家政策支持，构建示范区政策支撑体系；</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（二）承担落实《北戴河生命健康产业创新示范区推进工作方案》及附件《支持北戴河生命健康产业创新示范区建设政策措施的责任分工》（冀政办字〔2017〕58号）的综合协调工作；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（三）承担示范区秦皇岛市领导小组政策跑办组的综合协调工作；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（四）承担与河北省发改委社会处合署办公任务，建立政策跑办争取绿色通道；</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（五）承担示范区省领导小组及省领导小组办公室日常运行工作；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六）根据示范区发展需要，对示范区的战略定位、目标任务、实施路径、保障措施等进行系统深入调查研究，提出科学性、前瞻性兼具的解决方案，为新区工委、管委的科学决策提供有益参考，充分发挥对新区经济社会的引领作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（七）研究新区经济社会发展战略和中长期经济社会发展趋势，为制定示范区发展战略和中长期规划提供研究成果和决策咨询；</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（八）调查研究新区经济社会发展中的热点问题和难点问题，提出具有可行性和可操作性的对策建议；</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（九）承担新区工委、管委交办的重大调研课题，就示范区产业发展、政策支撑、重点区域开发等重大问题，提出具有可行性和可操作性的对策建议；</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（十）承担示范区专家咨询委员会日常工作，组织国内外知名专家、学者开展决策咨询，针对示范区重大战略性、前瞻性问题提供咨询建议；</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（十一）建立开放式的合作交流平台，与国内外有关智库机构建立对接联系，开展合作研究、交流互访等活动；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（十二）承担新区工委、管委交办的重要政策文件文稿起草工作；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（十三）新区工委、管委交办的其他事项。</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center"/>
        <w:textAlignment w:val="auto"/>
        <w:rPr>
          <w:rFonts w:ascii="方正小标宋_GBK" w:hAnsi="等线" w:eastAsia="方正小标宋_GBK" w:cs="Times New Roman"/>
          <w:sz w:val="32"/>
          <w:szCs w:val="22"/>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center"/>
        <w:textAlignment w:val="auto"/>
        <w:rPr>
          <w:rFonts w:hint="default" w:ascii="Times New Roman" w:hAnsi="Times New Roman" w:eastAsia="方正仿宋简体" w:cs="Times New Roman"/>
          <w:b/>
          <w:bCs/>
          <w:color w:val="auto"/>
          <w:kern w:val="0"/>
          <w:sz w:val="32"/>
          <w:szCs w:val="32"/>
          <w:lang w:eastAsia="zh-CN"/>
        </w:rPr>
      </w:pPr>
      <w:r>
        <w:rPr>
          <w:rFonts w:ascii="方正小标宋_GBK" w:hAnsi="等线" w:eastAsia="方正小标宋_GBK" w:cs="Times New Roman"/>
          <w:sz w:val="32"/>
          <w:szCs w:val="22"/>
        </w:rPr>
        <w:t>部门机构设置情况</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方正仿宋简体" w:cs="Times New Roman"/>
          <w:b/>
          <w:bCs/>
          <w:color w:val="auto"/>
          <w:kern w:val="0"/>
          <w:sz w:val="32"/>
          <w:szCs w:val="32"/>
          <w:lang w:eastAsia="zh-CN"/>
        </w:rPr>
      </w:pPr>
      <w:r>
        <w:rPr>
          <w:rFonts w:hint="default" w:ascii="Times New Roman" w:hAnsi="Times New Roman" w:eastAsia="方正仿宋简体" w:cs="Times New Roman"/>
          <w:b/>
          <w:bCs/>
          <w:color w:val="auto"/>
          <w:kern w:val="0"/>
          <w:sz w:val="32"/>
          <w:szCs w:val="32"/>
          <w:lang w:eastAsia="zh-CN"/>
        </w:rPr>
        <w:t>机构设置：</w:t>
      </w:r>
      <w:r>
        <w:rPr>
          <w:rFonts w:hint="eastAsia" w:ascii="Times New Roman" w:hAnsi="Times New Roman" w:eastAsia="方正仿宋简体" w:cs="Times New Roman"/>
          <w:b/>
          <w:bCs/>
          <w:color w:val="auto"/>
          <w:kern w:val="0"/>
          <w:sz w:val="32"/>
          <w:szCs w:val="32"/>
          <w:lang w:val="en-US" w:eastAsia="zh-CN"/>
        </w:rPr>
        <w:t xml:space="preserve">     </w:t>
      </w:r>
    </w:p>
    <w:tbl>
      <w:tblPr>
        <w:tblStyle w:val="4"/>
        <w:tblpPr w:leftFromText="180" w:rightFromText="180" w:vertAnchor="text" w:horzAnchor="page" w:tblpX="1816" w:tblpY="108"/>
        <w:tblOverlap w:val="never"/>
        <w:tblW w:w="1375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59"/>
        <w:gridCol w:w="1171"/>
        <w:gridCol w:w="4299"/>
        <w:gridCol w:w="50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1" w:hRule="atLeast"/>
          <w:tblHeader/>
        </w:trPr>
        <w:tc>
          <w:tcPr>
            <w:tcW w:w="3259" w:type="dxa"/>
            <w:noWrap w:val="0"/>
            <w:vAlign w:val="center"/>
          </w:tcPr>
          <w:p>
            <w:pPr>
              <w:spacing w:line="300" w:lineRule="exact"/>
              <w:jc w:val="center"/>
              <w:rPr>
                <w:rFonts w:hint="eastAsia" w:ascii="方正仿宋简体" w:hAnsi="方正仿宋简体" w:eastAsia="方正仿宋简体" w:cs="方正仿宋简体"/>
                <w:b/>
                <w:szCs w:val="22"/>
              </w:rPr>
            </w:pPr>
            <w:r>
              <w:rPr>
                <w:rFonts w:ascii="方正书宋_GBK" w:hAnsi="等线" w:eastAsia="方正书宋_GBK" w:cs="Times New Roman"/>
                <w:b/>
                <w:szCs w:val="22"/>
              </w:rPr>
              <w:t>单位名称</w:t>
            </w:r>
          </w:p>
        </w:tc>
        <w:tc>
          <w:tcPr>
            <w:tcW w:w="1171" w:type="dxa"/>
            <w:noWrap w:val="0"/>
            <w:vAlign w:val="center"/>
          </w:tcPr>
          <w:p>
            <w:pPr>
              <w:spacing w:line="300" w:lineRule="exact"/>
              <w:jc w:val="center"/>
              <w:rPr>
                <w:rFonts w:hint="eastAsia" w:ascii="方正仿宋简体" w:hAnsi="方正仿宋简体" w:eastAsia="方正仿宋简体" w:cs="方正仿宋简体"/>
                <w:b/>
                <w:szCs w:val="22"/>
              </w:rPr>
            </w:pPr>
            <w:r>
              <w:rPr>
                <w:rFonts w:ascii="方正书宋_GBK" w:hAnsi="等线" w:eastAsia="方正书宋_GBK" w:cs="Times New Roman"/>
                <w:b/>
                <w:szCs w:val="22"/>
              </w:rPr>
              <w:t>单位性质</w:t>
            </w:r>
          </w:p>
        </w:tc>
        <w:tc>
          <w:tcPr>
            <w:tcW w:w="4299" w:type="dxa"/>
            <w:noWrap w:val="0"/>
            <w:vAlign w:val="center"/>
          </w:tcPr>
          <w:p>
            <w:pPr>
              <w:spacing w:line="300" w:lineRule="exact"/>
              <w:jc w:val="center"/>
              <w:rPr>
                <w:rFonts w:hint="eastAsia" w:ascii="方正仿宋简体" w:hAnsi="方正仿宋简体" w:eastAsia="方正仿宋简体" w:cs="方正仿宋简体"/>
                <w:b/>
                <w:szCs w:val="22"/>
              </w:rPr>
            </w:pPr>
            <w:r>
              <w:rPr>
                <w:rFonts w:ascii="方正书宋_GBK" w:hAnsi="等线" w:eastAsia="方正书宋_GBK" w:cs="Times New Roman"/>
                <w:b/>
                <w:szCs w:val="22"/>
              </w:rPr>
              <w:t>单位规格</w:t>
            </w:r>
          </w:p>
        </w:tc>
        <w:tc>
          <w:tcPr>
            <w:tcW w:w="5025" w:type="dxa"/>
            <w:noWrap w:val="0"/>
            <w:vAlign w:val="center"/>
          </w:tcPr>
          <w:p>
            <w:pPr>
              <w:spacing w:line="300" w:lineRule="exact"/>
              <w:jc w:val="center"/>
              <w:rPr>
                <w:rFonts w:hint="eastAsia" w:ascii="方正仿宋简体" w:hAnsi="方正仿宋简体" w:eastAsia="方正仿宋简体" w:cs="方正仿宋简体"/>
                <w:b/>
                <w:szCs w:val="22"/>
              </w:rPr>
            </w:pPr>
            <w:r>
              <w:rPr>
                <w:rFonts w:ascii="方正书宋_GBK" w:hAnsi="等线" w:eastAsia="方正书宋_GBK" w:cs="Times New Roman"/>
                <w:b/>
                <w:szCs w:val="2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7" w:hRule="atLeast"/>
        </w:trPr>
        <w:tc>
          <w:tcPr>
            <w:tcW w:w="3259" w:type="dxa"/>
            <w:noWrap w:val="0"/>
            <w:vAlign w:val="center"/>
          </w:tcPr>
          <w:p>
            <w:pPr>
              <w:spacing w:line="300" w:lineRule="exact"/>
              <w:jc w:val="left"/>
              <w:rPr>
                <w:rFonts w:hint="eastAsia" w:ascii="方正仿宋简体" w:hAnsi="方正仿宋简体" w:eastAsia="方正仿宋简体" w:cs="方正仿宋简体"/>
                <w:kern w:val="2"/>
                <w:sz w:val="21"/>
                <w:szCs w:val="22"/>
                <w:lang w:val="en-US" w:eastAsia="zh-CN" w:bidi="ar-SA"/>
              </w:rPr>
            </w:pPr>
            <w:r>
              <w:rPr>
                <w:rFonts w:ascii="方正书宋_GBK" w:hAnsi="等线" w:eastAsia="方正书宋_GBK" w:cs="Times New Roman"/>
                <w:szCs w:val="22"/>
              </w:rPr>
              <w:t>北戴河生命健康产业研究院本级</w:t>
            </w:r>
          </w:p>
        </w:tc>
        <w:tc>
          <w:tcPr>
            <w:tcW w:w="1171" w:type="dxa"/>
            <w:noWrap w:val="0"/>
            <w:vAlign w:val="center"/>
          </w:tcPr>
          <w:p>
            <w:pPr>
              <w:spacing w:line="300" w:lineRule="exact"/>
              <w:jc w:val="center"/>
              <w:rPr>
                <w:rFonts w:hint="eastAsia" w:ascii="方正仿宋简体" w:hAnsi="方正仿宋简体" w:eastAsia="方正仿宋简体" w:cs="方正仿宋简体"/>
                <w:kern w:val="2"/>
                <w:sz w:val="21"/>
                <w:szCs w:val="22"/>
                <w:lang w:val="en-US" w:eastAsia="zh-CN" w:bidi="ar-SA"/>
              </w:rPr>
            </w:pPr>
            <w:r>
              <w:rPr>
                <w:rFonts w:ascii="方正书宋_GBK" w:hAnsi="等线" w:eastAsia="方正书宋_GBK" w:cs="Times New Roman"/>
                <w:szCs w:val="22"/>
              </w:rPr>
              <w:t>事业</w:t>
            </w:r>
          </w:p>
        </w:tc>
        <w:tc>
          <w:tcPr>
            <w:tcW w:w="4299" w:type="dxa"/>
            <w:noWrap w:val="0"/>
            <w:vAlign w:val="center"/>
          </w:tcPr>
          <w:p>
            <w:pPr>
              <w:spacing w:line="300" w:lineRule="exact"/>
              <w:jc w:val="center"/>
              <w:rPr>
                <w:rFonts w:hint="eastAsia" w:ascii="方正仿宋简体" w:hAnsi="方正仿宋简体" w:eastAsia="方正仿宋简体" w:cs="方正仿宋简体"/>
                <w:kern w:val="2"/>
                <w:sz w:val="21"/>
                <w:szCs w:val="22"/>
                <w:lang w:val="en-US" w:eastAsia="zh-CN" w:bidi="ar-SA"/>
              </w:rPr>
            </w:pPr>
            <w:r>
              <w:rPr>
                <w:rFonts w:ascii="方正书宋_GBK" w:hAnsi="等线" w:eastAsia="方正书宋_GBK" w:cs="Times New Roman"/>
                <w:szCs w:val="22"/>
              </w:rPr>
              <w:t>正科级</w:t>
            </w:r>
          </w:p>
        </w:tc>
        <w:tc>
          <w:tcPr>
            <w:tcW w:w="5025" w:type="dxa"/>
            <w:noWrap w:val="0"/>
            <w:vAlign w:val="center"/>
          </w:tcPr>
          <w:p>
            <w:pPr>
              <w:spacing w:line="300" w:lineRule="exact"/>
              <w:jc w:val="center"/>
              <w:rPr>
                <w:rFonts w:hint="eastAsia" w:ascii="方正仿宋简体" w:hAnsi="方正仿宋简体" w:eastAsia="方正仿宋简体" w:cs="方正仿宋简体"/>
                <w:kern w:val="2"/>
                <w:sz w:val="21"/>
                <w:szCs w:val="22"/>
                <w:lang w:val="en-US" w:eastAsia="zh-CN" w:bidi="ar-SA"/>
              </w:rPr>
            </w:pPr>
            <w:r>
              <w:rPr>
                <w:rFonts w:ascii="方正书宋_GBK" w:hAnsi="等线" w:eastAsia="方正书宋_GBK" w:cs="Times New Roman"/>
                <w:szCs w:val="22"/>
              </w:rPr>
              <w:t>财政性资金基本保证</w:t>
            </w:r>
          </w:p>
        </w:tc>
      </w:tr>
    </w:tbl>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outlineLvl w:val="2"/>
        <w:rPr>
          <w:rFonts w:hint="default" w:ascii="Times New Roman" w:hAnsi="Times New Roman" w:eastAsia="黑体" w:cs="Times New Roman"/>
          <w:sz w:val="32"/>
          <w:szCs w:val="22"/>
        </w:rPr>
      </w:pPr>
      <w:r>
        <w:rPr>
          <w:rFonts w:hint="eastAsia" w:ascii="Times New Roman" w:hAnsi="Times New Roman" w:eastAsia="黑体" w:cs="Times New Roman"/>
          <w:sz w:val="32"/>
          <w:szCs w:val="22"/>
          <w:lang w:val="en-US" w:eastAsia="zh-CN"/>
        </w:rPr>
        <w:t>二</w:t>
      </w:r>
      <w:bookmarkStart w:id="10" w:name="_GoBack"/>
      <w:bookmarkEnd w:id="10"/>
      <w:r>
        <w:rPr>
          <w:rFonts w:hint="eastAsia" w:ascii="Times New Roman" w:hAnsi="Times New Roman" w:eastAsia="黑体" w:cs="Times New Roman"/>
          <w:sz w:val="32"/>
          <w:szCs w:val="22"/>
          <w:lang w:val="en-US" w:eastAsia="zh-CN"/>
        </w:rPr>
        <w:t>二、单位</w:t>
      </w:r>
      <w:r>
        <w:rPr>
          <w:rFonts w:hint="default" w:ascii="Times New Roman" w:hAnsi="Times New Roman" w:eastAsia="黑体" w:cs="Times New Roman"/>
          <w:sz w:val="32"/>
          <w:szCs w:val="22"/>
        </w:rPr>
        <w:t>预算安排的总体情况</w:t>
      </w:r>
    </w:p>
    <w:p>
      <w:pPr>
        <w:widowControl/>
        <w:spacing w:before="10" w:after="10" w:line="240" w:lineRule="auto"/>
        <w:ind w:firstLine="640"/>
        <w:jc w:val="left"/>
        <w:outlineLvl w:val="5"/>
        <w:rPr>
          <w:rFonts w:ascii="Times New Roman" w:hAnsi="Times New Roman" w:eastAsia="方正仿宋_GBK" w:cs="Times New Roman"/>
          <w:b w:val="0"/>
          <w:color w:val="auto"/>
          <w:kern w:val="0"/>
          <w:sz w:val="28"/>
          <w:lang w:eastAsia="uk-UA"/>
        </w:rPr>
      </w:pPr>
      <w:r>
        <w:rPr>
          <w:rFonts w:ascii="Times New Roman" w:hAnsi="Times New Roman" w:eastAsia="方正仿宋_GBK" w:cs="Times New Roman"/>
          <w:b w:val="0"/>
          <w:color w:val="auto"/>
          <w:kern w:val="0"/>
          <w:sz w:val="28"/>
          <w:lang w:eastAsia="uk-UA"/>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（一）</w:t>
      </w:r>
      <w:r>
        <w:rPr>
          <w:rFonts w:hint="default" w:ascii="Times New Roman" w:hAnsi="Times New Roman" w:eastAsia="方正仿宋简体" w:cs="Times New Roman"/>
          <w:color w:val="auto"/>
          <w:kern w:val="0"/>
          <w:sz w:val="32"/>
          <w:szCs w:val="32"/>
        </w:rPr>
        <w:t>收入说明</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2021年</w:t>
      </w:r>
      <w:r>
        <w:rPr>
          <w:rFonts w:hint="default" w:ascii="Times New Roman" w:hAnsi="Times New Roman" w:eastAsia="方正仿宋简体" w:cs="Times New Roman"/>
          <w:color w:val="auto"/>
          <w:kern w:val="0"/>
          <w:sz w:val="32"/>
          <w:szCs w:val="32"/>
        </w:rPr>
        <w:t>预算收入233.83万元，一般公共预算拨款233.83万元。</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（二）</w:t>
      </w:r>
      <w:r>
        <w:rPr>
          <w:rFonts w:hint="default" w:ascii="Times New Roman" w:hAnsi="Times New Roman" w:eastAsia="方正仿宋简体" w:cs="Times New Roman"/>
          <w:color w:val="auto"/>
          <w:kern w:val="0"/>
          <w:sz w:val="32"/>
          <w:szCs w:val="32"/>
        </w:rPr>
        <w:t>支出说明</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2021年单位</w:t>
      </w:r>
      <w:r>
        <w:rPr>
          <w:rFonts w:hint="default" w:ascii="Times New Roman" w:hAnsi="Times New Roman" w:eastAsia="方正仿宋简体" w:cs="Times New Roman"/>
          <w:color w:val="auto"/>
          <w:kern w:val="0"/>
          <w:sz w:val="32"/>
          <w:szCs w:val="32"/>
        </w:rPr>
        <w:t>支出预算为233.83万元，其中基本支出75.83万元，包括人员经费68.21万元和日常公用经费7.62万元；项目支出158.00万元，全部为本级支出。</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（三）</w:t>
      </w:r>
      <w:r>
        <w:rPr>
          <w:rFonts w:hint="default" w:ascii="Times New Roman" w:hAnsi="Times New Roman" w:eastAsia="方正仿宋简体" w:cs="Times New Roman"/>
          <w:color w:val="auto"/>
          <w:kern w:val="0"/>
          <w:sz w:val="32"/>
          <w:szCs w:val="32"/>
        </w:rPr>
        <w:t>比上年增减情况</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2021年单位</w:t>
      </w:r>
      <w:r>
        <w:rPr>
          <w:rFonts w:hint="default" w:ascii="Times New Roman" w:hAnsi="Times New Roman" w:eastAsia="方正仿宋简体" w:cs="Times New Roman"/>
          <w:color w:val="auto"/>
          <w:kern w:val="0"/>
          <w:sz w:val="32"/>
          <w:szCs w:val="32"/>
        </w:rPr>
        <w:t>预算较20</w:t>
      </w:r>
      <w:r>
        <w:rPr>
          <w:rFonts w:hint="eastAsia" w:ascii="Times New Roman" w:hAnsi="Times New Roman" w:eastAsia="方正仿宋简体" w:cs="Times New Roman"/>
          <w:color w:val="auto"/>
          <w:kern w:val="0"/>
          <w:sz w:val="32"/>
          <w:szCs w:val="32"/>
          <w:lang w:val="en-US" w:eastAsia="zh-CN"/>
        </w:rPr>
        <w:t>20</w:t>
      </w:r>
      <w:r>
        <w:rPr>
          <w:rFonts w:hint="default" w:ascii="Times New Roman" w:hAnsi="Times New Roman" w:eastAsia="方正仿宋简体" w:cs="Times New Roman"/>
          <w:color w:val="auto"/>
          <w:kern w:val="0"/>
          <w:sz w:val="32"/>
          <w:szCs w:val="32"/>
        </w:rPr>
        <w:t>年</w:t>
      </w:r>
      <w:r>
        <w:rPr>
          <w:rFonts w:hint="eastAsia" w:ascii="Times New Roman" w:hAnsi="Times New Roman" w:eastAsia="方正仿宋简体" w:cs="Times New Roman"/>
          <w:color w:val="auto"/>
          <w:kern w:val="0"/>
          <w:sz w:val="32"/>
          <w:szCs w:val="32"/>
          <w:lang w:val="en-US" w:eastAsia="zh-CN"/>
        </w:rPr>
        <w:t>减少261.05</w:t>
      </w:r>
      <w:r>
        <w:rPr>
          <w:rFonts w:hint="default" w:ascii="Times New Roman" w:hAnsi="Times New Roman" w:eastAsia="方正仿宋简体" w:cs="Times New Roman"/>
          <w:color w:val="auto"/>
          <w:kern w:val="0"/>
          <w:sz w:val="32"/>
          <w:szCs w:val="32"/>
        </w:rPr>
        <w:t>万元，其中基本支出</w:t>
      </w:r>
      <w:r>
        <w:rPr>
          <w:rFonts w:hint="eastAsia" w:ascii="Times New Roman" w:hAnsi="Times New Roman" w:eastAsia="方正仿宋简体" w:cs="Times New Roman"/>
          <w:color w:val="auto"/>
          <w:kern w:val="0"/>
          <w:sz w:val="32"/>
          <w:szCs w:val="32"/>
          <w:lang w:val="en-US" w:eastAsia="zh-CN"/>
        </w:rPr>
        <w:t>减少116.45</w:t>
      </w:r>
      <w:r>
        <w:rPr>
          <w:rFonts w:hint="default" w:ascii="Times New Roman" w:hAnsi="Times New Roman" w:eastAsia="方正仿宋简体" w:cs="Times New Roman"/>
          <w:color w:val="auto"/>
          <w:kern w:val="0"/>
          <w:sz w:val="32"/>
          <w:szCs w:val="32"/>
        </w:rPr>
        <w:t>万元；项目支出</w:t>
      </w:r>
      <w:r>
        <w:rPr>
          <w:rFonts w:hint="eastAsia" w:ascii="Times New Roman" w:hAnsi="Times New Roman" w:eastAsia="方正仿宋简体" w:cs="Times New Roman"/>
          <w:color w:val="auto"/>
          <w:kern w:val="0"/>
          <w:sz w:val="32"/>
          <w:szCs w:val="32"/>
          <w:lang w:val="en-US" w:eastAsia="zh-CN"/>
        </w:rPr>
        <w:t>减少144.6</w:t>
      </w:r>
      <w:r>
        <w:rPr>
          <w:rFonts w:hint="default" w:ascii="Times New Roman" w:hAnsi="Times New Roman" w:eastAsia="方正仿宋简体" w:cs="Times New Roman"/>
          <w:color w:val="auto"/>
          <w:kern w:val="0"/>
          <w:sz w:val="32"/>
          <w:szCs w:val="32"/>
        </w:rPr>
        <w:t>万元，主要</w:t>
      </w:r>
      <w:r>
        <w:rPr>
          <w:rFonts w:hint="eastAsia" w:ascii="Times New Roman" w:hAnsi="Times New Roman" w:eastAsia="方正仿宋简体" w:cs="Times New Roman"/>
          <w:color w:val="auto"/>
          <w:kern w:val="0"/>
          <w:sz w:val="32"/>
          <w:szCs w:val="32"/>
          <w:lang w:val="en-US" w:eastAsia="zh-CN"/>
        </w:rPr>
        <w:t>是示范区专家咨询委员会秘书处经费和示范区专家咨询经费减少</w:t>
      </w:r>
      <w:r>
        <w:rPr>
          <w:rFonts w:hint="default" w:ascii="Times New Roman" w:hAnsi="Times New Roman" w:eastAsia="方正仿宋简体" w:cs="Times New Roman"/>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2"/>
        <w:rPr>
          <w:rFonts w:hint="default" w:ascii="Times New Roman" w:hAnsi="Times New Roman" w:eastAsia="黑体" w:cs="Times New Roman"/>
          <w:sz w:val="32"/>
          <w:szCs w:val="22"/>
        </w:rPr>
      </w:pPr>
      <w:r>
        <w:rPr>
          <w:rFonts w:hint="eastAsia" w:ascii="Times New Roman" w:hAnsi="Times New Roman" w:eastAsia="黑体" w:cs="Times New Roman"/>
          <w:sz w:val="32"/>
          <w:szCs w:val="22"/>
          <w:lang w:val="en-US" w:eastAsia="zh-CN"/>
        </w:rPr>
        <w:t>三、</w:t>
      </w:r>
      <w:r>
        <w:rPr>
          <w:rFonts w:hint="default" w:ascii="Times New Roman" w:hAnsi="Times New Roman" w:eastAsia="黑体" w:cs="Times New Roman"/>
          <w:sz w:val="32"/>
          <w:szCs w:val="22"/>
        </w:rPr>
        <w:t>机关运行经费安排情况</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机关运行经费共计安排</w:t>
      </w:r>
      <w:r>
        <w:rPr>
          <w:rFonts w:hint="eastAsia" w:ascii="Times New Roman" w:hAnsi="Times New Roman" w:eastAsia="方正仿宋简体" w:cs="Times New Roman"/>
          <w:color w:val="auto"/>
          <w:kern w:val="0"/>
          <w:sz w:val="32"/>
          <w:szCs w:val="32"/>
          <w:lang w:val="en-US" w:eastAsia="zh-CN"/>
        </w:rPr>
        <w:t>7.62</w:t>
      </w:r>
      <w:r>
        <w:rPr>
          <w:rFonts w:hint="default" w:ascii="Times New Roman" w:hAnsi="Times New Roman" w:eastAsia="方正仿宋简体" w:cs="Times New Roman"/>
          <w:color w:val="auto"/>
          <w:kern w:val="0"/>
          <w:sz w:val="32"/>
          <w:szCs w:val="32"/>
        </w:rPr>
        <w:t>万元，主要用于保证机关正常运转支的办公费、印刷费、差旅费、会议费、福利费、一般设备购置费、</w:t>
      </w:r>
      <w:r>
        <w:rPr>
          <w:rFonts w:hint="eastAsia" w:ascii="Times New Roman" w:hAnsi="Times New Roman" w:eastAsia="方正仿宋简体" w:cs="Times New Roman"/>
          <w:color w:val="auto"/>
          <w:kern w:val="0"/>
          <w:sz w:val="32"/>
          <w:szCs w:val="32"/>
          <w:lang w:eastAsia="zh-CN"/>
        </w:rPr>
        <w:t>公务交通补贴、工会经费</w:t>
      </w:r>
      <w:r>
        <w:rPr>
          <w:rFonts w:hint="default" w:ascii="Times New Roman" w:hAnsi="Times New Roman" w:eastAsia="方正仿宋简体" w:cs="Times New Roman"/>
          <w:color w:val="auto"/>
          <w:kern w:val="0"/>
          <w:sz w:val="32"/>
          <w:szCs w:val="32"/>
        </w:rPr>
        <w:t>等支出。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2"/>
        <w:rPr>
          <w:rFonts w:hint="default" w:ascii="Times New Roman" w:hAnsi="Times New Roman" w:eastAsia="黑体" w:cs="Times New Roman"/>
          <w:sz w:val="32"/>
          <w:szCs w:val="22"/>
        </w:rPr>
      </w:pPr>
      <w:r>
        <w:rPr>
          <w:rFonts w:hint="eastAsia" w:ascii="Times New Roman" w:hAnsi="Times New Roman" w:eastAsia="黑体" w:cs="Times New Roman"/>
          <w:sz w:val="32"/>
          <w:szCs w:val="22"/>
          <w:lang w:val="en-US" w:eastAsia="zh-CN"/>
        </w:rPr>
        <w:t>四、</w:t>
      </w:r>
      <w:r>
        <w:rPr>
          <w:rFonts w:hint="default" w:ascii="Times New Roman" w:hAnsi="Times New Roman" w:eastAsia="黑体" w:cs="Times New Roman"/>
          <w:sz w:val="32"/>
          <w:szCs w:val="22"/>
        </w:rPr>
        <w:t>财政拨款“三公”经费预算情况及增减变化原因</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2021年</w:t>
      </w:r>
      <w:r>
        <w:rPr>
          <w:rFonts w:hint="default" w:ascii="Times New Roman" w:hAnsi="Times New Roman" w:eastAsia="方正仿宋简体" w:cs="Times New Roman"/>
          <w:color w:val="auto"/>
          <w:kern w:val="0"/>
          <w:sz w:val="32"/>
          <w:szCs w:val="32"/>
        </w:rPr>
        <w:t>，财政拨款“三公”经费预算安排</w:t>
      </w:r>
      <w:r>
        <w:rPr>
          <w:rFonts w:hint="eastAsia" w:ascii="Times New Roman" w:hAnsi="Times New Roman" w:eastAsia="方正仿宋简体" w:cs="Times New Roman"/>
          <w:color w:val="auto"/>
          <w:kern w:val="0"/>
          <w:sz w:val="32"/>
          <w:szCs w:val="32"/>
          <w:lang w:val="en-US" w:eastAsia="zh-CN"/>
        </w:rPr>
        <w:t>0.09</w:t>
      </w:r>
      <w:r>
        <w:rPr>
          <w:rFonts w:hint="default" w:ascii="Times New Roman" w:hAnsi="Times New Roman" w:eastAsia="方正仿宋简体" w:cs="Times New Roman"/>
          <w:color w:val="auto"/>
          <w:kern w:val="0"/>
          <w:sz w:val="32"/>
          <w:szCs w:val="32"/>
        </w:rPr>
        <w:t>万元，其中：因公出国（境）费0万元；公务用车购置及运维费</w:t>
      </w:r>
      <w:r>
        <w:rPr>
          <w:rFonts w:hint="eastAsia" w:ascii="Times New Roman" w:hAnsi="Times New Roman" w:eastAsia="方正仿宋简体" w:cs="Times New Roman"/>
          <w:color w:val="auto"/>
          <w:kern w:val="0"/>
          <w:sz w:val="32"/>
          <w:szCs w:val="32"/>
          <w:lang w:val="en-US" w:eastAsia="zh-CN"/>
        </w:rPr>
        <w:t>0</w:t>
      </w:r>
      <w:r>
        <w:rPr>
          <w:rFonts w:hint="default" w:ascii="Times New Roman" w:hAnsi="Times New Roman" w:eastAsia="方正仿宋简体" w:cs="Times New Roman"/>
          <w:color w:val="auto"/>
          <w:kern w:val="0"/>
          <w:sz w:val="32"/>
          <w:szCs w:val="32"/>
        </w:rPr>
        <w:t>万元；公务接待费</w:t>
      </w:r>
      <w:r>
        <w:rPr>
          <w:rFonts w:hint="eastAsia" w:ascii="Times New Roman" w:hAnsi="Times New Roman" w:eastAsia="方正仿宋简体" w:cs="Times New Roman"/>
          <w:color w:val="auto"/>
          <w:kern w:val="0"/>
          <w:sz w:val="32"/>
          <w:szCs w:val="32"/>
          <w:lang w:val="en-US" w:eastAsia="zh-CN"/>
        </w:rPr>
        <w:t>0.09</w:t>
      </w:r>
      <w:r>
        <w:rPr>
          <w:rFonts w:hint="default" w:ascii="Times New Roman" w:hAnsi="Times New Roman" w:eastAsia="方正仿宋简体" w:cs="Times New Roman"/>
          <w:color w:val="auto"/>
          <w:kern w:val="0"/>
          <w:sz w:val="32"/>
          <w:szCs w:val="32"/>
        </w:rPr>
        <w:t>万元。“三公”经费较上年</w:t>
      </w:r>
      <w:r>
        <w:rPr>
          <w:rFonts w:hint="eastAsia" w:ascii="Times New Roman" w:hAnsi="Times New Roman" w:eastAsia="方正仿宋简体" w:cs="Times New Roman"/>
          <w:color w:val="auto"/>
          <w:kern w:val="0"/>
          <w:sz w:val="32"/>
          <w:szCs w:val="32"/>
          <w:lang w:eastAsia="zh-CN"/>
        </w:rPr>
        <w:t>上升</w:t>
      </w:r>
      <w:r>
        <w:rPr>
          <w:rFonts w:hint="eastAsia" w:ascii="Times New Roman" w:hAnsi="Times New Roman" w:eastAsia="方正仿宋简体" w:cs="Times New Roman"/>
          <w:color w:val="auto"/>
          <w:kern w:val="0"/>
          <w:sz w:val="32"/>
          <w:szCs w:val="32"/>
          <w:lang w:val="en-US" w:eastAsia="zh-CN"/>
        </w:rPr>
        <w:t>12.5</w:t>
      </w:r>
      <w:r>
        <w:rPr>
          <w:rFonts w:hint="default" w:ascii="Times New Roman" w:hAnsi="Times New Roman" w:eastAsia="方正仿宋简体" w:cs="Times New Roman"/>
          <w:color w:val="auto"/>
          <w:kern w:val="0"/>
          <w:sz w:val="32"/>
          <w:szCs w:val="32"/>
        </w:rPr>
        <w:t>%，主要原因是</w:t>
      </w:r>
      <w:r>
        <w:rPr>
          <w:rFonts w:hint="eastAsia" w:ascii="Times New Roman" w:hAnsi="Times New Roman" w:eastAsia="方正仿宋简体" w:cs="Times New Roman"/>
          <w:color w:val="auto"/>
          <w:kern w:val="0"/>
          <w:sz w:val="32"/>
          <w:szCs w:val="32"/>
          <w:lang w:val="en-US" w:eastAsia="zh-CN"/>
        </w:rPr>
        <w:t>公务接待费按照办公费等经费按比例安排预算，2021年新增人员，办公费等经费增加，因此公务接待费较上年增加。</w:t>
      </w:r>
    </w:p>
    <w:p>
      <w:pPr>
        <w:widowControl/>
        <w:spacing w:before="10" w:after="10" w:line="360" w:lineRule="auto"/>
        <w:ind w:firstLine="640"/>
        <w:jc w:val="left"/>
        <w:outlineLvl w:val="2"/>
        <w:rPr>
          <w:rFonts w:ascii="Times New Roman" w:hAnsi="Times New Roman" w:eastAsia="Times New Roman"/>
          <w:kern w:val="0"/>
          <w:sz w:val="24"/>
          <w:lang w:eastAsia="uk-UA"/>
        </w:rPr>
      </w:pPr>
      <w:r>
        <w:rPr>
          <w:rFonts w:ascii="黑体" w:hAnsi="黑体" w:eastAsia="黑体" w:cs="黑体"/>
          <w:color w:val="000000"/>
          <w:kern w:val="0"/>
          <w:sz w:val="32"/>
          <w:lang w:eastAsia="uk-UA"/>
        </w:rPr>
        <w:t>五、预算绩效信息</w:t>
      </w:r>
    </w:p>
    <w:p>
      <w:pPr>
        <w:ind w:firstLine="640" w:firstLineChars="200"/>
        <w:jc w:val="left"/>
        <w:outlineLvl w:val="3"/>
        <w:rPr>
          <w:rFonts w:ascii="Times New Roman" w:hAnsi="宋体" w:eastAsia="宋体" w:cs="Times New Roman"/>
          <w:b/>
          <w:sz w:val="28"/>
          <w:szCs w:val="22"/>
        </w:rPr>
      </w:pPr>
      <w:r>
        <w:rPr>
          <w:rFonts w:hint="eastAsia" w:ascii="Times New Roman" w:hAnsi="Times New Roman" w:eastAsia="方正仿宋简体" w:cs="Times New Roman"/>
          <w:kern w:val="0"/>
          <w:sz w:val="32"/>
          <w:szCs w:val="32"/>
        </w:rPr>
        <w:t>1.示范区专家咨询经费绩效目标表</w:t>
      </w:r>
      <w:r>
        <w:rPr>
          <w:rFonts w:ascii="等线" w:hAnsi="等线" w:eastAsia="等线" w:cs="Times New Roman"/>
          <w:szCs w:val="22"/>
        </w:rPr>
        <w:fldChar w:fldCharType="begin"/>
      </w:r>
      <w:r>
        <w:rPr>
          <w:rFonts w:ascii="方正仿宋_GBK" w:hAnsi="等线" w:eastAsia="方正仿宋_GBK" w:cs="Times New Roman"/>
          <w:b/>
          <w:sz w:val="28"/>
          <w:szCs w:val="22"/>
        </w:rPr>
        <w:instrText xml:space="preserve"> TC 1、示范区专家咨询经费绩效目标表 \f C \l 1 </w:instrText>
      </w:r>
      <w:r>
        <w:rPr>
          <w:rFonts w:ascii="方正仿宋_GBK" w:hAnsi="等线" w:eastAsia="方正仿宋_GBK" w:cs="Times New Roman"/>
          <w:b/>
          <w:sz w:val="28"/>
          <w:szCs w:val="22"/>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hAnsi="等线" w:eastAsia="方正书宋_GBK" w:cs="Times New Roman"/>
                <w:b/>
                <w:szCs w:val="22"/>
              </w:rPr>
            </w:pPr>
            <w:r>
              <w:rPr>
                <w:rFonts w:ascii="方正书宋_GBK" w:hAnsi="等线" w:eastAsia="方正书宋_GBK" w:cs="Times New Roman"/>
                <w:b/>
                <w:szCs w:val="22"/>
              </w:rPr>
              <w:t>901001北戴河生命健康产业研究院本级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hAnsi="等线" w:eastAsia="方正书宋_GBK" w:cs="Times New Roman"/>
                <w:szCs w:val="22"/>
              </w:rPr>
            </w:pPr>
            <w:r>
              <w:rPr>
                <w:rFonts w:ascii="方正书宋_GBK" w:hAnsi="等线" w:eastAsia="方正书宋_GBK" w:cs="Times New Roman"/>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绩效目标</w:t>
            </w:r>
          </w:p>
        </w:tc>
        <w:tc>
          <w:tcPr>
            <w:tcW w:w="8278" w:type="dxa"/>
            <w:gridSpan w:val="2"/>
            <w:tcBorders>
              <w:bottom w:val="nil"/>
            </w:tcBorders>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1.建立开放式的合作交流平台，与国内外有关智库机构建立对接联系，开展合作研究、交流互访等活动，为示范区建设建言献策。</w:t>
            </w:r>
          </w:p>
        </w:tc>
      </w:tr>
    </w:tbl>
    <w:p>
      <w:pPr>
        <w:spacing w:line="14" w:lineRule="exact"/>
        <w:ind w:firstLine="420" w:firstLineChars="200"/>
        <w:jc w:val="center"/>
        <w:rPr>
          <w:rFonts w:ascii="Times New Roman" w:hAnsi="宋体" w:eastAsia="宋体" w:cs="Times New Roman"/>
          <w:szCs w:val="22"/>
        </w:rPr>
      </w:pPr>
      <w:r>
        <w:rPr>
          <w:rFonts w:ascii="方正书宋_GBK" w:hAnsi="等线" w:eastAsia="方正书宋_GBK" w:cs="Times New Roman"/>
          <w:szCs w:val="22"/>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一级指标</w:t>
            </w:r>
          </w:p>
        </w:tc>
        <w:tc>
          <w:tcPr>
            <w:tcW w:w="1134"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二级指标</w:t>
            </w:r>
          </w:p>
        </w:tc>
        <w:tc>
          <w:tcPr>
            <w:tcW w:w="1276"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三级指标</w:t>
            </w:r>
          </w:p>
        </w:tc>
        <w:tc>
          <w:tcPr>
            <w:tcW w:w="2891"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绩效指标描述</w:t>
            </w:r>
          </w:p>
        </w:tc>
        <w:tc>
          <w:tcPr>
            <w:tcW w:w="1276"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指标值</w:t>
            </w:r>
          </w:p>
        </w:tc>
        <w:tc>
          <w:tcPr>
            <w:tcW w:w="1701"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hAnsi="等线" w:eastAsia="方正书宋_GBK" w:cs="Times New Roman"/>
                <w:szCs w:val="22"/>
              </w:rPr>
            </w:pPr>
            <w:r>
              <w:rPr>
                <w:rFonts w:ascii="方正书宋_GBK" w:hAnsi="等线" w:eastAsia="方正书宋_GBK" w:cs="Times New Roman"/>
                <w:szCs w:val="22"/>
              </w:rPr>
              <w:t>产出指标</w:t>
            </w: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数量指标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支付专家人数</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支付咨询费的聘用专家人数</w:t>
            </w:r>
          </w:p>
        </w:tc>
        <w:tc>
          <w:tcPr>
            <w:tcW w:w="1276" w:type="dxa"/>
            <w:noWrap w:val="0"/>
            <w:vAlign w:val="center"/>
          </w:tcPr>
          <w:p>
            <w:pPr>
              <w:spacing w:line="300" w:lineRule="exact"/>
              <w:jc w:val="left"/>
              <w:rPr>
                <w:rFonts w:ascii="方正书宋_GBK" w:hAnsi="等线" w:eastAsia="方正书宋_GBK" w:cs="Times New Roman"/>
                <w:szCs w:val="22"/>
              </w:rPr>
            </w:pPr>
            <w:r>
              <w:rPr>
                <w:rFonts w:hint="eastAsia" w:ascii="方正书宋_GBK" w:hAnsi="等线" w:eastAsia="方正书宋_GBK" w:cs="Times New Roman"/>
                <w:szCs w:val="22"/>
                <w:lang w:val="en-US" w:eastAsia="zh-CN"/>
              </w:rPr>
              <w:t>10</w:t>
            </w:r>
            <w:r>
              <w:rPr>
                <w:rFonts w:ascii="方正书宋_GBK" w:hAnsi="等线" w:eastAsia="方正书宋_GBK" w:cs="Times New Roman"/>
                <w:szCs w:val="22"/>
              </w:rPr>
              <w:t>个</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质量指标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咨询问题回复率</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针对示范区问题进行回复</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100%</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时效指标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费用支付及时率</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及时支付专家费用</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≤12月</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成本指标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足额支付咨询费</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足额支付专家咨询委员会专家委员基本咨询费和专项咨询费</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900000元</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预算额度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hAnsi="等线" w:eastAsia="方正书宋_GBK" w:cs="Times New Roman"/>
                <w:szCs w:val="22"/>
              </w:rPr>
            </w:pPr>
            <w:r>
              <w:rPr>
                <w:rFonts w:ascii="方正书宋_GBK" w:hAnsi="等线" w:eastAsia="方正书宋_GBK" w:cs="Times New Roman"/>
                <w:szCs w:val="22"/>
              </w:rPr>
              <w:t>效益指标</w:t>
            </w: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社会效益指标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论文、研究报告数量</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撰写调研报告数量</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≥3个</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hAnsi="等线" w:eastAsia="方正书宋_GBK" w:cs="Times New Roman"/>
                <w:szCs w:val="22"/>
              </w:rPr>
            </w:pPr>
            <w:r>
              <w:rPr>
                <w:rFonts w:ascii="方正书宋_GBK" w:hAnsi="等线" w:eastAsia="方正书宋_GBK" w:cs="Times New Roman"/>
                <w:szCs w:val="22"/>
              </w:rPr>
              <w:t>满意度指标</w:t>
            </w: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服务对象满意度指标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服务对象满意度</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被调查单位或群体对本部门工作的满意程度</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≥90%</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综合调查结果</w:t>
            </w:r>
          </w:p>
        </w:tc>
      </w:tr>
    </w:tbl>
    <w:p>
      <w:pPr>
        <w:ind w:firstLine="640" w:firstLineChars="200"/>
        <w:jc w:val="left"/>
        <w:outlineLvl w:val="3"/>
        <w:rPr>
          <w:rFonts w:ascii="Times New Roman" w:hAnsi="宋体" w:eastAsia="宋体" w:cs="Times New Roman"/>
          <w:b/>
          <w:sz w:val="28"/>
          <w:szCs w:val="22"/>
        </w:rPr>
      </w:pPr>
      <w:r>
        <w:rPr>
          <w:rFonts w:hint="eastAsia" w:ascii="Times New Roman" w:hAnsi="Times New Roman" w:eastAsia="方正仿宋简体" w:cs="Times New Roman"/>
          <w:kern w:val="0"/>
          <w:sz w:val="32"/>
          <w:szCs w:val="32"/>
        </w:rPr>
        <w:t>2.示范区重大政策申报争取工作经费绩效目标表</w:t>
      </w:r>
      <w:r>
        <w:rPr>
          <w:rFonts w:ascii="等线" w:hAnsi="等线" w:eastAsia="等线" w:cs="Times New Roman"/>
          <w:szCs w:val="22"/>
        </w:rPr>
        <w:fldChar w:fldCharType="begin"/>
      </w:r>
      <w:r>
        <w:rPr>
          <w:rFonts w:ascii="方正仿宋_GBK" w:hAnsi="等线" w:eastAsia="方正仿宋_GBK" w:cs="Times New Roman"/>
          <w:b/>
          <w:sz w:val="28"/>
          <w:szCs w:val="22"/>
        </w:rPr>
        <w:instrText xml:space="preserve"> TC 2、示范区重大政策申报争取工作经费绩效目标表 \f C \l 1 </w:instrText>
      </w:r>
      <w:r>
        <w:rPr>
          <w:rFonts w:ascii="方正仿宋_GBK" w:hAnsi="等线" w:eastAsia="方正仿宋_GBK" w:cs="Times New Roman"/>
          <w:b/>
          <w:sz w:val="28"/>
          <w:szCs w:val="22"/>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hAnsi="等线" w:eastAsia="方正书宋_GBK" w:cs="Times New Roman"/>
                <w:b/>
                <w:szCs w:val="22"/>
              </w:rPr>
            </w:pPr>
            <w:r>
              <w:rPr>
                <w:rFonts w:ascii="方正书宋_GBK" w:hAnsi="等线" w:eastAsia="方正书宋_GBK" w:cs="Times New Roman"/>
                <w:b/>
                <w:szCs w:val="22"/>
              </w:rPr>
              <w:t>901001北戴河生命健康产业研究院本级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hAnsi="等线" w:eastAsia="方正书宋_GBK" w:cs="Times New Roman"/>
                <w:szCs w:val="22"/>
              </w:rPr>
            </w:pPr>
            <w:r>
              <w:rPr>
                <w:rFonts w:ascii="方正书宋_GBK" w:hAnsi="等线" w:eastAsia="方正书宋_GBK" w:cs="Times New Roman"/>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绩效目标</w:t>
            </w:r>
          </w:p>
        </w:tc>
        <w:tc>
          <w:tcPr>
            <w:tcW w:w="8278" w:type="dxa"/>
            <w:gridSpan w:val="2"/>
            <w:tcBorders>
              <w:bottom w:val="nil"/>
            </w:tcBorders>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1.研究制定示范区支持政策，对接省直相关部门、国家有关部委，全力争取示范区在国家政策层面改革创新、先行先试，持续获得国家政策支持，构建示范区政策支撑体系。</w:t>
            </w:r>
          </w:p>
        </w:tc>
      </w:tr>
    </w:tbl>
    <w:p>
      <w:pPr>
        <w:spacing w:line="14" w:lineRule="exact"/>
        <w:ind w:firstLine="420" w:firstLineChars="200"/>
        <w:jc w:val="center"/>
        <w:rPr>
          <w:rFonts w:ascii="Times New Roman" w:hAnsi="宋体" w:eastAsia="宋体" w:cs="Times New Roman"/>
          <w:szCs w:val="22"/>
        </w:rPr>
      </w:pPr>
      <w:r>
        <w:rPr>
          <w:rFonts w:ascii="方正书宋_GBK" w:hAnsi="等线" w:eastAsia="方正书宋_GBK" w:cs="Times New Roman"/>
          <w:szCs w:val="22"/>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一级指标</w:t>
            </w:r>
          </w:p>
        </w:tc>
        <w:tc>
          <w:tcPr>
            <w:tcW w:w="1134"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二级指标</w:t>
            </w:r>
          </w:p>
        </w:tc>
        <w:tc>
          <w:tcPr>
            <w:tcW w:w="1276"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三级指标</w:t>
            </w:r>
          </w:p>
        </w:tc>
        <w:tc>
          <w:tcPr>
            <w:tcW w:w="2891"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绩效指标描述</w:t>
            </w:r>
          </w:p>
        </w:tc>
        <w:tc>
          <w:tcPr>
            <w:tcW w:w="1276"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指标值</w:t>
            </w:r>
          </w:p>
        </w:tc>
        <w:tc>
          <w:tcPr>
            <w:tcW w:w="1701"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hAnsi="等线" w:eastAsia="方正书宋_GBK" w:cs="Times New Roman"/>
                <w:szCs w:val="22"/>
              </w:rPr>
            </w:pPr>
            <w:r>
              <w:rPr>
                <w:rFonts w:ascii="方正书宋_GBK" w:hAnsi="等线" w:eastAsia="方正书宋_GBK" w:cs="Times New Roman"/>
                <w:szCs w:val="22"/>
              </w:rPr>
              <w:t>产出指标</w:t>
            </w: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数量指标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论文、研究报告数量</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研究制定争取政策数量</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≥3个</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质量指标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研究政策性课题、论文发布率</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研究政策性课题、论文发布情况</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≥95%</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时效指标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调研报告完成及时率</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在领导规定时间内完成调研任务</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≤12月</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成本指标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对外交流成本</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跑办政策对外交流资料费、场地租赁费、专家讲课费等</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≤50000元</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成本指标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业务咨询委托</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实施政策业务咨询委托工作所需资金额度</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≤200000元</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成本指标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政策项目调研</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实施政策项目调查研究课题所需费用</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≤50000元</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hAnsi="等线" w:eastAsia="方正书宋_GBK" w:cs="Times New Roman"/>
                <w:szCs w:val="22"/>
              </w:rPr>
            </w:pPr>
            <w:r>
              <w:rPr>
                <w:rFonts w:ascii="方正书宋_GBK" w:hAnsi="等线" w:eastAsia="方正书宋_GBK" w:cs="Times New Roman"/>
                <w:szCs w:val="22"/>
              </w:rPr>
              <w:t>效益指标</w:t>
            </w: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社会效益指标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引入企业或项目数量</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借助政策优势引入企业、项目数量</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≥2个</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hAnsi="等线" w:eastAsia="方正书宋_GBK" w:cs="Times New Roman"/>
                <w:szCs w:val="22"/>
              </w:rPr>
            </w:pPr>
            <w:r>
              <w:rPr>
                <w:rFonts w:ascii="方正书宋_GBK" w:hAnsi="等线" w:eastAsia="方正书宋_GBK" w:cs="Times New Roman"/>
                <w:szCs w:val="22"/>
              </w:rPr>
              <w:t>满意度指标</w:t>
            </w: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服务对象满意度指标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服务对象满意度</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被调查单位或群体对本部门工作的满意程度</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≥90%</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综合调查结果</w:t>
            </w:r>
          </w:p>
        </w:tc>
      </w:tr>
    </w:tbl>
    <w:p>
      <w:pPr>
        <w:ind w:firstLine="640" w:firstLineChars="200"/>
        <w:jc w:val="left"/>
        <w:outlineLvl w:val="3"/>
        <w:rPr>
          <w:rFonts w:ascii="Times New Roman" w:hAnsi="宋体" w:eastAsia="宋体" w:cs="Times New Roman"/>
          <w:b/>
          <w:sz w:val="28"/>
          <w:szCs w:val="22"/>
        </w:rPr>
      </w:pPr>
      <w:r>
        <w:rPr>
          <w:rFonts w:hint="eastAsia" w:ascii="Times New Roman" w:hAnsi="Times New Roman" w:eastAsia="方正仿宋简体" w:cs="Times New Roman"/>
          <w:kern w:val="0"/>
          <w:sz w:val="32"/>
          <w:szCs w:val="32"/>
        </w:rPr>
        <w:t>3.与省发改委社会处合署办公经费绩效目标表</w:t>
      </w:r>
      <w:r>
        <w:rPr>
          <w:rFonts w:ascii="等线" w:hAnsi="等线" w:eastAsia="等线" w:cs="Times New Roman"/>
          <w:szCs w:val="22"/>
        </w:rPr>
        <w:fldChar w:fldCharType="begin"/>
      </w:r>
      <w:r>
        <w:rPr>
          <w:rFonts w:ascii="方正仿宋_GBK" w:hAnsi="等线" w:eastAsia="方正仿宋_GBK" w:cs="Times New Roman"/>
          <w:b/>
          <w:sz w:val="28"/>
          <w:szCs w:val="22"/>
        </w:rPr>
        <w:instrText xml:space="preserve"> TC 3、与省发改委社会处合署办公经费绩效目标表 \f C \l 1 </w:instrText>
      </w:r>
      <w:r>
        <w:rPr>
          <w:rFonts w:ascii="方正仿宋_GBK" w:hAnsi="等线" w:eastAsia="方正仿宋_GBK" w:cs="Times New Roman"/>
          <w:b/>
          <w:sz w:val="28"/>
          <w:szCs w:val="22"/>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hAnsi="等线" w:eastAsia="方正书宋_GBK" w:cs="Times New Roman"/>
                <w:b/>
                <w:szCs w:val="22"/>
              </w:rPr>
            </w:pPr>
            <w:r>
              <w:rPr>
                <w:rFonts w:ascii="方正书宋_GBK" w:hAnsi="等线" w:eastAsia="方正书宋_GBK" w:cs="Times New Roman"/>
                <w:b/>
                <w:szCs w:val="22"/>
              </w:rPr>
              <w:t>901001北戴河生命健康产业研究院本级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hAnsi="等线" w:eastAsia="方正书宋_GBK" w:cs="Times New Roman"/>
                <w:szCs w:val="22"/>
              </w:rPr>
            </w:pPr>
            <w:r>
              <w:rPr>
                <w:rFonts w:ascii="方正书宋_GBK" w:hAnsi="等线" w:eastAsia="方正书宋_GBK" w:cs="Times New Roman"/>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绩效目标</w:t>
            </w:r>
          </w:p>
        </w:tc>
        <w:tc>
          <w:tcPr>
            <w:tcW w:w="8278" w:type="dxa"/>
            <w:gridSpan w:val="2"/>
            <w:tcBorders>
              <w:bottom w:val="nil"/>
            </w:tcBorders>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1.保障省领导小组办公室正常运转，建立政策跑办争取绿色通道，推动省级层面对示范区建设工作的支持。</w:t>
            </w:r>
          </w:p>
        </w:tc>
      </w:tr>
    </w:tbl>
    <w:p>
      <w:pPr>
        <w:spacing w:line="14" w:lineRule="exact"/>
        <w:ind w:firstLine="420" w:firstLineChars="200"/>
        <w:jc w:val="center"/>
        <w:rPr>
          <w:rFonts w:ascii="Times New Roman" w:hAnsi="宋体" w:eastAsia="宋体" w:cs="Times New Roman"/>
          <w:szCs w:val="22"/>
        </w:rPr>
      </w:pPr>
      <w:r>
        <w:rPr>
          <w:rFonts w:ascii="方正书宋_GBK" w:hAnsi="等线" w:eastAsia="方正书宋_GBK" w:cs="Times New Roman"/>
          <w:szCs w:val="22"/>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一级指标</w:t>
            </w:r>
          </w:p>
        </w:tc>
        <w:tc>
          <w:tcPr>
            <w:tcW w:w="1134"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二级指标</w:t>
            </w:r>
          </w:p>
        </w:tc>
        <w:tc>
          <w:tcPr>
            <w:tcW w:w="1276"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三级指标</w:t>
            </w:r>
          </w:p>
        </w:tc>
        <w:tc>
          <w:tcPr>
            <w:tcW w:w="2891"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绩效指标描述</w:t>
            </w:r>
          </w:p>
        </w:tc>
        <w:tc>
          <w:tcPr>
            <w:tcW w:w="1276"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指标值</w:t>
            </w:r>
          </w:p>
        </w:tc>
        <w:tc>
          <w:tcPr>
            <w:tcW w:w="1701"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hAnsi="等线" w:eastAsia="方正书宋_GBK" w:cs="Times New Roman"/>
                <w:szCs w:val="22"/>
              </w:rPr>
            </w:pPr>
            <w:r>
              <w:rPr>
                <w:rFonts w:ascii="方正书宋_GBK" w:hAnsi="等线" w:eastAsia="方正书宋_GBK" w:cs="Times New Roman"/>
                <w:szCs w:val="22"/>
              </w:rPr>
              <w:t>产出指标</w:t>
            </w: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数量指标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形成支持示范区建设的政策文件</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省级层面支持示范区建设文件印发数量</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≥1个</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数量指标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参与政府决策活动次数</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参与决策咨询活动次数</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≥20次</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质量指标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印发文件发布率</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省级层面支持示范区建设印发文件发布率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100%</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时效指标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及时性</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按各项任务时间节点及时完成</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≤12月</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成本指标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对外交流合作成本费用</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跑办政策对外交流资料费、场地租赁费、专家讲课费等</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≤20000元</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成本指标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差旅费</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工作人员到省发改委合署办公差旅费</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≤10000元</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hAnsi="等线" w:eastAsia="方正书宋_GBK" w:cs="Times New Roman"/>
                <w:szCs w:val="22"/>
              </w:rPr>
            </w:pPr>
            <w:r>
              <w:rPr>
                <w:rFonts w:ascii="方正书宋_GBK" w:hAnsi="等线" w:eastAsia="方正书宋_GBK" w:cs="Times New Roman"/>
                <w:szCs w:val="22"/>
              </w:rPr>
              <w:t>效益指标</w:t>
            </w: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社会效益指标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引入企业或项目数量</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借助政策优势引入企业、项目数量</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≥2个</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hAnsi="等线" w:eastAsia="方正书宋_GBK" w:cs="Times New Roman"/>
                <w:szCs w:val="22"/>
              </w:rPr>
            </w:pPr>
            <w:r>
              <w:rPr>
                <w:rFonts w:ascii="方正书宋_GBK" w:hAnsi="等线" w:eastAsia="方正书宋_GBK" w:cs="Times New Roman"/>
                <w:szCs w:val="22"/>
              </w:rPr>
              <w:t>满意度指标</w:t>
            </w: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服务对象满意度指标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服务对象满意度</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群众满意度数量占总数的比例</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≥90%</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综合调查结果</w:t>
            </w:r>
          </w:p>
        </w:tc>
      </w:tr>
    </w:tbl>
    <w:p>
      <w:pPr>
        <w:spacing w:line="300" w:lineRule="exact"/>
        <w:ind w:firstLine="420" w:firstLineChars="200"/>
        <w:jc w:val="left"/>
        <w:sectPr>
          <w:pgSz w:w="16839" w:h="11907" w:orient="landscape"/>
          <w:pgMar w:top="1304" w:right="1984" w:bottom="1304" w:left="1134" w:header="851" w:footer="992" w:gutter="0"/>
          <w:cols w:space="720" w:num="1"/>
          <w:docGrid w:type="lines" w:linePitch="312" w:charSpace="0"/>
        </w:sectPr>
      </w:pPr>
    </w:p>
    <w:p>
      <w:pPr>
        <w:ind w:firstLine="640" w:firstLineChars="200"/>
        <w:jc w:val="left"/>
        <w:outlineLvl w:val="3"/>
        <w:rPr>
          <w:rFonts w:ascii="Times New Roman" w:hAnsi="宋体" w:eastAsia="宋体" w:cs="Times New Roman"/>
          <w:b/>
          <w:sz w:val="28"/>
          <w:szCs w:val="22"/>
        </w:rPr>
      </w:pPr>
      <w:r>
        <w:rPr>
          <w:rFonts w:hint="eastAsia" w:ascii="Times New Roman" w:hAnsi="Times New Roman" w:eastAsia="方正仿宋简体" w:cs="Times New Roman"/>
          <w:kern w:val="0"/>
          <w:sz w:val="32"/>
          <w:szCs w:val="32"/>
        </w:rPr>
        <w:t>4.创新发展研究工作经费绩效目标表</w:t>
      </w:r>
      <w:r>
        <w:rPr>
          <w:rFonts w:ascii="等线" w:hAnsi="等线" w:eastAsia="等线" w:cs="Times New Roman"/>
          <w:szCs w:val="22"/>
        </w:rPr>
        <w:fldChar w:fldCharType="begin"/>
      </w:r>
      <w:r>
        <w:rPr>
          <w:rFonts w:ascii="方正仿宋_GBK" w:hAnsi="等线" w:eastAsia="方正仿宋_GBK" w:cs="Times New Roman"/>
          <w:b/>
          <w:sz w:val="28"/>
          <w:szCs w:val="22"/>
        </w:rPr>
        <w:instrText xml:space="preserve"> TC 4、创新发展研究工作经费绩效目标表 \f C \l 1 </w:instrText>
      </w:r>
      <w:r>
        <w:rPr>
          <w:rFonts w:ascii="方正仿宋_GBK" w:hAnsi="等线" w:eastAsia="方正仿宋_GBK" w:cs="Times New Roman"/>
          <w:b/>
          <w:sz w:val="28"/>
          <w:szCs w:val="22"/>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hAnsi="等线" w:eastAsia="方正书宋_GBK" w:cs="Times New Roman"/>
                <w:b/>
                <w:szCs w:val="22"/>
              </w:rPr>
            </w:pPr>
            <w:r>
              <w:rPr>
                <w:rFonts w:ascii="方正书宋_GBK" w:hAnsi="等线" w:eastAsia="方正书宋_GBK" w:cs="Times New Roman"/>
                <w:b/>
                <w:szCs w:val="22"/>
              </w:rPr>
              <w:t>901001北戴河生命健康产业研究院本级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hAnsi="等线" w:eastAsia="方正书宋_GBK" w:cs="Times New Roman"/>
                <w:szCs w:val="22"/>
              </w:rPr>
            </w:pPr>
            <w:r>
              <w:rPr>
                <w:rFonts w:ascii="方正书宋_GBK" w:hAnsi="等线" w:eastAsia="方正书宋_GBK" w:cs="Times New Roman"/>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绩效目标</w:t>
            </w:r>
          </w:p>
        </w:tc>
        <w:tc>
          <w:tcPr>
            <w:tcW w:w="8278" w:type="dxa"/>
            <w:gridSpan w:val="2"/>
            <w:tcBorders>
              <w:bottom w:val="nil"/>
            </w:tcBorders>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紧盯新区相关产业发展动态，围绕新区重点产业及新产业、新业态开展调查研究，针对重点课题撰写调研报告，剖析产业实际、提出发展目标、明确发展路径，努力做新区产业发展的“说明书”、“明白卡”，发挥参谋助手作用。</w:t>
            </w:r>
          </w:p>
        </w:tc>
      </w:tr>
    </w:tbl>
    <w:p>
      <w:pPr>
        <w:spacing w:line="14" w:lineRule="exact"/>
        <w:ind w:firstLine="420" w:firstLineChars="200"/>
        <w:jc w:val="center"/>
        <w:rPr>
          <w:rFonts w:ascii="Times New Roman" w:hAnsi="宋体" w:eastAsia="宋体" w:cs="Times New Roman"/>
          <w:szCs w:val="22"/>
        </w:rPr>
      </w:pPr>
      <w:r>
        <w:rPr>
          <w:rFonts w:ascii="方正书宋_GBK" w:hAnsi="等线" w:eastAsia="方正书宋_GBK" w:cs="Times New Roman"/>
          <w:szCs w:val="22"/>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一级指标</w:t>
            </w:r>
          </w:p>
        </w:tc>
        <w:tc>
          <w:tcPr>
            <w:tcW w:w="1134"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二级指标</w:t>
            </w:r>
          </w:p>
        </w:tc>
        <w:tc>
          <w:tcPr>
            <w:tcW w:w="1276"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三级指标</w:t>
            </w:r>
          </w:p>
        </w:tc>
        <w:tc>
          <w:tcPr>
            <w:tcW w:w="2891"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绩效指标描述</w:t>
            </w:r>
          </w:p>
        </w:tc>
        <w:tc>
          <w:tcPr>
            <w:tcW w:w="1276"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指标值</w:t>
            </w:r>
          </w:p>
        </w:tc>
        <w:tc>
          <w:tcPr>
            <w:tcW w:w="1701"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hAnsi="等线" w:eastAsia="方正书宋_GBK" w:cs="Times New Roman"/>
                <w:szCs w:val="22"/>
              </w:rPr>
            </w:pPr>
            <w:r>
              <w:rPr>
                <w:rFonts w:ascii="方正书宋_GBK" w:hAnsi="等线" w:eastAsia="方正书宋_GBK" w:cs="Times New Roman"/>
                <w:szCs w:val="22"/>
              </w:rPr>
              <w:t>产出指标</w:t>
            </w: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数量指标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完成专题课题研究</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形成调研报告数量</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≥8个</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数量指标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参与决策咨询活动</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参与决策咨询活动次数</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≥10次</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质量指标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研究课题达标率</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针对重点课题撰写调研报告，剖析产业实际、提出发展目标、明确发展路径，努力做我区产业发展的“说明书”、“明白卡”，发挥参谋助手作用。</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100%</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时效指标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调研报告完成及时率</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在领导规定时间内完成调研任务</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≤12月</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成本指标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印刷费</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支付调研参考资料印刷费</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≤20000元</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成本指标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办公费</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创新发展研究工作所需日常办公费用</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≤30000元</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成本指标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差旅费</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工作人员外出调研参加会议差旅费</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≤100000元</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成本指标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调研费</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用于课题研究费用</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≤50000元</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hAnsi="等线" w:eastAsia="方正书宋_GBK" w:cs="Times New Roman"/>
                <w:szCs w:val="22"/>
              </w:rPr>
            </w:pPr>
            <w:r>
              <w:rPr>
                <w:rFonts w:ascii="方正书宋_GBK" w:hAnsi="等线" w:eastAsia="方正书宋_GBK" w:cs="Times New Roman"/>
                <w:szCs w:val="22"/>
              </w:rPr>
              <w:t>效益指标</w:t>
            </w: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社会效益指标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引入企业或项目数量</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借助政策优势引入企业、项目数量</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≥2个</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hAnsi="等线" w:eastAsia="方正书宋_GBK" w:cs="Times New Roman"/>
                <w:szCs w:val="22"/>
              </w:rPr>
            </w:pPr>
            <w:r>
              <w:rPr>
                <w:rFonts w:ascii="方正书宋_GBK" w:hAnsi="等线" w:eastAsia="方正书宋_GBK" w:cs="Times New Roman"/>
                <w:szCs w:val="22"/>
              </w:rPr>
              <w:t>满意度指标</w:t>
            </w: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服务对象满意度指标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服务对象满意度</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被调查单位或群体对本部门工作的满意程度</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≥90%</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综合调查结果</w:t>
            </w:r>
          </w:p>
        </w:tc>
      </w:tr>
    </w:tbl>
    <w:p>
      <w:pPr>
        <w:spacing w:line="300" w:lineRule="exact"/>
        <w:ind w:firstLine="42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rPr>
          <w:rFonts w:ascii="等线" w:hAnsi="等线" w:eastAsia="等线" w:cs="Times New Roman"/>
          <w:szCs w:val="22"/>
        </w:rPr>
      </w:pPr>
    </w:p>
    <w:p>
      <w:pPr>
        <w:ind w:firstLine="640" w:firstLineChars="200"/>
        <w:jc w:val="left"/>
        <w:outlineLvl w:val="3"/>
        <w:rPr>
          <w:rFonts w:ascii="Times New Roman" w:hAnsi="宋体" w:eastAsia="宋体" w:cs="Times New Roman"/>
          <w:b/>
          <w:sz w:val="28"/>
          <w:szCs w:val="22"/>
        </w:rPr>
      </w:pPr>
      <w:r>
        <w:rPr>
          <w:rFonts w:hint="eastAsia" w:ascii="Times New Roman" w:hAnsi="Times New Roman" w:eastAsia="方正仿宋简体" w:cs="Times New Roman"/>
          <w:kern w:val="0"/>
          <w:sz w:val="32"/>
          <w:szCs w:val="32"/>
        </w:rPr>
        <w:t>5.北戴河生命健康产业创新示范区专家咨询委员会秘书处经费绩效目标表</w:t>
      </w:r>
      <w:r>
        <w:rPr>
          <w:rFonts w:ascii="等线" w:hAnsi="等线" w:eastAsia="等线" w:cs="Times New Roman"/>
          <w:szCs w:val="22"/>
        </w:rPr>
        <w:fldChar w:fldCharType="begin"/>
      </w:r>
      <w:r>
        <w:rPr>
          <w:rFonts w:ascii="方正仿宋_GBK" w:hAnsi="等线" w:eastAsia="方正仿宋_GBK" w:cs="Times New Roman"/>
          <w:b/>
          <w:sz w:val="28"/>
          <w:szCs w:val="22"/>
        </w:rPr>
        <w:instrText xml:space="preserve"> TC 5、北戴河生命健康产业创新示范区专家咨询委员会秘书处经费绩效目标表 \f C \l 1 </w:instrText>
      </w:r>
      <w:r>
        <w:rPr>
          <w:rFonts w:ascii="方正仿宋_GBK" w:hAnsi="等线" w:eastAsia="方正仿宋_GBK" w:cs="Times New Roman"/>
          <w:b/>
          <w:sz w:val="28"/>
          <w:szCs w:val="22"/>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hAnsi="等线" w:eastAsia="方正书宋_GBK" w:cs="Times New Roman"/>
                <w:b/>
                <w:szCs w:val="22"/>
              </w:rPr>
            </w:pPr>
            <w:r>
              <w:rPr>
                <w:rFonts w:ascii="方正书宋_GBK" w:hAnsi="等线" w:eastAsia="方正书宋_GBK" w:cs="Times New Roman"/>
                <w:b/>
                <w:szCs w:val="22"/>
              </w:rPr>
              <w:t>901001北戴河生命健康产业研究院本级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hAnsi="等线" w:eastAsia="方正书宋_GBK" w:cs="Times New Roman"/>
                <w:szCs w:val="22"/>
              </w:rPr>
            </w:pPr>
            <w:r>
              <w:rPr>
                <w:rFonts w:ascii="方正书宋_GBK" w:hAnsi="等线" w:eastAsia="方正书宋_GBK" w:cs="Times New Roman"/>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绩效目标</w:t>
            </w:r>
          </w:p>
        </w:tc>
        <w:tc>
          <w:tcPr>
            <w:tcW w:w="8278" w:type="dxa"/>
            <w:gridSpan w:val="2"/>
            <w:tcBorders>
              <w:bottom w:val="nil"/>
            </w:tcBorders>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1.通过示范区专家咨询委员会秘书处开展论文调研、课题研究等工作，为示范区建设提供政策咨询服务。</w:t>
            </w:r>
          </w:p>
        </w:tc>
      </w:tr>
    </w:tbl>
    <w:p>
      <w:pPr>
        <w:spacing w:line="14" w:lineRule="exact"/>
        <w:ind w:firstLine="420" w:firstLineChars="200"/>
        <w:jc w:val="center"/>
        <w:rPr>
          <w:rFonts w:ascii="Times New Roman" w:hAnsi="宋体" w:eastAsia="宋体" w:cs="Times New Roman"/>
          <w:szCs w:val="22"/>
        </w:rPr>
      </w:pPr>
      <w:r>
        <w:rPr>
          <w:rFonts w:ascii="方正书宋_GBK" w:hAnsi="等线" w:eastAsia="方正书宋_GBK" w:cs="Times New Roman"/>
          <w:szCs w:val="22"/>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一级指标</w:t>
            </w:r>
          </w:p>
        </w:tc>
        <w:tc>
          <w:tcPr>
            <w:tcW w:w="1134"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二级指标</w:t>
            </w:r>
          </w:p>
        </w:tc>
        <w:tc>
          <w:tcPr>
            <w:tcW w:w="1276"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三级指标</w:t>
            </w:r>
          </w:p>
        </w:tc>
        <w:tc>
          <w:tcPr>
            <w:tcW w:w="2891"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绩效指标描述</w:t>
            </w:r>
          </w:p>
        </w:tc>
        <w:tc>
          <w:tcPr>
            <w:tcW w:w="1276"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指标值</w:t>
            </w:r>
          </w:p>
        </w:tc>
        <w:tc>
          <w:tcPr>
            <w:tcW w:w="1701" w:type="dxa"/>
            <w:noWrap w:val="0"/>
            <w:vAlign w:val="center"/>
          </w:tcPr>
          <w:p>
            <w:pPr>
              <w:spacing w:line="300" w:lineRule="exact"/>
              <w:jc w:val="center"/>
              <w:rPr>
                <w:rFonts w:ascii="方正书宋_GBK" w:hAnsi="等线" w:eastAsia="方正书宋_GBK" w:cs="Times New Roman"/>
                <w:b/>
                <w:szCs w:val="22"/>
              </w:rPr>
            </w:pPr>
            <w:r>
              <w:rPr>
                <w:rFonts w:ascii="方正书宋_GBK" w:hAnsi="等线" w:eastAsia="方正书宋_GBK" w:cs="Times New Roman"/>
                <w:b/>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hAnsi="等线" w:eastAsia="方正书宋_GBK" w:cs="Times New Roman"/>
                <w:szCs w:val="22"/>
              </w:rPr>
            </w:pPr>
            <w:r>
              <w:rPr>
                <w:rFonts w:ascii="方正书宋_GBK" w:hAnsi="等线" w:eastAsia="方正书宋_GBK" w:cs="Times New Roman"/>
                <w:szCs w:val="22"/>
              </w:rPr>
              <w:t>产出指标</w:t>
            </w: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数量指标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论文调研报告数量</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专家委员发表的研究课题数量</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≥5个</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数量指标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研究制定调研课题</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形成调研报告数量</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≥5个</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数量指标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加强与专家的沟通联络</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参与决策咨询活动次数</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≥10次</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数量指标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形成可行性调研报告数量</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专家委员对示范区发展提出的可行性报告</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≥2个</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质量指标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研究课题、论文发布率</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研究课题、论文发布情况</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≥95%</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质量指标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可研报告通过率</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可研报告编制申请批复通过率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100%</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时效指标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及时性</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按各项任务时间节点及时完成</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≤12月</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成本指标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聘用专家费用</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年度内聘用专家劳务费用</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8000元/月</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ascii="方正书宋_GBK" w:hAnsi="等线" w:eastAsia="方正书宋_GBK" w:cs="Times New Roman"/>
                <w:szCs w:val="22"/>
              </w:rPr>
            </w:pP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成本指标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办公费用</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日常办公费用</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54000元</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hAnsi="等线" w:eastAsia="方正书宋_GBK" w:cs="Times New Roman"/>
                <w:szCs w:val="22"/>
              </w:rPr>
            </w:pPr>
            <w:r>
              <w:rPr>
                <w:rFonts w:ascii="方正书宋_GBK" w:hAnsi="等线" w:eastAsia="方正书宋_GBK" w:cs="Times New Roman"/>
                <w:szCs w:val="22"/>
              </w:rPr>
              <w:t>效益指标</w:t>
            </w: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社会效益指标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引入企业或项目数量</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借助政策优势引入企业、项目数量</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≥2个</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hAnsi="等线" w:eastAsia="方正书宋_GBK" w:cs="Times New Roman"/>
                <w:szCs w:val="22"/>
              </w:rPr>
            </w:pPr>
            <w:r>
              <w:rPr>
                <w:rFonts w:ascii="方正书宋_GBK" w:hAnsi="等线" w:eastAsia="方正书宋_GBK" w:cs="Times New Roman"/>
                <w:szCs w:val="22"/>
              </w:rPr>
              <w:t>满意度指标</w:t>
            </w:r>
          </w:p>
        </w:tc>
        <w:tc>
          <w:tcPr>
            <w:tcW w:w="1134"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服务对象满意度指标</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服务对象满意度</w:t>
            </w:r>
          </w:p>
        </w:tc>
        <w:tc>
          <w:tcPr>
            <w:tcW w:w="289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被调查单位或群体对本部门工作的满意程度</w:t>
            </w:r>
          </w:p>
        </w:tc>
        <w:tc>
          <w:tcPr>
            <w:tcW w:w="1276"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≥90%</w:t>
            </w:r>
          </w:p>
        </w:tc>
        <w:tc>
          <w:tcPr>
            <w:tcW w:w="1701" w:type="dxa"/>
            <w:noWrap w:val="0"/>
            <w:vAlign w:val="center"/>
          </w:tcPr>
          <w:p>
            <w:pPr>
              <w:spacing w:line="300" w:lineRule="exact"/>
              <w:jc w:val="left"/>
              <w:rPr>
                <w:rFonts w:ascii="方正书宋_GBK" w:hAnsi="等线" w:eastAsia="方正书宋_GBK" w:cs="Times New Roman"/>
                <w:szCs w:val="22"/>
              </w:rPr>
            </w:pPr>
            <w:r>
              <w:rPr>
                <w:rFonts w:ascii="方正书宋_GBK" w:hAnsi="等线" w:eastAsia="方正书宋_GBK" w:cs="Times New Roman"/>
                <w:szCs w:val="22"/>
              </w:rPr>
              <w:t>综合调查结果</w:t>
            </w:r>
          </w:p>
        </w:tc>
      </w:tr>
    </w:tbl>
    <w:p>
      <w:pPr>
        <w:jc w:val="left"/>
        <w:rPr>
          <w:rFonts w:hint="eastAsia" w:ascii="方正仿宋简体" w:hAnsi="方正仿宋简体" w:eastAsia="方正仿宋简体" w:cs="方正仿宋简体"/>
          <w:sz w:val="28"/>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b w:val="0"/>
          <w:bCs/>
          <w:color w:val="auto"/>
          <w:sz w:val="32"/>
          <w:szCs w:val="22"/>
        </w:rPr>
      </w:pPr>
    </w:p>
    <w:p>
      <w:pPr>
        <w:widowControl/>
        <w:spacing w:before="10" w:after="10" w:line="240" w:lineRule="auto"/>
        <w:ind w:firstLine="640"/>
        <w:jc w:val="left"/>
        <w:outlineLvl w:val="2"/>
        <w:rPr>
          <w:rFonts w:ascii="Times New Roman" w:hAnsi="Times New Roman" w:eastAsia="Times New Roman"/>
          <w:kern w:val="0"/>
          <w:sz w:val="24"/>
          <w:lang w:eastAsia="uk-UA"/>
        </w:rPr>
      </w:pPr>
      <w:r>
        <w:rPr>
          <w:rFonts w:ascii="黑体" w:hAnsi="黑体" w:eastAsia="黑体" w:cs="黑体"/>
          <w:color w:val="000000"/>
          <w:kern w:val="0"/>
          <w:sz w:val="32"/>
          <w:lang w:eastAsia="uk-UA"/>
        </w:rPr>
        <w:t>六、政府采购预算情况</w:t>
      </w:r>
    </w:p>
    <w:p>
      <w:pPr>
        <w:widowControl/>
        <w:spacing w:before="0" w:after="0" w:line="500" w:lineRule="exact"/>
        <w:ind w:firstLine="560"/>
        <w:jc w:val="left"/>
        <w:outlineLvl w:val="9"/>
        <w:rPr>
          <w:rFonts w:ascii="Times New Roman" w:hAnsi="Times New Roman" w:eastAsia="Times New Roman"/>
          <w:kern w:val="0"/>
          <w:sz w:val="24"/>
          <w:lang w:eastAsia="uk-UA"/>
        </w:rPr>
      </w:pPr>
      <w:r>
        <w:rPr>
          <w:rFonts w:ascii="Times New Roman" w:hAnsi="Times New Roman" w:eastAsia="方正仿宋_GBK" w:cs="Times New Roman"/>
          <w:b w:val="0"/>
          <w:color w:val="000000"/>
          <w:kern w:val="0"/>
          <w:sz w:val="28"/>
          <w:lang w:eastAsia="uk-UA"/>
        </w:rPr>
        <w:t>202</w:t>
      </w:r>
      <w:r>
        <w:rPr>
          <w:rFonts w:hint="eastAsia" w:ascii="Times New Roman" w:hAnsi="Times New Roman" w:eastAsia="方正仿宋_GBK" w:cs="Times New Roman"/>
          <w:b w:val="0"/>
          <w:color w:val="000000"/>
          <w:kern w:val="0"/>
          <w:sz w:val="28"/>
          <w:lang w:val="en-US" w:eastAsia="zh-CN"/>
        </w:rPr>
        <w:t>1</w:t>
      </w:r>
      <w:r>
        <w:rPr>
          <w:rFonts w:ascii="Times New Roman" w:hAnsi="Times New Roman" w:eastAsia="方正仿宋_GBK" w:cs="Times New Roman"/>
          <w:b w:val="0"/>
          <w:color w:val="000000"/>
          <w:kern w:val="0"/>
          <w:sz w:val="28"/>
          <w:lang w:eastAsia="uk-UA"/>
        </w:rPr>
        <w:t>年，北戴河生命健康产业研究院安排政府采购预算0.00万元。具体内容见下表。</w:t>
      </w:r>
    </w:p>
    <w:p>
      <w:pPr>
        <w:widowControl/>
        <w:spacing w:before="0" w:after="0" w:line="240" w:lineRule="auto"/>
        <w:ind w:firstLine="0"/>
        <w:jc w:val="center"/>
        <w:outlineLvl w:val="9"/>
        <w:rPr>
          <w:rFonts w:ascii="Times New Roman" w:hAnsi="Times New Roman" w:eastAsia="Times New Roman"/>
          <w:kern w:val="0"/>
          <w:sz w:val="24"/>
          <w:lang w:eastAsia="uk-UA"/>
        </w:rPr>
      </w:pPr>
      <w:r>
        <w:rPr>
          <w:rFonts w:hint="eastAsia" w:ascii="方正小标宋_GBK" w:hAnsi="方正小标宋_GBK" w:eastAsia="方正小标宋_GBK" w:cs="方正小标宋_GBK"/>
          <w:color w:val="000000"/>
          <w:kern w:val="0"/>
          <w:sz w:val="36"/>
          <w:lang w:eastAsia="zh-CN"/>
        </w:rPr>
        <w:t>单位</w:t>
      </w:r>
      <w:r>
        <w:rPr>
          <w:rFonts w:ascii="方正小标宋_GBK" w:hAnsi="方正小标宋_GBK" w:eastAsia="方正小标宋_GBK" w:cs="方正小标宋_GBK"/>
          <w:color w:val="000000"/>
          <w:kern w:val="0"/>
          <w:sz w:val="36"/>
          <w:lang w:eastAsia="uk-UA"/>
        </w:rPr>
        <w:t>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widowControl/>
              <w:rPr>
                <w:kern w:val="0"/>
              </w:rPr>
            </w:pPr>
            <w:r>
              <w:rPr>
                <w:rFonts w:hint="eastAsia"/>
                <w:kern w:val="0"/>
              </w:rPr>
              <w:t>901001北戴河生命健康产业研究院本级</w:t>
            </w:r>
          </w:p>
        </w:tc>
        <w:tc>
          <w:tcPr>
            <w:tcW w:w="8674" w:type="dxa"/>
            <w:gridSpan w:val="9"/>
            <w:tcBorders>
              <w:top w:val="single" w:color="FFFFFF" w:sz="6" w:space="0"/>
              <w:left w:val="single" w:color="FFFFFF" w:sz="6" w:space="0"/>
              <w:right w:val="single" w:color="FFFFFF" w:sz="6" w:space="0"/>
            </w:tcBorders>
            <w:vAlign w:val="center"/>
          </w:tcPr>
          <w:p>
            <w:pPr>
              <w:pStyle w:val="8"/>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widowControl/>
              <w:rPr>
                <w:kern w:val="0"/>
              </w:rPr>
            </w:pPr>
            <w:r>
              <w:rPr>
                <w:kern w:val="0"/>
              </w:rPr>
              <w:t>政府采购项目来源</w:t>
            </w:r>
          </w:p>
        </w:tc>
        <w:tc>
          <w:tcPr>
            <w:tcW w:w="1134" w:type="dxa"/>
            <w:vMerge w:val="restart"/>
            <w:vAlign w:val="center"/>
          </w:tcPr>
          <w:p>
            <w:pPr>
              <w:pStyle w:val="9"/>
              <w:widowControl/>
              <w:rPr>
                <w:kern w:val="0"/>
              </w:rPr>
            </w:pPr>
            <w:r>
              <w:rPr>
                <w:kern w:val="0"/>
              </w:rPr>
              <w:t>采购物品名称</w:t>
            </w:r>
          </w:p>
        </w:tc>
        <w:tc>
          <w:tcPr>
            <w:tcW w:w="1134" w:type="dxa"/>
            <w:vMerge w:val="restart"/>
            <w:vAlign w:val="center"/>
          </w:tcPr>
          <w:p>
            <w:pPr>
              <w:pStyle w:val="9"/>
              <w:widowControl/>
              <w:rPr>
                <w:kern w:val="0"/>
              </w:rPr>
            </w:pPr>
            <w:r>
              <w:rPr>
                <w:kern w:val="0"/>
              </w:rPr>
              <w:t>政府采购目录序号</w:t>
            </w:r>
          </w:p>
        </w:tc>
        <w:tc>
          <w:tcPr>
            <w:tcW w:w="709" w:type="dxa"/>
            <w:vMerge w:val="restart"/>
            <w:vAlign w:val="center"/>
          </w:tcPr>
          <w:p>
            <w:pPr>
              <w:pStyle w:val="9"/>
              <w:widowControl/>
              <w:rPr>
                <w:kern w:val="0"/>
              </w:rPr>
            </w:pPr>
            <w:r>
              <w:rPr>
                <w:kern w:val="0"/>
              </w:rPr>
              <w:t>计量  单位</w:t>
            </w:r>
          </w:p>
        </w:tc>
        <w:tc>
          <w:tcPr>
            <w:tcW w:w="850" w:type="dxa"/>
            <w:vMerge w:val="restart"/>
            <w:vAlign w:val="center"/>
          </w:tcPr>
          <w:p>
            <w:pPr>
              <w:pStyle w:val="9"/>
              <w:widowControl/>
              <w:rPr>
                <w:kern w:val="0"/>
              </w:rPr>
            </w:pPr>
            <w:r>
              <w:rPr>
                <w:kern w:val="0"/>
              </w:rPr>
              <w:t>数量</w:t>
            </w:r>
          </w:p>
        </w:tc>
        <w:tc>
          <w:tcPr>
            <w:tcW w:w="850" w:type="dxa"/>
            <w:vMerge w:val="restart"/>
            <w:vAlign w:val="center"/>
          </w:tcPr>
          <w:p>
            <w:pPr>
              <w:pStyle w:val="9"/>
              <w:widowControl/>
              <w:rPr>
                <w:kern w:val="0"/>
              </w:rPr>
            </w:pPr>
            <w:r>
              <w:rPr>
                <w:kern w:val="0"/>
              </w:rPr>
              <w:t>单价</w:t>
            </w:r>
          </w:p>
        </w:tc>
        <w:tc>
          <w:tcPr>
            <w:tcW w:w="7710" w:type="dxa"/>
            <w:gridSpan w:val="8"/>
            <w:vAlign w:val="center"/>
          </w:tcPr>
          <w:p>
            <w:pPr>
              <w:pStyle w:val="9"/>
              <w:widowControl/>
              <w:rPr>
                <w:kern w:val="0"/>
              </w:rPr>
            </w:pPr>
            <w:r>
              <w:rPr>
                <w:kern w:val="0"/>
              </w:rPr>
              <w:t>政府采购金额（当年</w:t>
            </w:r>
            <w:r>
              <w:rPr>
                <w:rFonts w:hint="eastAsia"/>
                <w:kern w:val="0"/>
                <w:lang w:eastAsia="zh-CN"/>
              </w:rPr>
              <w:t>单位</w:t>
            </w:r>
            <w:r>
              <w:rPr>
                <w:kern w:val="0"/>
              </w:rPr>
              <w:t>预算安排资金）</w:t>
            </w:r>
          </w:p>
        </w:tc>
        <w:tc>
          <w:tcPr>
            <w:tcW w:w="964" w:type="dxa"/>
            <w:vMerge w:val="restart"/>
            <w:vAlign w:val="center"/>
          </w:tcPr>
          <w:p>
            <w:pPr>
              <w:pStyle w:val="9"/>
              <w:widowControl/>
              <w:rPr>
                <w:kern w:val="0"/>
              </w:rPr>
            </w:pPr>
            <w:r>
              <w:rPr>
                <w:kern w:val="0"/>
              </w:rPr>
              <w:t>202</w:t>
            </w:r>
            <w:r>
              <w:rPr>
                <w:rFonts w:hint="eastAsia"/>
                <w:kern w:val="0"/>
                <w:lang w:val="en-US" w:eastAsia="zh-CN"/>
              </w:rPr>
              <w:t>1</w:t>
            </w:r>
            <w:r>
              <w:rPr>
                <w:kern w:val="0"/>
              </w:rP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widowControl/>
              <w:rPr>
                <w:kern w:val="0"/>
              </w:rPr>
            </w:pPr>
            <w:r>
              <w:rPr>
                <w:kern w:val="0"/>
              </w:rPr>
              <w:t>项目名称</w:t>
            </w:r>
          </w:p>
        </w:tc>
        <w:tc>
          <w:tcPr>
            <w:tcW w:w="964" w:type="dxa"/>
            <w:vAlign w:val="center"/>
          </w:tcPr>
          <w:p>
            <w:pPr>
              <w:pStyle w:val="9"/>
              <w:widowControl/>
              <w:rPr>
                <w:kern w:val="0"/>
              </w:rPr>
            </w:pPr>
            <w:r>
              <w:rPr>
                <w:kern w:val="0"/>
              </w:rPr>
              <w:t>预算    资金</w:t>
            </w:r>
          </w:p>
        </w:tc>
        <w:tc>
          <w:tcPr>
            <w:tcW w:w="1134" w:type="dxa"/>
            <w:vMerge w:val="continue"/>
          </w:tcPr>
          <w:p>
            <w:pPr>
              <w:widowControl/>
              <w:jc w:val="left"/>
              <w:rPr>
                <w:rFonts w:ascii="Times New Roman" w:hAnsi="Times New Roman" w:eastAsia="Times New Roman"/>
                <w:kern w:val="0"/>
                <w:sz w:val="24"/>
                <w:lang w:eastAsia="uk-UA"/>
              </w:rPr>
            </w:pPr>
          </w:p>
        </w:tc>
        <w:tc>
          <w:tcPr>
            <w:tcW w:w="1134" w:type="dxa"/>
            <w:vMerge w:val="continue"/>
          </w:tcPr>
          <w:p>
            <w:pPr>
              <w:widowControl/>
              <w:jc w:val="left"/>
              <w:rPr>
                <w:rFonts w:ascii="Times New Roman" w:hAnsi="Times New Roman" w:eastAsia="Times New Roman"/>
                <w:kern w:val="0"/>
                <w:sz w:val="24"/>
                <w:lang w:eastAsia="uk-UA"/>
              </w:rPr>
            </w:pPr>
          </w:p>
        </w:tc>
        <w:tc>
          <w:tcPr>
            <w:tcW w:w="709" w:type="dxa"/>
            <w:vMerge w:val="continue"/>
          </w:tcPr>
          <w:p>
            <w:pPr>
              <w:widowControl/>
              <w:jc w:val="left"/>
              <w:rPr>
                <w:rFonts w:ascii="Times New Roman" w:hAnsi="Times New Roman" w:eastAsia="Times New Roman"/>
                <w:kern w:val="0"/>
                <w:sz w:val="24"/>
                <w:lang w:eastAsia="uk-UA"/>
              </w:rPr>
            </w:pPr>
          </w:p>
        </w:tc>
        <w:tc>
          <w:tcPr>
            <w:tcW w:w="850" w:type="dxa"/>
            <w:vMerge w:val="continue"/>
          </w:tcPr>
          <w:p>
            <w:pPr>
              <w:widowControl/>
              <w:jc w:val="left"/>
              <w:rPr>
                <w:rFonts w:ascii="Times New Roman" w:hAnsi="Times New Roman" w:eastAsia="Times New Roman"/>
                <w:kern w:val="0"/>
                <w:sz w:val="24"/>
                <w:lang w:eastAsia="uk-UA"/>
              </w:rPr>
            </w:pPr>
          </w:p>
        </w:tc>
        <w:tc>
          <w:tcPr>
            <w:tcW w:w="850" w:type="dxa"/>
            <w:vMerge w:val="continue"/>
          </w:tcPr>
          <w:p>
            <w:pPr>
              <w:widowControl/>
              <w:jc w:val="left"/>
              <w:rPr>
                <w:rFonts w:ascii="Times New Roman" w:hAnsi="Times New Roman" w:eastAsia="Times New Roman"/>
                <w:kern w:val="0"/>
                <w:sz w:val="24"/>
                <w:lang w:eastAsia="uk-UA"/>
              </w:rPr>
            </w:pPr>
          </w:p>
        </w:tc>
        <w:tc>
          <w:tcPr>
            <w:tcW w:w="964" w:type="dxa"/>
            <w:vAlign w:val="center"/>
          </w:tcPr>
          <w:p>
            <w:pPr>
              <w:pStyle w:val="9"/>
              <w:widowControl/>
              <w:rPr>
                <w:kern w:val="0"/>
              </w:rPr>
            </w:pPr>
            <w:r>
              <w:rPr>
                <w:kern w:val="0"/>
              </w:rPr>
              <w:t>合计</w:t>
            </w:r>
          </w:p>
        </w:tc>
        <w:tc>
          <w:tcPr>
            <w:tcW w:w="964" w:type="dxa"/>
            <w:vAlign w:val="center"/>
          </w:tcPr>
          <w:p>
            <w:pPr>
              <w:pStyle w:val="9"/>
              <w:widowControl/>
              <w:rPr>
                <w:kern w:val="0"/>
              </w:rPr>
            </w:pPr>
            <w:r>
              <w:rPr>
                <w:kern w:val="0"/>
              </w:rPr>
              <w:t>一般公共预算拨款</w:t>
            </w:r>
          </w:p>
        </w:tc>
        <w:tc>
          <w:tcPr>
            <w:tcW w:w="964" w:type="dxa"/>
            <w:vAlign w:val="center"/>
          </w:tcPr>
          <w:p>
            <w:pPr>
              <w:pStyle w:val="9"/>
              <w:widowControl/>
              <w:rPr>
                <w:kern w:val="0"/>
              </w:rPr>
            </w:pPr>
            <w:r>
              <w:rPr>
                <w:kern w:val="0"/>
              </w:rPr>
              <w:t>基金预算拨款</w:t>
            </w:r>
          </w:p>
        </w:tc>
        <w:tc>
          <w:tcPr>
            <w:tcW w:w="964" w:type="dxa"/>
            <w:vAlign w:val="center"/>
          </w:tcPr>
          <w:p>
            <w:pPr>
              <w:pStyle w:val="9"/>
              <w:widowControl/>
              <w:rPr>
                <w:kern w:val="0"/>
              </w:rPr>
            </w:pPr>
            <w:r>
              <w:rPr>
                <w:kern w:val="0"/>
              </w:rPr>
              <w:t>国有资本经营预算拨款</w:t>
            </w:r>
          </w:p>
        </w:tc>
        <w:tc>
          <w:tcPr>
            <w:tcW w:w="964" w:type="dxa"/>
            <w:vAlign w:val="center"/>
          </w:tcPr>
          <w:p>
            <w:pPr>
              <w:pStyle w:val="9"/>
              <w:widowControl/>
              <w:rPr>
                <w:kern w:val="0"/>
              </w:rPr>
            </w:pPr>
            <w:r>
              <w:rPr>
                <w:kern w:val="0"/>
              </w:rPr>
              <w:t>财政专户核拨</w:t>
            </w:r>
          </w:p>
        </w:tc>
        <w:tc>
          <w:tcPr>
            <w:tcW w:w="964" w:type="dxa"/>
            <w:vAlign w:val="center"/>
          </w:tcPr>
          <w:p>
            <w:pPr>
              <w:pStyle w:val="9"/>
              <w:widowControl/>
              <w:rPr>
                <w:kern w:val="0"/>
              </w:rPr>
            </w:pPr>
            <w:r>
              <w:rPr>
                <w:kern w:val="0"/>
              </w:rPr>
              <w:t>单位    资金</w:t>
            </w:r>
          </w:p>
        </w:tc>
        <w:tc>
          <w:tcPr>
            <w:tcW w:w="964" w:type="dxa"/>
            <w:vAlign w:val="center"/>
          </w:tcPr>
          <w:p>
            <w:pPr>
              <w:pStyle w:val="9"/>
              <w:widowControl/>
              <w:rPr>
                <w:kern w:val="0"/>
              </w:rPr>
            </w:pPr>
            <w:r>
              <w:rPr>
                <w:kern w:val="0"/>
              </w:rPr>
              <w:t>财政拨    款结转</w:t>
            </w:r>
          </w:p>
        </w:tc>
        <w:tc>
          <w:tcPr>
            <w:tcW w:w="964" w:type="dxa"/>
            <w:vAlign w:val="center"/>
          </w:tcPr>
          <w:p>
            <w:pPr>
              <w:pStyle w:val="9"/>
              <w:widowControl/>
              <w:rPr>
                <w:kern w:val="0"/>
              </w:rPr>
            </w:pPr>
            <w:r>
              <w:rPr>
                <w:kern w:val="0"/>
              </w:rPr>
              <w:t>非财政    拨款结    转结余</w:t>
            </w:r>
          </w:p>
        </w:tc>
        <w:tc>
          <w:tcPr>
            <w:tcW w:w="964" w:type="dxa"/>
            <w:vMerge w:val="continue"/>
          </w:tcPr>
          <w:p>
            <w:pPr>
              <w:widowControl/>
              <w:jc w:val="left"/>
              <w:rPr>
                <w:rFonts w:ascii="Times New Roman" w:hAnsi="Times New Roman" w:eastAsia="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widowControl/>
              <w:rPr>
                <w:kern w:val="0"/>
              </w:rPr>
            </w:pPr>
          </w:p>
        </w:tc>
        <w:tc>
          <w:tcPr>
            <w:tcW w:w="964" w:type="dxa"/>
            <w:vAlign w:val="center"/>
          </w:tcPr>
          <w:p>
            <w:pPr>
              <w:pStyle w:val="11"/>
              <w:widowControl/>
              <w:rPr>
                <w:kern w:val="0"/>
              </w:rPr>
            </w:pPr>
          </w:p>
        </w:tc>
        <w:tc>
          <w:tcPr>
            <w:tcW w:w="1134" w:type="dxa"/>
            <w:vAlign w:val="center"/>
          </w:tcPr>
          <w:p>
            <w:pPr>
              <w:pStyle w:val="10"/>
              <w:widowControl/>
              <w:rPr>
                <w:kern w:val="0"/>
              </w:rPr>
            </w:pPr>
          </w:p>
        </w:tc>
        <w:tc>
          <w:tcPr>
            <w:tcW w:w="1134" w:type="dxa"/>
            <w:vAlign w:val="center"/>
          </w:tcPr>
          <w:p>
            <w:pPr>
              <w:pStyle w:val="10"/>
              <w:widowControl/>
              <w:rPr>
                <w:kern w:val="0"/>
              </w:rPr>
            </w:pPr>
          </w:p>
        </w:tc>
        <w:tc>
          <w:tcPr>
            <w:tcW w:w="709" w:type="dxa"/>
            <w:vAlign w:val="center"/>
          </w:tcPr>
          <w:p>
            <w:pPr>
              <w:pStyle w:val="12"/>
              <w:widowControl/>
              <w:rPr>
                <w:kern w:val="0"/>
              </w:rPr>
            </w:pPr>
          </w:p>
        </w:tc>
        <w:tc>
          <w:tcPr>
            <w:tcW w:w="850" w:type="dxa"/>
            <w:vAlign w:val="center"/>
          </w:tcPr>
          <w:p>
            <w:pPr>
              <w:pStyle w:val="11"/>
              <w:widowControl/>
              <w:rPr>
                <w:kern w:val="0"/>
              </w:rPr>
            </w:pPr>
          </w:p>
        </w:tc>
        <w:tc>
          <w:tcPr>
            <w:tcW w:w="850"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r>
    </w:tbl>
    <w:p>
      <w:pPr>
        <w:widowControl/>
        <w:spacing w:before="0" w:after="0" w:line="500" w:lineRule="exact"/>
        <w:ind w:firstLine="420"/>
        <w:jc w:val="left"/>
        <w:outlineLvl w:val="9"/>
        <w:rPr>
          <w:rFonts w:ascii="Times New Roman" w:hAnsi="Times New Roman" w:eastAsia="Times New Roman"/>
          <w:kern w:val="0"/>
          <w:sz w:val="24"/>
          <w:lang w:eastAsia="uk-UA"/>
        </w:rPr>
      </w:pPr>
      <w:r>
        <w:rPr>
          <w:rFonts w:ascii="方正书宋_GBK" w:hAnsi="方正书宋_GBK" w:eastAsia="方正书宋_GBK" w:cs="方正书宋_GBK"/>
          <w:color w:val="000000"/>
          <w:kern w:val="0"/>
          <w:sz w:val="21"/>
          <w:lang w:eastAsia="uk-UA"/>
        </w:rPr>
        <w:t>注：同一采购目录序号的物品，其单价会因配置规格不同而变动，均符合资产配置标准。涉密采购事项按照相关规定执行。</w:t>
      </w:r>
    </w:p>
    <w:p>
      <w:pPr>
        <w:widowControl/>
        <w:spacing w:before="0" w:after="0" w:line="240" w:lineRule="auto"/>
        <w:ind w:firstLine="420"/>
        <w:jc w:val="left"/>
        <w:outlineLvl w:val="9"/>
        <w:rPr>
          <w:rFonts w:ascii="方正书宋_GBK" w:hAnsi="方正书宋_GBK" w:eastAsia="方正书宋_GBK" w:cs="方正书宋_GBK"/>
          <w:color w:val="000000"/>
          <w:kern w:val="0"/>
          <w:sz w:val="21"/>
          <w:lang w:eastAsia="uk-UA"/>
        </w:rPr>
      </w:pPr>
      <w:r>
        <w:rPr>
          <w:rFonts w:ascii="方正书宋_GBK" w:hAnsi="方正书宋_GBK" w:eastAsia="方正书宋_GBK" w:cs="方正书宋_GBK"/>
          <w:color w:val="000000"/>
          <w:kern w:val="0"/>
          <w:sz w:val="21"/>
          <w:lang w:eastAsia="uk-UA"/>
        </w:rPr>
        <w:t>注：无政府采购预算，空表列示。</w:t>
      </w:r>
    </w:p>
    <w:p>
      <w:pPr>
        <w:widowControl/>
        <w:spacing w:before="10" w:after="10" w:line="240" w:lineRule="auto"/>
        <w:ind w:firstLine="640"/>
        <w:jc w:val="left"/>
        <w:outlineLvl w:val="2"/>
        <w:rPr>
          <w:rFonts w:hint="eastAsia" w:ascii="方正小标宋简体" w:hAnsi="方正小标宋简体" w:eastAsia="方正小标宋简体" w:cs="方正小标宋简体"/>
          <w:b w:val="0"/>
          <w:bCs/>
          <w:color w:val="auto"/>
          <w:sz w:val="32"/>
          <w:szCs w:val="22"/>
        </w:rPr>
      </w:pPr>
      <w:r>
        <w:rPr>
          <w:rFonts w:ascii="黑体" w:hAnsi="黑体" w:eastAsia="黑体" w:cs="黑体"/>
          <w:color w:val="000000"/>
          <w:kern w:val="0"/>
          <w:sz w:val="32"/>
          <w:lang w:eastAsia="uk-UA"/>
        </w:rPr>
        <w:t>七、国有资产信息</w:t>
      </w:r>
    </w:p>
    <w:p>
      <w:pPr>
        <w:widowControl/>
        <w:spacing w:before="0" w:after="0" w:line="500" w:lineRule="exact"/>
        <w:ind w:firstLine="560"/>
        <w:jc w:val="left"/>
        <w:outlineLvl w:val="9"/>
        <w:rPr>
          <w:rFonts w:ascii="Times New Roman" w:hAnsi="Times New Roman" w:eastAsia="Times New Roman"/>
          <w:kern w:val="0"/>
          <w:sz w:val="24"/>
          <w:lang w:eastAsia="uk-UA"/>
        </w:rPr>
      </w:pPr>
      <w:r>
        <w:rPr>
          <w:rFonts w:ascii="Times New Roman" w:hAnsi="Times New Roman" w:eastAsia="方正仿宋_GBK" w:cs="Times New Roman"/>
          <w:b w:val="0"/>
          <w:color w:val="000000"/>
          <w:kern w:val="0"/>
          <w:sz w:val="28"/>
          <w:lang w:eastAsia="uk-UA"/>
        </w:rPr>
        <w:t>北戴河生命健康产业研究院（含所属单位）上年末固定资产金额为</w:t>
      </w:r>
      <w:r>
        <w:rPr>
          <w:rFonts w:hint="eastAsia" w:ascii="Times New Roman" w:hAnsi="Times New Roman" w:eastAsia="方正仿宋_GBK" w:cs="Times New Roman"/>
          <w:b w:val="0"/>
          <w:color w:val="000000"/>
          <w:kern w:val="0"/>
          <w:sz w:val="28"/>
          <w:lang w:val="en-US" w:eastAsia="zh-CN"/>
        </w:rPr>
        <w:t>10.20</w:t>
      </w:r>
      <w:r>
        <w:rPr>
          <w:rFonts w:ascii="Times New Roman" w:hAnsi="Times New Roman" w:eastAsia="方正仿宋_GBK" w:cs="Times New Roman"/>
          <w:b w:val="0"/>
          <w:color w:val="000000"/>
          <w:kern w:val="0"/>
          <w:sz w:val="28"/>
          <w:lang w:eastAsia="uk-UA"/>
        </w:rPr>
        <w:t>万元（详见下表）。本年度拟购置固定资产总额为0.00万元，已按要求列入政府采购预算，详见政府采购预算表。</w:t>
      </w:r>
    </w:p>
    <w:p>
      <w:pPr>
        <w:widowControl/>
        <w:spacing w:before="0" w:after="0" w:line="240" w:lineRule="auto"/>
        <w:ind w:firstLine="0"/>
        <w:jc w:val="center"/>
        <w:outlineLvl w:val="9"/>
        <w:rPr>
          <w:rFonts w:ascii="Times New Roman" w:hAnsi="Times New Roman" w:eastAsia="Times New Roman"/>
          <w:kern w:val="0"/>
          <w:sz w:val="24"/>
          <w:lang w:eastAsia="uk-UA"/>
        </w:rPr>
      </w:pPr>
      <w:r>
        <w:rPr>
          <w:rFonts w:hint="eastAsia" w:ascii="方正小标宋_GBK" w:hAnsi="方正小标宋_GBK" w:eastAsia="方正小标宋_GBK" w:cs="方正小标宋_GBK"/>
          <w:color w:val="000000"/>
          <w:kern w:val="0"/>
          <w:sz w:val="36"/>
          <w:lang w:eastAsia="zh-CN"/>
        </w:rPr>
        <w:t>单位</w:t>
      </w:r>
      <w:r>
        <w:rPr>
          <w:rFonts w:ascii="方正小标宋_GBK" w:hAnsi="方正小标宋_GBK" w:eastAsia="方正小标宋_GBK" w:cs="方正小标宋_GBK"/>
          <w:color w:val="000000"/>
          <w:kern w:val="0"/>
          <w:sz w:val="36"/>
          <w:lang w:eastAsia="uk-UA"/>
        </w:rPr>
        <w:t>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widowControl/>
              <w:rPr>
                <w:kern w:val="0"/>
              </w:rPr>
            </w:pPr>
            <w:r>
              <w:rPr>
                <w:rFonts w:hint="eastAsia"/>
                <w:kern w:val="0"/>
              </w:rPr>
              <w:t>901001北戴河生命健康产业研究院本级</w:t>
            </w:r>
          </w:p>
        </w:tc>
        <w:tc>
          <w:tcPr>
            <w:tcW w:w="5669" w:type="dxa"/>
            <w:gridSpan w:val="2"/>
            <w:tcBorders>
              <w:top w:val="single" w:color="FFFFFF" w:sz="6" w:space="0"/>
              <w:left w:val="single" w:color="FFFFFF" w:sz="6" w:space="0"/>
              <w:right w:val="single" w:color="FFFFFF" w:sz="6" w:space="0"/>
            </w:tcBorders>
            <w:vAlign w:val="center"/>
          </w:tcPr>
          <w:p>
            <w:pPr>
              <w:pStyle w:val="13"/>
              <w:widowControl/>
              <w:rPr>
                <w:kern w:val="0"/>
              </w:rPr>
            </w:pPr>
            <w:r>
              <w:rPr>
                <w:kern w:val="0"/>
              </w:rPr>
              <w:t>截止时间：202</w:t>
            </w:r>
            <w:r>
              <w:rPr>
                <w:rFonts w:hint="eastAsia"/>
                <w:kern w:val="0"/>
                <w:lang w:val="en-US" w:eastAsia="zh-CN"/>
              </w:rPr>
              <w:t>0</w:t>
            </w:r>
            <w:r>
              <w:rPr>
                <w:kern w:val="0"/>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widowControl/>
              <w:rPr>
                <w:kern w:val="0"/>
              </w:rPr>
            </w:pPr>
            <w:r>
              <w:rPr>
                <w:kern w:val="0"/>
              </w:rPr>
              <w:t>项   目</w:t>
            </w:r>
          </w:p>
        </w:tc>
        <w:tc>
          <w:tcPr>
            <w:tcW w:w="2835" w:type="dxa"/>
            <w:vAlign w:val="center"/>
          </w:tcPr>
          <w:p>
            <w:pPr>
              <w:pStyle w:val="9"/>
              <w:widowControl/>
              <w:rPr>
                <w:kern w:val="0"/>
              </w:rPr>
            </w:pPr>
            <w:r>
              <w:rPr>
                <w:kern w:val="0"/>
              </w:rPr>
              <w:t>数量</w:t>
            </w:r>
          </w:p>
        </w:tc>
        <w:tc>
          <w:tcPr>
            <w:tcW w:w="2835" w:type="dxa"/>
            <w:vAlign w:val="center"/>
          </w:tcPr>
          <w:p>
            <w:pPr>
              <w:pStyle w:val="9"/>
              <w:widowControl/>
              <w:rPr>
                <w:kern w:val="0"/>
              </w:rPr>
            </w:pPr>
            <w:r>
              <w:rPr>
                <w:kern w:val="0"/>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widowControl/>
              <w:rPr>
                <w:rFonts w:hint="eastAsia" w:eastAsia="方正书宋_GBK"/>
                <w:kern w:val="0"/>
                <w:lang w:eastAsia="zh-CN"/>
              </w:rPr>
            </w:pPr>
            <w:r>
              <w:rPr>
                <w:rFonts w:hint="eastAsia"/>
                <w:kern w:val="0"/>
                <w:lang w:eastAsia="zh-CN"/>
              </w:rPr>
              <w:t>其他固定资产</w:t>
            </w:r>
          </w:p>
        </w:tc>
        <w:tc>
          <w:tcPr>
            <w:tcW w:w="2835" w:type="dxa"/>
            <w:vAlign w:val="center"/>
          </w:tcPr>
          <w:p>
            <w:pPr>
              <w:pStyle w:val="12"/>
              <w:widowControl/>
              <w:rPr>
                <w:kern w:val="0"/>
              </w:rPr>
            </w:pPr>
          </w:p>
        </w:tc>
        <w:tc>
          <w:tcPr>
            <w:tcW w:w="2835" w:type="dxa"/>
            <w:vAlign w:val="center"/>
          </w:tcPr>
          <w:p>
            <w:pPr>
              <w:pStyle w:val="11"/>
              <w:widowControl/>
              <w:rPr>
                <w:rFonts w:hint="default" w:eastAsia="方正书宋_GBK"/>
                <w:kern w:val="0"/>
                <w:lang w:val="en-US" w:eastAsia="zh-CN"/>
              </w:rPr>
            </w:pPr>
            <w:r>
              <w:rPr>
                <w:rFonts w:hint="eastAsia"/>
                <w:kern w:val="0"/>
                <w:lang w:val="en-US" w:eastAsia="zh-CN"/>
              </w:rPr>
              <w:t>10.20</w:t>
            </w:r>
          </w:p>
        </w:tc>
      </w:tr>
    </w:tbl>
    <w:p>
      <w:pPr>
        <w:widowControl/>
        <w:spacing w:before="10" w:after="10" w:line="240" w:lineRule="auto"/>
        <w:ind w:firstLine="640"/>
        <w:jc w:val="left"/>
        <w:outlineLvl w:val="2"/>
        <w:rPr>
          <w:rFonts w:ascii="Times New Roman" w:hAnsi="Times New Roman" w:eastAsia="Times New Roman"/>
          <w:kern w:val="0"/>
          <w:sz w:val="24"/>
          <w:lang w:eastAsia="uk-UA"/>
        </w:rPr>
      </w:pPr>
      <w:r>
        <w:rPr>
          <w:rFonts w:ascii="黑体" w:hAnsi="黑体" w:eastAsia="黑体" w:cs="黑体"/>
          <w:color w:val="000000"/>
          <w:kern w:val="0"/>
          <w:sz w:val="32"/>
          <w:lang w:eastAsia="uk-UA"/>
        </w:rPr>
        <w:t>八、名词解释</w:t>
      </w:r>
    </w:p>
    <w:p>
      <w:pPr>
        <w:widowControl/>
        <w:spacing w:before="0" w:after="0" w:line="500" w:lineRule="exact"/>
        <w:ind w:firstLine="560"/>
        <w:jc w:val="left"/>
        <w:outlineLvl w:val="9"/>
        <w:rPr>
          <w:rFonts w:ascii="Times New Roman" w:hAnsi="Times New Roman" w:eastAsia="Times New Roman"/>
          <w:kern w:val="0"/>
          <w:sz w:val="24"/>
          <w:lang w:eastAsia="uk-UA"/>
        </w:rPr>
      </w:pPr>
      <w:r>
        <w:rPr>
          <w:rFonts w:ascii="Times New Roman" w:hAnsi="Times New Roman" w:eastAsia="方正仿宋_GBK" w:cs="Times New Roman"/>
          <w:b w:val="0"/>
          <w:color w:val="000000"/>
          <w:kern w:val="0"/>
          <w:sz w:val="28"/>
          <w:lang w:eastAsia="uk-UA"/>
        </w:rPr>
        <w:t>1、</w:t>
      </w:r>
      <w:r>
        <w:rPr>
          <w:rFonts w:ascii="Times New Roman" w:hAnsi="Times New Roman" w:eastAsia="方正仿宋_GBK" w:cs="Times New Roman"/>
          <w:b/>
          <w:color w:val="000000"/>
          <w:kern w:val="0"/>
          <w:sz w:val="28"/>
          <w:lang w:eastAsia="uk-UA"/>
        </w:rPr>
        <w:t>一般公共预算拨款收入：</w:t>
      </w:r>
      <w:r>
        <w:rPr>
          <w:rFonts w:ascii="Times New Roman" w:hAnsi="Times New Roman" w:eastAsia="方正仿宋_GBK" w:cs="Times New Roman"/>
          <w:b w:val="0"/>
          <w:color w:val="000000"/>
          <w:kern w:val="0"/>
          <w:sz w:val="28"/>
          <w:lang w:eastAsia="uk-UA"/>
        </w:rPr>
        <w:t>指省级财政当年拨付的资金。</w:t>
      </w:r>
    </w:p>
    <w:p>
      <w:pPr>
        <w:widowControl/>
        <w:spacing w:before="0" w:after="0" w:line="500" w:lineRule="exact"/>
        <w:ind w:firstLine="560"/>
        <w:jc w:val="left"/>
        <w:outlineLvl w:val="9"/>
        <w:rPr>
          <w:rFonts w:ascii="Times New Roman" w:hAnsi="Times New Roman" w:eastAsia="Times New Roman"/>
          <w:kern w:val="0"/>
          <w:sz w:val="24"/>
          <w:lang w:eastAsia="uk-UA"/>
        </w:rPr>
      </w:pPr>
      <w:r>
        <w:rPr>
          <w:rFonts w:ascii="Times New Roman" w:hAnsi="Times New Roman" w:eastAsia="方正仿宋_GBK" w:cs="Times New Roman"/>
          <w:b w:val="0"/>
          <w:color w:val="000000"/>
          <w:kern w:val="0"/>
          <w:sz w:val="28"/>
          <w:lang w:eastAsia="uk-UA"/>
        </w:rPr>
        <w:t>2、</w:t>
      </w:r>
      <w:r>
        <w:rPr>
          <w:rFonts w:ascii="Times New Roman" w:hAnsi="Times New Roman" w:eastAsia="方正仿宋_GBK" w:cs="Times New Roman"/>
          <w:b/>
          <w:color w:val="000000"/>
          <w:kern w:val="0"/>
          <w:sz w:val="28"/>
          <w:lang w:eastAsia="uk-UA"/>
        </w:rPr>
        <w:t>事业收入：</w:t>
      </w:r>
      <w:r>
        <w:rPr>
          <w:rFonts w:ascii="Times New Roman" w:hAnsi="Times New Roman" w:eastAsia="方正仿宋_GBK" w:cs="Times New Roman"/>
          <w:b w:val="0"/>
          <w:color w:val="000000"/>
          <w:kern w:val="0"/>
          <w:sz w:val="28"/>
          <w:lang w:eastAsia="uk-UA"/>
        </w:rPr>
        <w:t>指事业单位开展专业业务活动及辅助活动所取得的收入。</w:t>
      </w:r>
    </w:p>
    <w:p>
      <w:pPr>
        <w:widowControl/>
        <w:spacing w:before="0" w:after="0" w:line="500" w:lineRule="exact"/>
        <w:ind w:firstLine="560"/>
        <w:jc w:val="left"/>
        <w:outlineLvl w:val="9"/>
        <w:rPr>
          <w:rFonts w:ascii="Times New Roman" w:hAnsi="Times New Roman" w:eastAsia="Times New Roman"/>
          <w:kern w:val="0"/>
          <w:sz w:val="24"/>
          <w:lang w:eastAsia="uk-UA"/>
        </w:rPr>
      </w:pPr>
      <w:r>
        <w:rPr>
          <w:rFonts w:ascii="Times New Roman" w:hAnsi="Times New Roman" w:eastAsia="方正仿宋_GBK" w:cs="Times New Roman"/>
          <w:b w:val="0"/>
          <w:color w:val="000000"/>
          <w:kern w:val="0"/>
          <w:sz w:val="28"/>
          <w:lang w:eastAsia="uk-UA"/>
        </w:rPr>
        <w:t>3、</w:t>
      </w:r>
      <w:r>
        <w:rPr>
          <w:rFonts w:ascii="Times New Roman" w:hAnsi="Times New Roman" w:eastAsia="方正仿宋_GBK" w:cs="Times New Roman"/>
          <w:b/>
          <w:color w:val="000000"/>
          <w:kern w:val="0"/>
          <w:sz w:val="28"/>
          <w:lang w:eastAsia="uk-UA"/>
        </w:rPr>
        <w:t>其他收入：</w:t>
      </w:r>
      <w:r>
        <w:rPr>
          <w:rFonts w:ascii="Times New Roman" w:hAnsi="Times New Roman" w:eastAsia="方正仿宋_GBK" w:cs="Times New Roman"/>
          <w:b w:val="0"/>
          <w:color w:val="000000"/>
          <w:kern w:val="0"/>
          <w:sz w:val="28"/>
          <w:lang w:eastAsia="uk-UA"/>
        </w:rPr>
        <w:t>指除“一般公共预算拨款收入”、“事业收入”等以外的收入。主要是按规定动用的租房收入、存款利息收入等。</w:t>
      </w:r>
    </w:p>
    <w:p>
      <w:pPr>
        <w:widowControl/>
        <w:spacing w:before="0" w:after="0" w:line="500" w:lineRule="exact"/>
        <w:ind w:firstLine="560"/>
        <w:jc w:val="left"/>
        <w:outlineLvl w:val="9"/>
        <w:rPr>
          <w:rFonts w:ascii="Times New Roman" w:hAnsi="Times New Roman" w:eastAsia="Times New Roman"/>
          <w:kern w:val="0"/>
          <w:sz w:val="24"/>
          <w:lang w:eastAsia="uk-UA"/>
        </w:rPr>
      </w:pPr>
      <w:r>
        <w:rPr>
          <w:rFonts w:ascii="Times New Roman" w:hAnsi="Times New Roman" w:eastAsia="方正仿宋_GBK" w:cs="Times New Roman"/>
          <w:b w:val="0"/>
          <w:color w:val="000000"/>
          <w:kern w:val="0"/>
          <w:sz w:val="28"/>
          <w:lang w:eastAsia="uk-UA"/>
        </w:rPr>
        <w:t>4、</w:t>
      </w:r>
      <w:r>
        <w:rPr>
          <w:rFonts w:ascii="Times New Roman" w:hAnsi="Times New Roman" w:eastAsia="方正仿宋_GBK" w:cs="Times New Roman"/>
          <w:b/>
          <w:color w:val="000000"/>
          <w:kern w:val="0"/>
          <w:sz w:val="28"/>
          <w:lang w:eastAsia="uk-UA"/>
        </w:rPr>
        <w:t>基本支出：</w:t>
      </w:r>
      <w:r>
        <w:rPr>
          <w:rFonts w:ascii="Times New Roman" w:hAnsi="Times New Roman" w:eastAsia="方正仿宋_GBK" w:cs="Times New Roman"/>
          <w:b w:val="0"/>
          <w:color w:val="000000"/>
          <w:kern w:val="0"/>
          <w:sz w:val="28"/>
          <w:lang w:eastAsia="uk-UA"/>
        </w:rPr>
        <w:t>指为保障机构正常运转、完成日常工作任务而发生的人员支出和公用支出。</w:t>
      </w:r>
    </w:p>
    <w:p>
      <w:pPr>
        <w:widowControl/>
        <w:spacing w:before="0" w:after="0" w:line="500" w:lineRule="exact"/>
        <w:ind w:firstLine="560"/>
        <w:jc w:val="left"/>
        <w:outlineLvl w:val="9"/>
        <w:rPr>
          <w:rFonts w:ascii="Times New Roman" w:hAnsi="Times New Roman" w:eastAsia="Times New Roman"/>
          <w:kern w:val="0"/>
          <w:sz w:val="24"/>
          <w:lang w:eastAsia="uk-UA"/>
        </w:rPr>
      </w:pPr>
      <w:r>
        <w:rPr>
          <w:rFonts w:ascii="Times New Roman" w:hAnsi="Times New Roman" w:eastAsia="方正仿宋_GBK" w:cs="Times New Roman"/>
          <w:b w:val="0"/>
          <w:color w:val="000000"/>
          <w:kern w:val="0"/>
          <w:sz w:val="28"/>
          <w:lang w:eastAsia="uk-UA"/>
        </w:rPr>
        <w:t>5、</w:t>
      </w:r>
      <w:r>
        <w:rPr>
          <w:rFonts w:ascii="Times New Roman" w:hAnsi="Times New Roman" w:eastAsia="方正仿宋_GBK" w:cs="Times New Roman"/>
          <w:b/>
          <w:color w:val="000000"/>
          <w:kern w:val="0"/>
          <w:sz w:val="28"/>
          <w:lang w:eastAsia="uk-UA"/>
        </w:rPr>
        <w:t>项目支出：</w:t>
      </w:r>
      <w:r>
        <w:rPr>
          <w:rFonts w:ascii="Times New Roman" w:hAnsi="Times New Roman" w:eastAsia="方正仿宋_GBK" w:cs="Times New Roman"/>
          <w:b w:val="0"/>
          <w:color w:val="000000"/>
          <w:kern w:val="0"/>
          <w:sz w:val="28"/>
          <w:lang w:eastAsia="uk-UA"/>
        </w:rPr>
        <w:t>指在基本支出之外为完成特定行政任务和事业发展目标所发生的支出。</w:t>
      </w:r>
    </w:p>
    <w:p>
      <w:pPr>
        <w:widowControl/>
        <w:spacing w:before="0" w:after="0" w:line="500" w:lineRule="exact"/>
        <w:ind w:firstLine="560"/>
        <w:jc w:val="left"/>
        <w:outlineLvl w:val="9"/>
        <w:rPr>
          <w:rFonts w:ascii="Times New Roman" w:hAnsi="Times New Roman" w:eastAsia="Times New Roman"/>
          <w:kern w:val="0"/>
          <w:sz w:val="24"/>
          <w:lang w:eastAsia="uk-UA"/>
        </w:rPr>
      </w:pPr>
      <w:r>
        <w:rPr>
          <w:rFonts w:ascii="Times New Roman" w:hAnsi="Times New Roman" w:eastAsia="方正仿宋_GBK" w:cs="Times New Roman"/>
          <w:b w:val="0"/>
          <w:color w:val="000000"/>
          <w:kern w:val="0"/>
          <w:sz w:val="28"/>
          <w:lang w:eastAsia="uk-UA"/>
        </w:rPr>
        <w:t>6、</w:t>
      </w:r>
      <w:r>
        <w:rPr>
          <w:rFonts w:ascii="Times New Roman" w:hAnsi="Times New Roman" w:eastAsia="方正仿宋_GBK" w:cs="Times New Roman"/>
          <w:b/>
          <w:color w:val="000000"/>
          <w:kern w:val="0"/>
          <w:sz w:val="28"/>
          <w:lang w:eastAsia="uk-UA"/>
        </w:rPr>
        <w:t>上缴上级支出：</w:t>
      </w:r>
      <w:r>
        <w:rPr>
          <w:rFonts w:ascii="Times New Roman" w:hAnsi="Times New Roman" w:eastAsia="方正仿宋_GBK" w:cs="Times New Roman"/>
          <w:b w:val="0"/>
          <w:color w:val="000000"/>
          <w:kern w:val="0"/>
          <w:sz w:val="28"/>
          <w:lang w:eastAsia="uk-UA"/>
        </w:rPr>
        <w:t>指下级单位上缴上级的支出。</w:t>
      </w:r>
    </w:p>
    <w:p>
      <w:pPr>
        <w:widowControl/>
        <w:spacing w:before="0" w:after="0" w:line="500" w:lineRule="exact"/>
        <w:ind w:firstLine="560"/>
        <w:jc w:val="left"/>
        <w:outlineLvl w:val="9"/>
        <w:rPr>
          <w:rFonts w:ascii="Times New Roman" w:hAnsi="Times New Roman" w:eastAsia="Times New Roman"/>
          <w:kern w:val="0"/>
          <w:sz w:val="24"/>
          <w:lang w:eastAsia="uk-UA"/>
        </w:rPr>
      </w:pPr>
      <w:r>
        <w:rPr>
          <w:rFonts w:ascii="Times New Roman" w:hAnsi="Times New Roman" w:eastAsia="方正仿宋_GBK" w:cs="Times New Roman"/>
          <w:b w:val="0"/>
          <w:color w:val="000000"/>
          <w:kern w:val="0"/>
          <w:sz w:val="28"/>
          <w:lang w:eastAsia="uk-UA"/>
        </w:rPr>
        <w:t>7、</w:t>
      </w:r>
      <w:r>
        <w:rPr>
          <w:rFonts w:ascii="Times New Roman" w:hAnsi="Times New Roman" w:eastAsia="方正仿宋_GBK" w:cs="Times New Roman"/>
          <w:b/>
          <w:color w:val="000000"/>
          <w:kern w:val="0"/>
          <w:sz w:val="28"/>
          <w:lang w:eastAsia="uk-UA"/>
        </w:rPr>
        <w:t>“三公”经费：</w:t>
      </w:r>
      <w:r>
        <w:rPr>
          <w:rFonts w:ascii="Times New Roman" w:hAnsi="Times New Roman" w:eastAsia="方正仿宋_GBK" w:cs="Times New Roman"/>
          <w:b w:val="0"/>
          <w:color w:val="000000"/>
          <w:kern w:val="0"/>
          <w:sz w:val="28"/>
          <w:lang w:eastAsia="uk-UA"/>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widowControl/>
        <w:spacing w:before="0" w:after="0" w:line="500" w:lineRule="exact"/>
        <w:ind w:firstLine="560"/>
        <w:jc w:val="left"/>
        <w:outlineLvl w:val="9"/>
        <w:rPr>
          <w:rFonts w:ascii="Times New Roman" w:hAnsi="Times New Roman" w:eastAsia="Times New Roman"/>
          <w:kern w:val="0"/>
          <w:sz w:val="24"/>
          <w:lang w:eastAsia="uk-UA"/>
        </w:rPr>
      </w:pPr>
      <w:r>
        <w:rPr>
          <w:rFonts w:ascii="Times New Roman" w:hAnsi="Times New Roman" w:eastAsia="方正仿宋_GBK" w:cs="Times New Roman"/>
          <w:b w:val="0"/>
          <w:color w:val="000000"/>
          <w:kern w:val="0"/>
          <w:sz w:val="28"/>
          <w:lang w:eastAsia="uk-UA"/>
        </w:rPr>
        <w:t>8、</w:t>
      </w:r>
      <w:r>
        <w:rPr>
          <w:rFonts w:ascii="Times New Roman" w:hAnsi="Times New Roman" w:eastAsia="方正仿宋_GBK" w:cs="Times New Roman"/>
          <w:b/>
          <w:color w:val="000000"/>
          <w:kern w:val="0"/>
          <w:sz w:val="28"/>
          <w:lang w:eastAsia="uk-UA"/>
        </w:rPr>
        <w:t>机关运行费：</w:t>
      </w:r>
      <w:r>
        <w:rPr>
          <w:rFonts w:ascii="Times New Roman" w:hAnsi="Times New Roman" w:eastAsia="方正仿宋_GBK" w:cs="Times New Roman"/>
          <w:b w:val="0"/>
          <w:color w:val="000000"/>
          <w:kern w:val="0"/>
          <w:sz w:val="28"/>
          <w:lang w:eastAsia="uk-UA"/>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spacing w:before="0" w:after="0" w:line="500" w:lineRule="exact"/>
        <w:ind w:firstLine="560"/>
        <w:jc w:val="left"/>
        <w:outlineLvl w:val="9"/>
        <w:rPr>
          <w:rFonts w:ascii="Times New Roman" w:hAnsi="Times New Roman" w:eastAsia="Times New Roman"/>
          <w:kern w:val="0"/>
          <w:sz w:val="24"/>
          <w:lang w:eastAsia="uk-UA"/>
        </w:rPr>
      </w:pPr>
      <w:r>
        <w:rPr>
          <w:rFonts w:ascii="Times New Roman" w:hAnsi="Times New Roman" w:eastAsia="方正仿宋_GBK" w:cs="Times New Roman"/>
          <w:b w:val="0"/>
          <w:color w:val="000000"/>
          <w:kern w:val="0"/>
          <w:sz w:val="28"/>
          <w:lang w:eastAsia="uk-UA"/>
        </w:rPr>
        <w:t>9、</w:t>
      </w:r>
      <w:r>
        <w:rPr>
          <w:rFonts w:ascii="Times New Roman" w:hAnsi="Times New Roman" w:eastAsia="方正仿宋_GBK" w:cs="Times New Roman"/>
          <w:b/>
          <w:color w:val="000000"/>
          <w:kern w:val="0"/>
          <w:sz w:val="28"/>
          <w:lang w:eastAsia="uk-UA"/>
        </w:rPr>
        <w:t>上年结转：</w:t>
      </w:r>
      <w:r>
        <w:rPr>
          <w:rFonts w:ascii="Times New Roman" w:hAnsi="Times New Roman" w:eastAsia="方正仿宋_GBK" w:cs="Times New Roman"/>
          <w:b w:val="0"/>
          <w:color w:val="000000"/>
          <w:kern w:val="0"/>
          <w:sz w:val="28"/>
          <w:lang w:eastAsia="uk-UA"/>
        </w:rPr>
        <w:t>指以前年度尚未完成、结转到本年仍按原规定用途继续使用的资金。</w:t>
      </w:r>
    </w:p>
    <w:p>
      <w:pPr>
        <w:widowControl/>
        <w:spacing w:before="0" w:after="0" w:line="500" w:lineRule="exact"/>
        <w:ind w:firstLine="560"/>
        <w:jc w:val="left"/>
        <w:outlineLvl w:val="9"/>
        <w:rPr>
          <w:rFonts w:ascii="Times New Roman" w:hAnsi="Times New Roman" w:eastAsia="Times New Roman"/>
          <w:kern w:val="0"/>
          <w:sz w:val="24"/>
          <w:lang w:eastAsia="uk-UA"/>
        </w:rPr>
      </w:pPr>
      <w:r>
        <w:rPr>
          <w:rFonts w:ascii="Times New Roman" w:hAnsi="Times New Roman" w:eastAsia="方正仿宋_GBK" w:cs="Times New Roman"/>
          <w:b w:val="0"/>
          <w:color w:val="000000"/>
          <w:kern w:val="0"/>
          <w:sz w:val="28"/>
          <w:lang w:eastAsia="uk-UA"/>
        </w:rPr>
        <w:t>10、</w:t>
      </w:r>
      <w:r>
        <w:rPr>
          <w:rFonts w:ascii="Times New Roman" w:hAnsi="Times New Roman" w:eastAsia="方正仿宋_GBK" w:cs="Times New Roman"/>
          <w:b/>
          <w:color w:val="000000"/>
          <w:kern w:val="0"/>
          <w:sz w:val="28"/>
          <w:lang w:eastAsia="uk-UA"/>
        </w:rPr>
        <w:t>事业单位经营支出：</w:t>
      </w:r>
      <w:r>
        <w:rPr>
          <w:rFonts w:ascii="Times New Roman" w:hAnsi="Times New Roman" w:eastAsia="方正仿宋_GBK" w:cs="Times New Roman"/>
          <w:b w:val="0"/>
          <w:color w:val="000000"/>
          <w:kern w:val="0"/>
          <w:sz w:val="28"/>
          <w:lang w:eastAsia="uk-UA"/>
        </w:rPr>
        <w:t>指事业单位在专业业务活动及其辅助活动之外开展非独立核算经营活动发生的支出。</w:t>
      </w:r>
    </w:p>
    <w:p>
      <w:pPr>
        <w:widowControl/>
        <w:spacing w:before="10" w:after="10" w:line="240" w:lineRule="auto"/>
        <w:ind w:firstLine="640"/>
        <w:jc w:val="left"/>
        <w:outlineLvl w:val="2"/>
        <w:rPr>
          <w:rFonts w:ascii="Times New Roman" w:hAnsi="Times New Roman" w:eastAsia="Times New Roman"/>
          <w:kern w:val="0"/>
          <w:sz w:val="24"/>
          <w:lang w:eastAsia="uk-UA"/>
        </w:rPr>
      </w:pPr>
      <w:r>
        <w:rPr>
          <w:rFonts w:ascii="黑体" w:hAnsi="黑体" w:eastAsia="黑体" w:cs="黑体"/>
          <w:color w:val="000000"/>
          <w:kern w:val="0"/>
          <w:sz w:val="32"/>
          <w:lang w:eastAsia="uk-UA"/>
        </w:rPr>
        <w:t>九、其他需要说明的事项</w:t>
      </w:r>
    </w:p>
    <w:p>
      <w:pPr>
        <w:spacing w:before="0" w:after="0" w:line="500" w:lineRule="exact"/>
        <w:ind w:firstLine="560"/>
        <w:jc w:val="left"/>
        <w:outlineLvl w:val="9"/>
        <w:rPr>
          <w:rFonts w:ascii="Times New Roman" w:hAnsi="Times New Roman" w:eastAsia="方正仿宋_GBK" w:cs="Times New Roman"/>
          <w:b w:val="0"/>
          <w:color w:val="000000"/>
          <w:kern w:val="0"/>
          <w:sz w:val="28"/>
          <w:lang w:eastAsia="uk-UA"/>
        </w:rPr>
      </w:pPr>
      <w:r>
        <w:rPr>
          <w:rFonts w:ascii="Times New Roman" w:hAnsi="Times New Roman" w:eastAsia="方正仿宋_GBK" w:cs="Times New Roman"/>
          <w:b w:val="0"/>
          <w:color w:val="000000"/>
          <w:kern w:val="0"/>
          <w:sz w:val="28"/>
          <w:lang w:eastAsia="uk-UA"/>
        </w:rPr>
        <w:t>我</w:t>
      </w:r>
      <w:r>
        <w:rPr>
          <w:rFonts w:hint="eastAsia" w:ascii="Times New Roman" w:hAnsi="Times New Roman" w:eastAsia="方正仿宋_GBK" w:cs="Times New Roman"/>
          <w:b w:val="0"/>
          <w:color w:val="000000"/>
          <w:kern w:val="0"/>
          <w:sz w:val="28"/>
          <w:lang w:eastAsia="zh-CN"/>
        </w:rPr>
        <w:t>单位</w:t>
      </w:r>
      <w:r>
        <w:rPr>
          <w:rFonts w:ascii="Times New Roman" w:hAnsi="Times New Roman" w:eastAsia="方正仿宋_GBK" w:cs="Times New Roman"/>
          <w:b w:val="0"/>
          <w:color w:val="000000"/>
          <w:kern w:val="0"/>
          <w:sz w:val="28"/>
          <w:lang w:eastAsia="uk-UA"/>
        </w:rPr>
        <w:t>无其他需要说明的事项。</w:t>
      </w:r>
    </w:p>
    <w:p>
      <w:pPr>
        <w:spacing w:before="0" w:after="0" w:line="500" w:lineRule="exact"/>
        <w:ind w:firstLine="560"/>
        <w:jc w:val="left"/>
        <w:outlineLvl w:val="9"/>
        <w:rPr>
          <w:rFonts w:ascii="Times New Roman" w:hAnsi="Times New Roman" w:eastAsia="方正仿宋_GBK" w:cs="Times New Roman"/>
          <w:b w:val="0"/>
          <w:color w:val="000000"/>
          <w:kern w:val="0"/>
          <w:sz w:val="28"/>
          <w:lang w:eastAsia="uk-UA"/>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right"/>
      <w:rPr>
        <w:rFonts w:ascii="Times New Roman" w:hAnsi="Times New Roman" w:eastAsia="Times New Roman"/>
        <w:kern w:val="0"/>
        <w:sz w:val="24"/>
        <w:lang w:eastAsia="uk-UA"/>
      </w:rPr>
    </w:pPr>
    <w:r>
      <w:rPr>
        <w:rFonts w:ascii="Times New Roman" w:hAnsi="Times New Roman" w:eastAsia="Times New Roman"/>
        <w:kern w:val="0"/>
        <w:sz w:val="24"/>
        <w:lang w:eastAsia="uk-UA"/>
      </w:rPr>
      <w:fldChar w:fldCharType="begin"/>
    </w:r>
    <w:r>
      <w:rPr>
        <w:rFonts w:ascii="Times New Roman" w:hAnsi="Times New Roman" w:eastAsia="Times New Roman"/>
        <w:kern w:val="0"/>
        <w:sz w:val="24"/>
        <w:lang w:eastAsia="uk-UA"/>
      </w:rPr>
      <w:instrText xml:space="preserve">PAGE "page number"</w:instrText>
    </w:r>
    <w:r>
      <w:rPr>
        <w:rFonts w:ascii="Times New Roman" w:hAnsi="Times New Roman" w:eastAsia="Times New Roman"/>
        <w:kern w:val="0"/>
        <w:sz w:val="24"/>
        <w:lang w:eastAsia="uk-UA"/>
      </w:rPr>
      <w:fldChar w:fldCharType="separate"/>
    </w:r>
    <w:r>
      <w:rPr>
        <w:rFonts w:ascii="Times New Roman" w:hAnsi="Times New Roman" w:eastAsia="Times New Roman"/>
        <w:kern w:val="0"/>
        <w:sz w:val="24"/>
        <w:lang w:eastAsia="uk-UA"/>
      </w:rPr>
      <w:t>page number</w:t>
    </w:r>
    <w:r>
      <w:rPr>
        <w:rFonts w:ascii="Times New Roman" w:hAnsi="Times New Roman" w:eastAsia="Times New Roman"/>
        <w:kern w:val="0"/>
        <w:sz w:val="24"/>
        <w:lang w:eastAsia="uk-U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rPr>
        <w:rFonts w:ascii="Times New Roman" w:hAnsi="Times New Roman" w:eastAsia="Times New Roman"/>
        <w:kern w:val="0"/>
        <w:sz w:val="24"/>
        <w:lang w:eastAsia="uk-UA"/>
      </w:rPr>
    </w:pPr>
    <w:r>
      <w:rPr>
        <w:rFonts w:ascii="Times New Roman" w:hAnsi="Times New Roman" w:eastAsia="Times New Roman"/>
        <w:kern w:val="0"/>
        <w:sz w:val="24"/>
        <w:lang w:eastAsia="uk-UA"/>
      </w:rPr>
      <w:fldChar w:fldCharType="begin"/>
    </w:r>
    <w:r>
      <w:rPr>
        <w:rFonts w:ascii="Times New Roman" w:hAnsi="Times New Roman" w:eastAsia="Times New Roman"/>
        <w:kern w:val="0"/>
        <w:sz w:val="24"/>
        <w:lang w:eastAsia="uk-UA"/>
      </w:rPr>
      <w:instrText xml:space="preserve">PAGE "page number"</w:instrText>
    </w:r>
    <w:r>
      <w:rPr>
        <w:rFonts w:ascii="Times New Roman" w:hAnsi="Times New Roman" w:eastAsia="Times New Roman"/>
        <w:kern w:val="0"/>
        <w:sz w:val="24"/>
        <w:lang w:eastAsia="uk-UA"/>
      </w:rPr>
      <w:fldChar w:fldCharType="separate"/>
    </w:r>
    <w:r>
      <w:rPr>
        <w:rFonts w:ascii="Times New Roman" w:hAnsi="Times New Roman" w:eastAsia="Times New Roman"/>
        <w:kern w:val="0"/>
        <w:sz w:val="24"/>
        <w:lang w:eastAsia="uk-UA"/>
      </w:rPr>
      <w:t>page number</w:t>
    </w:r>
    <w:r>
      <w:rPr>
        <w:rFonts w:ascii="Times New Roman" w:hAnsi="Times New Roman" w:eastAsia="Times New Roman"/>
        <w:kern w:val="0"/>
        <w:sz w:val="24"/>
        <w:lang w:eastAsia="uk-U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等线" w:hAnsi="等线" w:eastAsia="等线" w:cs="Times New Roman"/>
      </w:rPr>
    </w:pPr>
    <w:r>
      <w:rPr>
        <w:rFonts w:ascii="等线" w:hAnsi="等线" w:eastAsia="等线" w:cs="Times New Roman"/>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等线" w:hAnsi="等线" w:eastAsia="等线" w:cs="Times New Roman"/>
                              <w:lang w:eastAsia="zh-CN"/>
                            </w:rPr>
                          </w:pPr>
                          <w:r>
                            <w:rPr>
                              <w:rFonts w:hint="eastAsia" w:ascii="等线" w:hAnsi="等线" w:eastAsia="等线" w:cs="Times New Roman"/>
                              <w:lang w:eastAsia="zh-CN"/>
                            </w:rPr>
                            <w:fldChar w:fldCharType="begin"/>
                          </w:r>
                          <w:r>
                            <w:rPr>
                              <w:rFonts w:hint="eastAsia" w:ascii="等线" w:hAnsi="等线" w:eastAsia="等线" w:cs="Times New Roman"/>
                              <w:lang w:eastAsia="zh-CN"/>
                            </w:rPr>
                            <w:instrText xml:space="preserve"> PAGE  \* MERGEFORMAT </w:instrText>
                          </w:r>
                          <w:r>
                            <w:rPr>
                              <w:rFonts w:hint="eastAsia" w:ascii="等线" w:hAnsi="等线" w:eastAsia="等线" w:cs="Times New Roman"/>
                              <w:lang w:eastAsia="zh-CN"/>
                            </w:rPr>
                            <w:fldChar w:fldCharType="separate"/>
                          </w:r>
                          <w:r>
                            <w:rPr>
                              <w:rFonts w:hint="eastAsia" w:ascii="等线" w:hAnsi="等线" w:eastAsia="等线" w:cs="Times New Roman"/>
                              <w:lang w:eastAsia="zh-CN"/>
                            </w:rPr>
                            <w:t>1</w:t>
                          </w:r>
                          <w:r>
                            <w:rPr>
                              <w:rFonts w:hint="eastAsia" w:ascii="等线" w:hAnsi="等线" w:eastAsia="等线" w:cs="Times New Roman"/>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ascii="等线" w:hAnsi="等线" w:eastAsia="等线" w:cs="Times New Roman"/>
                        <w:lang w:eastAsia="zh-CN"/>
                      </w:rPr>
                    </w:pPr>
                    <w:r>
                      <w:rPr>
                        <w:rFonts w:hint="eastAsia" w:ascii="等线" w:hAnsi="等线" w:eastAsia="等线" w:cs="Times New Roman"/>
                        <w:lang w:eastAsia="zh-CN"/>
                      </w:rPr>
                      <w:fldChar w:fldCharType="begin"/>
                    </w:r>
                    <w:r>
                      <w:rPr>
                        <w:rFonts w:hint="eastAsia" w:ascii="等线" w:hAnsi="等线" w:eastAsia="等线" w:cs="Times New Roman"/>
                        <w:lang w:eastAsia="zh-CN"/>
                      </w:rPr>
                      <w:instrText xml:space="preserve"> PAGE  \* MERGEFORMAT </w:instrText>
                    </w:r>
                    <w:r>
                      <w:rPr>
                        <w:rFonts w:hint="eastAsia" w:ascii="等线" w:hAnsi="等线" w:eastAsia="等线" w:cs="Times New Roman"/>
                        <w:lang w:eastAsia="zh-CN"/>
                      </w:rPr>
                      <w:fldChar w:fldCharType="separate"/>
                    </w:r>
                    <w:r>
                      <w:rPr>
                        <w:rFonts w:hint="eastAsia" w:ascii="等线" w:hAnsi="等线" w:eastAsia="等线" w:cs="Times New Roman"/>
                        <w:lang w:eastAsia="zh-CN"/>
                      </w:rPr>
                      <w:t>1</w:t>
                    </w:r>
                    <w:r>
                      <w:rPr>
                        <w:rFonts w:hint="eastAsia" w:ascii="等线" w:hAnsi="等线" w:eastAsia="等线" w:cs="Times New Roman"/>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等线" w:hAnsi="等线" w:eastAsia="等线" w:cs="Times New Roman"/>
                              <w:kern w:val="2"/>
                              <w:sz w:val="18"/>
                              <w:szCs w:val="18"/>
                              <w:lang w:val="en-US" w:eastAsia="zh-CN" w:bidi="ar-SA"/>
                            </w:rPr>
                          </w:pPr>
                          <w:r>
                            <w:rPr>
                              <w:rFonts w:hint="eastAsia" w:ascii="等线" w:hAnsi="等线" w:eastAsia="等线" w:cs="Times New Roman"/>
                              <w:kern w:val="2"/>
                              <w:sz w:val="18"/>
                              <w:szCs w:val="18"/>
                              <w:lang w:val="en-US" w:eastAsia="zh-CN" w:bidi="ar-SA"/>
                            </w:rPr>
                            <w:fldChar w:fldCharType="begin"/>
                          </w:r>
                          <w:r>
                            <w:rPr>
                              <w:rFonts w:hint="eastAsia" w:ascii="等线" w:hAnsi="等线" w:eastAsia="等线" w:cs="Times New Roman"/>
                              <w:kern w:val="2"/>
                              <w:sz w:val="18"/>
                              <w:szCs w:val="18"/>
                              <w:lang w:val="en-US" w:eastAsia="zh-CN" w:bidi="ar-SA"/>
                            </w:rPr>
                            <w:instrText xml:space="preserve"> PAGE  \* MERGEFORMAT </w:instrText>
                          </w:r>
                          <w:r>
                            <w:rPr>
                              <w:rFonts w:hint="eastAsia" w:ascii="等线" w:hAnsi="等线" w:eastAsia="等线" w:cs="Times New Roman"/>
                              <w:kern w:val="2"/>
                              <w:sz w:val="18"/>
                              <w:szCs w:val="18"/>
                              <w:lang w:val="en-US" w:eastAsia="zh-CN" w:bidi="ar-SA"/>
                            </w:rPr>
                            <w:fldChar w:fldCharType="separate"/>
                          </w:r>
                          <w:r>
                            <w:rPr>
                              <w:rFonts w:hint="eastAsia" w:ascii="等线" w:hAnsi="等线" w:eastAsia="等线" w:cs="Times New Roman"/>
                              <w:kern w:val="2"/>
                              <w:sz w:val="18"/>
                              <w:szCs w:val="18"/>
                              <w:lang w:val="en-US" w:eastAsia="zh-CN" w:bidi="ar-SA"/>
                            </w:rPr>
                            <w:t>1</w:t>
                          </w:r>
                          <w:r>
                            <w:rPr>
                              <w:rFonts w:hint="eastAsia" w:ascii="等线" w:hAnsi="等线" w:eastAsia="等线"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widowControl w:val="0"/>
                      <w:snapToGrid w:val="0"/>
                      <w:jc w:val="left"/>
                      <w:rPr>
                        <w:rFonts w:hint="eastAsia" w:ascii="等线" w:hAnsi="等线" w:eastAsia="等线" w:cs="Times New Roman"/>
                        <w:kern w:val="2"/>
                        <w:sz w:val="18"/>
                        <w:szCs w:val="18"/>
                        <w:lang w:val="en-US" w:eastAsia="zh-CN" w:bidi="ar-SA"/>
                      </w:rPr>
                    </w:pPr>
                    <w:r>
                      <w:rPr>
                        <w:rFonts w:hint="eastAsia" w:ascii="等线" w:hAnsi="等线" w:eastAsia="等线" w:cs="Times New Roman"/>
                        <w:kern w:val="2"/>
                        <w:sz w:val="18"/>
                        <w:szCs w:val="18"/>
                        <w:lang w:val="en-US" w:eastAsia="zh-CN" w:bidi="ar-SA"/>
                      </w:rPr>
                      <w:fldChar w:fldCharType="begin"/>
                    </w:r>
                    <w:r>
                      <w:rPr>
                        <w:rFonts w:hint="eastAsia" w:ascii="等线" w:hAnsi="等线" w:eastAsia="等线" w:cs="Times New Roman"/>
                        <w:kern w:val="2"/>
                        <w:sz w:val="18"/>
                        <w:szCs w:val="18"/>
                        <w:lang w:val="en-US" w:eastAsia="zh-CN" w:bidi="ar-SA"/>
                      </w:rPr>
                      <w:instrText xml:space="preserve"> PAGE  \* MERGEFORMAT </w:instrText>
                    </w:r>
                    <w:r>
                      <w:rPr>
                        <w:rFonts w:hint="eastAsia" w:ascii="等线" w:hAnsi="等线" w:eastAsia="等线" w:cs="Times New Roman"/>
                        <w:kern w:val="2"/>
                        <w:sz w:val="18"/>
                        <w:szCs w:val="18"/>
                        <w:lang w:val="en-US" w:eastAsia="zh-CN" w:bidi="ar-SA"/>
                      </w:rPr>
                      <w:fldChar w:fldCharType="separate"/>
                    </w:r>
                    <w:r>
                      <w:rPr>
                        <w:rFonts w:hint="eastAsia" w:ascii="等线" w:hAnsi="等线" w:eastAsia="等线" w:cs="Times New Roman"/>
                        <w:kern w:val="2"/>
                        <w:sz w:val="18"/>
                        <w:szCs w:val="18"/>
                        <w:lang w:val="en-US" w:eastAsia="zh-CN" w:bidi="ar-SA"/>
                      </w:rPr>
                      <w:t>1</w:t>
                    </w:r>
                    <w:r>
                      <w:rPr>
                        <w:rFonts w:hint="eastAsia" w:ascii="等线" w:hAnsi="等线" w:eastAsia="等线" w:cs="Times New Roman"/>
                        <w:kern w:val="2"/>
                        <w:sz w:val="18"/>
                        <w:szCs w:val="1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5D7AF6"/>
    <w:rsid w:val="16D74541"/>
    <w:rsid w:val="1BA4189B"/>
    <w:rsid w:val="27D90CAB"/>
    <w:rsid w:val="297C0C7E"/>
    <w:rsid w:val="32072F9F"/>
    <w:rsid w:val="37884857"/>
    <w:rsid w:val="45B2437D"/>
    <w:rsid w:val="4A772EF7"/>
    <w:rsid w:val="62DA0A17"/>
    <w:rsid w:val="7C5E4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等线" w:hAnsi="等线" w:eastAsia="等线" w:cs="Times New Roman"/>
      <w:kern w:val="2"/>
      <w:sz w:val="18"/>
      <w:szCs w:val="18"/>
      <w:lang w:val="en-US" w:eastAsia="zh-CN" w:bidi="ar-SA"/>
    </w:rPr>
  </w:style>
  <w:style w:type="paragraph" w:styleId="3">
    <w:name w:val="toc 1"/>
    <w:next w:val="1"/>
    <w:qFormat/>
    <w:uiPriority w:val="0"/>
    <w:pPr>
      <w:spacing w:before="120" w:line="240" w:lineRule="auto"/>
      <w:ind w:firstLine="560"/>
    </w:pPr>
    <w:rPr>
      <w:rFonts w:ascii="Times New Roman" w:hAnsi="Times New Roman" w:eastAsia="方正仿宋_GBK" w:cs="Times New Roman"/>
      <w:color w:val="000000"/>
      <w:sz w:val="28"/>
      <w:szCs w:val="24"/>
      <w:lang w:val="en-US" w:eastAsia="uk-UA" w:bidi="ar-SA"/>
    </w:rPr>
  </w:style>
  <w:style w:type="paragraph" w:customStyle="1" w:styleId="6">
    <w:name w:val="Normal_482a3bc6-9b24-4ac7-975d-4eea748ff74b"/>
    <w:qFormat/>
    <w:uiPriority w:val="0"/>
    <w:rPr>
      <w:rFonts w:ascii="Times New Roman" w:hAnsi="Times New Roman" w:eastAsia="Times New Roman" w:cstheme="minorBidi"/>
      <w:sz w:val="24"/>
      <w:szCs w:val="24"/>
      <w:lang w:val="en-US" w:eastAsia="uk-UA" w:bidi="ar-SA"/>
    </w:rPr>
  </w:style>
  <w:style w:type="paragraph" w:customStyle="1" w:styleId="7">
    <w:name w:val="单元格样式20"/>
    <w:qFormat/>
    <w:uiPriority w:val="0"/>
    <w:pPr>
      <w:spacing w:before="0" w:after="0"/>
      <w:ind w:firstLine="0"/>
      <w:jc w:val="left"/>
      <w:outlineLvl w:val="9"/>
    </w:pPr>
    <w:rPr>
      <w:rFonts w:ascii="方正小标宋_GBK" w:hAnsi="方正小标宋_GBK" w:eastAsia="方正小标宋_GBK" w:cs="方正小标宋_GBK"/>
      <w:sz w:val="24"/>
      <w:szCs w:val="24"/>
      <w:lang w:val="en-US" w:eastAsia="uk-UA" w:bidi="ar-SA"/>
    </w:rPr>
  </w:style>
  <w:style w:type="paragraph" w:customStyle="1" w:styleId="8">
    <w:name w:val="单元格样式23"/>
    <w:qFormat/>
    <w:uiPriority w:val="0"/>
    <w:pPr>
      <w:spacing w:before="0" w:after="0"/>
      <w:ind w:firstLine="0"/>
      <w:jc w:val="right"/>
      <w:outlineLvl w:val="9"/>
    </w:pPr>
    <w:rPr>
      <w:rFonts w:ascii="方正书宋_GBK" w:hAnsi="方正书宋_GBK" w:eastAsia="方正书宋_GBK" w:cs="方正书宋_GBK"/>
      <w:sz w:val="24"/>
      <w:szCs w:val="24"/>
      <w:lang w:val="en-US" w:eastAsia="uk-UA" w:bidi="ar-SA"/>
    </w:rPr>
  </w:style>
  <w:style w:type="paragraph" w:customStyle="1" w:styleId="9">
    <w:name w:val="单元格样式1"/>
    <w:qFormat/>
    <w:uiPriority w:val="0"/>
    <w:pPr>
      <w:spacing w:before="0" w:after="0"/>
      <w:ind w:firstLine="0"/>
      <w:jc w:val="center"/>
      <w:outlineLvl w:val="9"/>
    </w:pPr>
    <w:rPr>
      <w:rFonts w:ascii="方正书宋_GBK" w:hAnsi="方正书宋_GBK" w:eastAsia="方正书宋_GBK" w:cs="方正书宋_GBK"/>
      <w:b/>
      <w:sz w:val="21"/>
      <w:szCs w:val="24"/>
      <w:lang w:val="en-US" w:eastAsia="uk-UA" w:bidi="ar-SA"/>
    </w:rPr>
  </w:style>
  <w:style w:type="paragraph" w:customStyle="1" w:styleId="10">
    <w:name w:val="单元格样式2"/>
    <w:qFormat/>
    <w:uiPriority w:val="0"/>
    <w:pPr>
      <w:spacing w:before="0" w:after="0"/>
      <w:ind w:firstLine="0"/>
      <w:jc w:val="left"/>
      <w:outlineLvl w:val="9"/>
    </w:pPr>
    <w:rPr>
      <w:rFonts w:ascii="方正书宋_GBK" w:hAnsi="方正书宋_GBK" w:eastAsia="方正书宋_GBK" w:cs="方正书宋_GBK"/>
      <w:sz w:val="21"/>
      <w:szCs w:val="24"/>
      <w:lang w:val="en-US" w:eastAsia="uk-UA" w:bidi="ar-SA"/>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szCs w:val="24"/>
      <w:lang w:val="en-US" w:eastAsia="uk-UA" w:bidi="ar-SA"/>
    </w:rPr>
  </w:style>
  <w:style w:type="paragraph" w:customStyle="1" w:styleId="12">
    <w:name w:val="单元格样式3"/>
    <w:qFormat/>
    <w:uiPriority w:val="0"/>
    <w:pPr>
      <w:spacing w:before="0" w:after="0"/>
      <w:ind w:firstLine="0"/>
      <w:jc w:val="center"/>
      <w:outlineLvl w:val="9"/>
    </w:pPr>
    <w:rPr>
      <w:rFonts w:ascii="方正书宋_GBK" w:hAnsi="方正书宋_GBK" w:eastAsia="方正书宋_GBK" w:cs="方正书宋_GBK"/>
      <w:sz w:val="21"/>
      <w:szCs w:val="24"/>
      <w:lang w:val="en-US" w:eastAsia="uk-UA" w:bidi="ar-SA"/>
    </w:rPr>
  </w:style>
  <w:style w:type="paragraph" w:customStyle="1" w:styleId="13">
    <w:name w:val="单元格样式22"/>
    <w:qFormat/>
    <w:uiPriority w:val="0"/>
    <w:pPr>
      <w:spacing w:before="0" w:after="0"/>
      <w:ind w:firstLine="0"/>
      <w:jc w:val="right"/>
      <w:outlineLvl w:val="9"/>
    </w:pPr>
    <w:rPr>
      <w:rFonts w:ascii="方正小标宋_GBK" w:hAnsi="方正小标宋_GBK" w:eastAsia="方正小标宋_GBK" w:cs="方正小标宋_GBK"/>
      <w:sz w:val="24"/>
      <w:szCs w:val="24"/>
      <w:lang w:val="en-US" w:eastAsia="uk-UA"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2022-09-16T07:36:00Z</dcterms:created>
  <dc:creator>Administrator</dc:creator>
  <cp:lastModifiedBy>Administrator</cp:lastModifiedBy>
  <dcterms:modified xsi:type="dcterms:W3CDTF">2022-09-19T01:43:06Z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