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jc w:val="center"/>
        <w:rPr>
          <w:rFonts w:hint="eastAsia" w:ascii="方正小标宋简体" w:eastAsia="方正小标宋简体" w:cs="方正小标宋简体"/>
          <w:color w:val="000000" w:themeColor="text1"/>
          <w:szCs w:val="44"/>
          <w:lang w:eastAsia="zh-CN"/>
          <w14:textFill>
            <w14:solidFill>
              <w14:schemeClr w14:val="tx1"/>
            </w14:solidFill>
          </w14:textFill>
        </w:rPr>
      </w:pPr>
      <w:r>
        <w:rPr>
          <w:rFonts w:hint="eastAsia" w:ascii="方正小标宋简体" w:eastAsia="方正小标宋简体" w:cs="方正小标宋简体"/>
          <w:color w:val="000000" w:themeColor="text1"/>
          <w:szCs w:val="44"/>
          <w14:textFill>
            <w14:solidFill>
              <w14:schemeClr w14:val="tx1"/>
            </w14:solidFill>
          </w14:textFill>
        </w:rPr>
        <w:t>秦皇岛</w:t>
      </w:r>
      <w:r>
        <w:rPr>
          <w:rFonts w:hint="eastAsia" w:ascii="方正小标宋简体" w:eastAsia="方正小标宋简体" w:cs="方正小标宋简体"/>
          <w:color w:val="000000" w:themeColor="text1"/>
          <w:szCs w:val="44"/>
          <w:lang w:val="en-US" w:eastAsia="zh-CN"/>
          <w14:textFill>
            <w14:solidFill>
              <w14:schemeClr w14:val="tx1"/>
            </w14:solidFill>
          </w14:textFill>
        </w:rPr>
        <w:t>北戴河新区</w:t>
      </w:r>
      <w:r>
        <w:rPr>
          <w:rFonts w:hint="eastAsia" w:ascii="方正小标宋简体" w:eastAsia="方正小标宋简体" w:cs="方正小标宋简体"/>
          <w:color w:val="000000" w:themeColor="text1"/>
          <w:szCs w:val="44"/>
          <w14:textFill>
            <w14:solidFill>
              <w14:schemeClr w14:val="tx1"/>
            </w14:solidFill>
          </w14:textFill>
        </w:rPr>
        <w:t>实行告知承诺制证明事项目录</w:t>
      </w:r>
      <w:r>
        <w:rPr>
          <w:rFonts w:hint="eastAsia" w:ascii="方正小标宋简体" w:eastAsia="方正小标宋简体" w:cs="方正小标宋简体"/>
          <w:color w:val="000000" w:themeColor="text1"/>
          <w:szCs w:val="44"/>
          <w:lang w:eastAsia="zh-CN"/>
          <w14:textFill>
            <w14:solidFill>
              <w14:schemeClr w14:val="tx1"/>
            </w14:solidFill>
          </w14:textFill>
        </w:rPr>
        <w:t>（</w:t>
      </w:r>
      <w:r>
        <w:rPr>
          <w:rFonts w:hint="default" w:ascii="方正小标宋简体" w:eastAsia="方正小标宋简体" w:cs="方正小标宋简体"/>
          <w:color w:val="000000" w:themeColor="text1"/>
          <w:szCs w:val="44"/>
          <w:lang w:val="en-US" w:eastAsia="zh-CN"/>
          <w14:textFill>
            <w14:solidFill>
              <w14:schemeClr w14:val="tx1"/>
            </w14:solidFill>
          </w14:textFill>
        </w:rPr>
        <w:t>2022</w:t>
      </w:r>
      <w:r>
        <w:rPr>
          <w:rFonts w:hint="eastAsia" w:ascii="方正小标宋简体" w:eastAsia="方正小标宋简体" w:cs="方正小标宋简体"/>
          <w:color w:val="000000" w:themeColor="text1"/>
          <w:szCs w:val="44"/>
          <w:lang w:val="en-US" w:eastAsia="zh-CN"/>
          <w14:textFill>
            <w14:solidFill>
              <w14:schemeClr w14:val="tx1"/>
            </w14:solidFill>
          </w14:textFill>
        </w:rPr>
        <w:t>年</w:t>
      </w:r>
      <w:bookmarkStart w:id="0" w:name="_GoBack"/>
      <w:bookmarkEnd w:id="0"/>
      <w:r>
        <w:rPr>
          <w:rFonts w:hint="eastAsia" w:ascii="方正小标宋简体" w:eastAsia="方正小标宋简体" w:cs="方正小标宋简体"/>
          <w:color w:val="000000" w:themeColor="text1"/>
          <w:szCs w:val="44"/>
          <w:lang w:eastAsia="zh-CN"/>
          <w14:textFill>
            <w14:solidFill>
              <w14:schemeClr w14:val="tx1"/>
            </w14:solidFill>
          </w14:textFill>
        </w:rPr>
        <w:t>）</w:t>
      </w:r>
    </w:p>
    <w:tbl>
      <w:tblPr>
        <w:tblStyle w:val="4"/>
        <w:tblW w:w="13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70"/>
        <w:gridCol w:w="2075"/>
        <w:gridCol w:w="900"/>
        <w:gridCol w:w="83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601"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序号</w:t>
            </w:r>
          </w:p>
        </w:tc>
        <w:tc>
          <w:tcPr>
            <w:tcW w:w="887"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事项</w:t>
            </w:r>
          </w:p>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名称</w:t>
            </w:r>
          </w:p>
        </w:tc>
        <w:tc>
          <w:tcPr>
            <w:tcW w:w="1000"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事项</w:t>
            </w:r>
          </w:p>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用途</w:t>
            </w:r>
          </w:p>
        </w:tc>
        <w:tc>
          <w:tcPr>
            <w:tcW w:w="8663" w:type="dxa"/>
            <w:gridSpan w:val="4"/>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设定依据</w:t>
            </w:r>
          </w:p>
        </w:tc>
        <w:tc>
          <w:tcPr>
            <w:tcW w:w="900"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索证</w:t>
            </w:r>
          </w:p>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部门</w:t>
            </w:r>
          </w:p>
        </w:tc>
        <w:tc>
          <w:tcPr>
            <w:tcW w:w="837"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出具</w:t>
            </w:r>
          </w:p>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部门</w:t>
            </w:r>
          </w:p>
        </w:tc>
        <w:tc>
          <w:tcPr>
            <w:tcW w:w="830" w:type="dxa"/>
            <w:vMerge w:val="restart"/>
            <w:vAlign w:val="center"/>
          </w:tcPr>
          <w:p>
            <w:pPr>
              <w:pStyle w:val="2"/>
              <w:spacing w:line="200" w:lineRule="exact"/>
              <w:jc w:val="center"/>
              <w:rPr>
                <w:rFonts w:ascii="黑体" w:eastAsia="黑体" w:cs="黑体"/>
                <w:color w:val="000000" w:themeColor="text1"/>
                <w:kern w:val="0"/>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blHeader/>
          <w:jc w:val="center"/>
        </w:trPr>
        <w:tc>
          <w:tcPr>
            <w:tcW w:w="601" w:type="dxa"/>
            <w:vMerge w:val="continue"/>
            <w:vAlign w:val="center"/>
          </w:tcPr>
          <w:p>
            <w:pPr>
              <w:rPr>
                <w:color w:val="000000" w:themeColor="text1"/>
                <w14:textFill>
                  <w14:solidFill>
                    <w14:schemeClr w14:val="tx1"/>
                  </w14:solidFill>
                </w14:textFill>
              </w:rPr>
            </w:pPr>
          </w:p>
        </w:tc>
        <w:tc>
          <w:tcPr>
            <w:tcW w:w="887" w:type="dxa"/>
            <w:vMerge w:val="continue"/>
            <w:vAlign w:val="center"/>
          </w:tcPr>
          <w:p>
            <w:pPr>
              <w:rPr>
                <w:color w:val="000000" w:themeColor="text1"/>
                <w14:textFill>
                  <w14:solidFill>
                    <w14:schemeClr w14:val="tx1"/>
                  </w14:solidFill>
                </w14:textFill>
              </w:rPr>
            </w:pPr>
          </w:p>
        </w:tc>
        <w:tc>
          <w:tcPr>
            <w:tcW w:w="1000" w:type="dxa"/>
            <w:vMerge w:val="continue"/>
            <w:vAlign w:val="center"/>
          </w:tcPr>
          <w:p>
            <w:pPr>
              <w:rPr>
                <w:color w:val="000000" w:themeColor="text1"/>
                <w14:textFill>
                  <w14:solidFill>
                    <w14:schemeClr w14:val="tx1"/>
                  </w14:solidFill>
                </w14:textFill>
              </w:rPr>
            </w:pPr>
          </w:p>
        </w:tc>
        <w:tc>
          <w:tcPr>
            <w:tcW w:w="2300" w:type="dxa"/>
            <w:vAlign w:val="center"/>
          </w:tcPr>
          <w:p>
            <w:pPr>
              <w:pStyle w:val="2"/>
              <w:spacing w:line="200" w:lineRule="exact"/>
              <w:jc w:val="center"/>
              <w:rPr>
                <w:rFonts w:ascii="黑体" w:eastAsia="黑体" w:cs="黑体"/>
                <w:color w:val="000000" w:themeColor="text1"/>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法律</w:t>
            </w:r>
          </w:p>
        </w:tc>
        <w:tc>
          <w:tcPr>
            <w:tcW w:w="2218" w:type="dxa"/>
            <w:vAlign w:val="center"/>
          </w:tcPr>
          <w:p>
            <w:pPr>
              <w:pStyle w:val="2"/>
              <w:spacing w:line="200" w:lineRule="exact"/>
              <w:jc w:val="center"/>
              <w:rPr>
                <w:rFonts w:ascii="黑体" w:eastAsia="黑体" w:cs="黑体"/>
                <w:color w:val="000000" w:themeColor="text1"/>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法规</w:t>
            </w:r>
          </w:p>
        </w:tc>
        <w:tc>
          <w:tcPr>
            <w:tcW w:w="2070" w:type="dxa"/>
            <w:vAlign w:val="center"/>
          </w:tcPr>
          <w:p>
            <w:pPr>
              <w:pStyle w:val="2"/>
              <w:spacing w:line="200" w:lineRule="exact"/>
              <w:jc w:val="center"/>
              <w:rPr>
                <w:rFonts w:ascii="黑体" w:eastAsia="黑体" w:cs="黑体"/>
                <w:color w:val="000000" w:themeColor="text1"/>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国务院决定</w:t>
            </w:r>
          </w:p>
        </w:tc>
        <w:tc>
          <w:tcPr>
            <w:tcW w:w="2075" w:type="dxa"/>
            <w:vAlign w:val="center"/>
          </w:tcPr>
          <w:p>
            <w:pPr>
              <w:pStyle w:val="2"/>
              <w:spacing w:line="200" w:lineRule="exact"/>
              <w:jc w:val="center"/>
              <w:rPr>
                <w:rFonts w:ascii="黑体" w:eastAsia="黑体" w:cs="黑体"/>
                <w:color w:val="000000" w:themeColor="text1"/>
                <w:sz w:val="15"/>
                <w:szCs w:val="15"/>
                <w14:textFill>
                  <w14:solidFill>
                    <w14:schemeClr w14:val="tx1"/>
                  </w14:solidFill>
                </w14:textFill>
              </w:rPr>
            </w:pPr>
            <w:r>
              <w:rPr>
                <w:rFonts w:hint="eastAsia" w:ascii="黑体" w:eastAsia="黑体" w:cs="黑体"/>
                <w:color w:val="000000" w:themeColor="text1"/>
                <w:kern w:val="0"/>
                <w:sz w:val="15"/>
                <w:szCs w:val="15"/>
                <w14:textFill>
                  <w14:solidFill>
                    <w14:schemeClr w14:val="tx1"/>
                  </w14:solidFill>
                </w14:textFill>
              </w:rPr>
              <w:t>规章等程序性规定</w:t>
            </w:r>
          </w:p>
        </w:tc>
        <w:tc>
          <w:tcPr>
            <w:tcW w:w="900" w:type="dxa"/>
            <w:vMerge w:val="continue"/>
            <w:vAlign w:val="center"/>
          </w:tcPr>
          <w:p>
            <w:pPr>
              <w:rPr>
                <w:color w:val="000000" w:themeColor="text1"/>
                <w14:textFill>
                  <w14:solidFill>
                    <w14:schemeClr w14:val="tx1"/>
                  </w14:solidFill>
                </w14:textFill>
              </w:rPr>
            </w:pPr>
          </w:p>
        </w:tc>
        <w:tc>
          <w:tcPr>
            <w:tcW w:w="837" w:type="dxa"/>
            <w:vMerge w:val="continue"/>
            <w:vAlign w:val="center"/>
          </w:tcPr>
          <w:p>
            <w:pPr>
              <w:rPr>
                <w:color w:val="000000" w:themeColor="text1"/>
                <w14:textFill>
                  <w14:solidFill>
                    <w14:schemeClr w14:val="tx1"/>
                  </w14:solidFill>
                </w14:textFill>
              </w:rPr>
            </w:pPr>
          </w:p>
        </w:tc>
        <w:tc>
          <w:tcPr>
            <w:tcW w:w="830" w:type="dxa"/>
            <w:vMerge w:val="continue"/>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0" w:hRule="atLeast"/>
          <w:jc w:val="center"/>
        </w:trPr>
        <w:tc>
          <w:tcPr>
            <w:tcW w:w="601" w:type="dxa"/>
            <w:vAlign w:val="center"/>
          </w:tcPr>
          <w:p>
            <w:pPr>
              <w:widowControl/>
              <w:spacing w:line="200" w:lineRule="exact"/>
              <w:jc w:val="center"/>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1</w:t>
            </w:r>
          </w:p>
        </w:tc>
        <w:tc>
          <w:tcPr>
            <w:tcW w:w="88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办理户口登记、迁移的亲属关系证明（结婚证、户口簿、出生证明等不能证明的）</w:t>
            </w:r>
          </w:p>
        </w:tc>
        <w:tc>
          <w:tcPr>
            <w:tcW w:w="100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办理户口登记、迁移等</w:t>
            </w:r>
          </w:p>
        </w:tc>
        <w:tc>
          <w:tcPr>
            <w:tcW w:w="230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p>
        </w:tc>
        <w:tc>
          <w:tcPr>
            <w:tcW w:w="2218" w:type="dxa"/>
            <w:vAlign w:val="center"/>
          </w:tcPr>
          <w:p>
            <w:pPr>
              <w:widowControl/>
              <w:spacing w:line="200" w:lineRule="exact"/>
              <w:textAlignment w:val="center"/>
              <w:rPr>
                <w:rFonts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《中华人民共和国户口登记条例》（1958年1月9日</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"https://baike.baidu.com/item/%E4%B8%AD%E5%8D%8E%E4%BA%BA%E6%B0%91%E5%85%B1%E5%92%8C%E5%9B%BD%E4%B8%BB%E5%B8%AD%E4%BB%A4/5279243" \t "/home/kylin/文档\x/_blank" </w:instrText>
            </w:r>
            <w:r>
              <w:rPr>
                <w:color w:val="000000" w:themeColor="text1"/>
                <w14:textFill>
                  <w14:solidFill>
                    <w14:schemeClr w14:val="tx1"/>
                  </w14:solidFill>
                </w14:textFill>
              </w:rPr>
              <w:fldChar w:fldCharType="separate"/>
            </w:r>
            <w:r>
              <w:rPr>
                <w:rFonts w:hint="eastAsia" w:hAnsi="仿宋" w:cs="仿宋"/>
                <w:color w:val="000000" w:themeColor="text1"/>
                <w:kern w:val="0"/>
                <w:sz w:val="15"/>
                <w:szCs w:val="15"/>
                <w14:textFill>
                  <w14:solidFill>
                    <w14:schemeClr w14:val="tx1"/>
                  </w14:solidFill>
                </w14:textFill>
              </w:rPr>
              <w:t>主席令</w:t>
            </w:r>
            <w:r>
              <w:rPr>
                <w:rFonts w:hint="eastAsia" w:hAnsi="仿宋" w:cs="仿宋"/>
                <w:color w:val="000000" w:themeColor="text1"/>
                <w:kern w:val="0"/>
                <w:sz w:val="15"/>
                <w:szCs w:val="15"/>
                <w14:textFill>
                  <w14:solidFill>
                    <w14:schemeClr w14:val="tx1"/>
                  </w14:solidFill>
                </w14:textFill>
              </w:rPr>
              <w:fldChar w:fldCharType="end"/>
            </w:r>
            <w:r>
              <w:rPr>
                <w:rFonts w:hint="eastAsia" w:hAnsi="仿宋" w:cs="仿宋"/>
                <w:color w:val="000000" w:themeColor="text1"/>
                <w:kern w:val="0"/>
                <w:sz w:val="15"/>
                <w:szCs w:val="15"/>
                <w14:textFill>
                  <w14:solidFill>
                    <w14:schemeClr w14:val="tx1"/>
                  </w14:solidFill>
                </w14:textFill>
              </w:rPr>
              <w:t>公布，1958年1月9日起施行）</w:t>
            </w:r>
          </w:p>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第十七条、第十九条</w:t>
            </w:r>
          </w:p>
        </w:tc>
        <w:tc>
          <w:tcPr>
            <w:tcW w:w="207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p>
        </w:tc>
        <w:tc>
          <w:tcPr>
            <w:tcW w:w="2075"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公安部等12部门联合印发的《关于改进和规范公安派出所出具证明工作的意见》（公通字〔2016〕21号）第二条</w:t>
            </w:r>
          </w:p>
        </w:tc>
        <w:tc>
          <w:tcPr>
            <w:tcW w:w="90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户口登记、户口迁入地公安派出所</w:t>
            </w:r>
          </w:p>
        </w:tc>
        <w:tc>
          <w:tcPr>
            <w:tcW w:w="83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原户口所在地公安派出所</w:t>
            </w:r>
          </w:p>
        </w:tc>
        <w:tc>
          <w:tcPr>
            <w:tcW w:w="83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601" w:type="dxa"/>
            <w:vAlign w:val="top"/>
          </w:tcPr>
          <w:p>
            <w:pPr>
              <w:pStyle w:val="6"/>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pStyle w:val="6"/>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pStyle w:val="6"/>
              <w:spacing w:before="6"/>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pStyle w:val="6"/>
              <w:ind w:right="168" w:rightChars="0"/>
              <w:jc w:val="right"/>
              <w:rPr>
                <w:rFonts w:hint="default" w:ascii="仿宋" w:hAnsi="仿宋" w:eastAsia="仿宋" w:cs="仿宋"/>
                <w:color w:val="000000" w:themeColor="text1"/>
                <w:kern w:val="0"/>
                <w:sz w:val="15"/>
                <w:szCs w:val="15"/>
                <w:lang w:val="en-US" w:eastAsia="zh-CN" w:bidi="ar-SA"/>
                <w14:textFill>
                  <w14:solidFill>
                    <w14:schemeClr w14:val="tx1"/>
                  </w14:solidFill>
                </w14:textFill>
              </w:rPr>
            </w:pPr>
            <w:r>
              <w:rPr>
                <w:rFonts w:hint="eastAsia" w:hAnsi="仿宋" w:cs="仿宋"/>
                <w:color w:val="000000" w:themeColor="text1"/>
                <w:kern w:val="0"/>
                <w:sz w:val="15"/>
                <w:szCs w:val="15"/>
                <w:lang w:val="en-US" w:eastAsia="zh-CN" w:bidi="ar-SA"/>
                <w14:textFill>
                  <w14:solidFill>
                    <w14:schemeClr w14:val="tx1"/>
                  </w14:solidFill>
                </w14:textFill>
              </w:rPr>
              <w:t>2</w:t>
            </w:r>
          </w:p>
        </w:tc>
        <w:tc>
          <w:tcPr>
            <w:tcW w:w="887"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理论教练员两年以上安全驾驶经历证明</w:t>
            </w:r>
          </w:p>
        </w:tc>
        <w:tc>
          <w:tcPr>
            <w:tcW w:w="1000"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申请从事机动车驾驶员培训经营</w:t>
            </w:r>
          </w:p>
        </w:tc>
        <w:tc>
          <w:tcPr>
            <w:tcW w:w="2300"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《中华人民共和国道路通安全法 》2021 年4 月29 日修改)第二十条</w:t>
            </w:r>
          </w:p>
        </w:tc>
        <w:tc>
          <w:tcPr>
            <w:tcW w:w="2218"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tc>
        <w:tc>
          <w:tcPr>
            <w:tcW w:w="2070" w:type="dxa"/>
            <w:vAlign w:val="top"/>
          </w:tcPr>
          <w:p>
            <w:pPr>
              <w:pStyle w:val="6"/>
              <w:rPr>
                <w:rFonts w:hint="eastAsia" w:ascii="仿宋" w:hAnsi="仿宋" w:eastAsia="仿宋" w:cs="仿宋"/>
                <w:color w:val="000000" w:themeColor="text1"/>
                <w:kern w:val="0"/>
                <w:sz w:val="15"/>
                <w:szCs w:val="15"/>
                <w:lang w:val="en-US" w:eastAsia="zh-CN" w:bidi="ar-SA"/>
                <w14:textFill>
                  <w14:solidFill>
                    <w14:schemeClr w14:val="tx1"/>
                  </w14:solidFill>
                </w14:textFill>
              </w:rPr>
            </w:pPr>
          </w:p>
        </w:tc>
        <w:tc>
          <w:tcPr>
            <w:tcW w:w="2075" w:type="dxa"/>
            <w:vAlign w:val="top"/>
          </w:tcPr>
          <w:p>
            <w:pPr>
              <w:pStyle w:val="6"/>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pStyle w:val="6"/>
              <w:spacing w:before="12"/>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《机动车驾驶员培训管理规定》(2006年交通部令第2号公布,2016 年4 月21日修正)第十条</w:t>
            </w:r>
          </w:p>
        </w:tc>
        <w:tc>
          <w:tcPr>
            <w:tcW w:w="900"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hAnsi="仿宋" w:cs="仿宋"/>
                <w:color w:val="000000" w:themeColor="text1"/>
                <w:kern w:val="0"/>
                <w:sz w:val="15"/>
                <w:szCs w:val="15"/>
                <w:lang w:val="en-US" w:eastAsia="zh-CN" w:bidi="ar-SA"/>
                <w14:textFill>
                  <w14:solidFill>
                    <w14:schemeClr w14:val="tx1"/>
                  </w14:solidFill>
                </w14:textFill>
              </w:rPr>
              <w:t>新区</w:t>
            </w:r>
            <w:r>
              <w:rPr>
                <w:rFonts w:hint="eastAsia" w:ascii="仿宋" w:hAnsi="仿宋" w:eastAsia="仿宋" w:cs="仿宋"/>
                <w:color w:val="000000" w:themeColor="text1"/>
                <w:kern w:val="0"/>
                <w:sz w:val="15"/>
                <w:szCs w:val="15"/>
                <w:lang w:val="en-US" w:eastAsia="zh-CN" w:bidi="ar-SA"/>
                <w14:textFill>
                  <w14:solidFill>
                    <w14:schemeClr w14:val="tx1"/>
                  </w14:solidFill>
                </w14:textFill>
              </w:rPr>
              <w:t>交通运输部门</w:t>
            </w:r>
          </w:p>
        </w:tc>
        <w:tc>
          <w:tcPr>
            <w:tcW w:w="837"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公安交警部门</w:t>
            </w:r>
          </w:p>
        </w:tc>
        <w:tc>
          <w:tcPr>
            <w:tcW w:w="830" w:type="dxa"/>
            <w:vAlign w:val="top"/>
          </w:tcPr>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p>
          <w:p>
            <w:pPr>
              <w:rPr>
                <w:rFonts w:hint="eastAsia" w:ascii="仿宋" w:hAnsi="仿宋" w:eastAsia="仿宋" w:cs="仿宋"/>
                <w:color w:val="000000" w:themeColor="text1"/>
                <w:kern w:val="0"/>
                <w:sz w:val="15"/>
                <w:szCs w:val="15"/>
                <w:lang w:val="en-US" w:eastAsia="zh-CN" w:bidi="ar-SA"/>
                <w14:textFill>
                  <w14:solidFill>
                    <w14:schemeClr w14:val="tx1"/>
                  </w14:solidFill>
                </w14:textFill>
              </w:rPr>
            </w:pPr>
            <w:r>
              <w:rPr>
                <w:rFonts w:hint="eastAsia" w:ascii="仿宋" w:hAnsi="仿宋" w:eastAsia="仿宋" w:cs="仿宋"/>
                <w:color w:val="000000" w:themeColor="text1"/>
                <w:kern w:val="0"/>
                <w:sz w:val="15"/>
                <w:szCs w:val="15"/>
                <w:lang w:val="en-US" w:eastAsia="zh-CN" w:bidi="ar-SA"/>
                <w14:textFill>
                  <w14:solidFill>
                    <w14:schemeClr w14:val="tx1"/>
                  </w14:solidFill>
                </w14:textFill>
              </w:rPr>
              <w:t>理论教员应具有两年以上安全驾驶经 历; 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1"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p>
            <w:pPr>
              <w:widowControl/>
              <w:spacing w:line="200" w:lineRule="exact"/>
              <w:jc w:val="center"/>
              <w:textAlignment w:val="center"/>
              <w:rPr>
                <w:rFonts w:hint="eastAsia" w:hAnsi="仿宋" w:eastAsia="仿宋" w:cs="仿宋"/>
                <w:color w:val="000000" w:themeColor="text1"/>
                <w:kern w:val="0"/>
                <w:sz w:val="15"/>
                <w:szCs w:val="15"/>
                <w:lang w:val="en-US" w:eastAsia="zh-CN"/>
                <w14:textFill>
                  <w14:solidFill>
                    <w14:schemeClr w14:val="tx1"/>
                  </w14:solidFill>
                </w14:textFill>
              </w:rPr>
            </w:pPr>
            <w:r>
              <w:rPr>
                <w:rFonts w:hint="eastAsia" w:hAnsi="仿宋" w:cs="仿宋"/>
                <w:color w:val="000000" w:themeColor="text1"/>
                <w:kern w:val="0"/>
                <w:sz w:val="15"/>
                <w:szCs w:val="15"/>
                <w:lang w:val="en-US" w:eastAsia="zh-CN"/>
                <w14:textFill>
                  <w14:solidFill>
                    <w14:schemeClr w14:val="tx1"/>
                  </w14:solidFill>
                </w14:textFill>
              </w:rPr>
              <w:t>3</w:t>
            </w:r>
          </w:p>
        </w:tc>
        <w:tc>
          <w:tcPr>
            <w:tcW w:w="887"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道路旅客运输企业驾驶人员3 年内无重大以上交通责任事故证明</w:t>
            </w:r>
          </w:p>
        </w:tc>
        <w:tc>
          <w:tcPr>
            <w:tcW w:w="1000"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申请从事客运经营或客运班线</w:t>
            </w:r>
          </w:p>
        </w:tc>
        <w:tc>
          <w:tcPr>
            <w:tcW w:w="2300"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tc>
        <w:tc>
          <w:tcPr>
            <w:tcW w:w="2218"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《中华人民共和国道路运输条例》(国务院 令 第 406 号, 2019年3 月2 日修订) 第八条、第九条</w:t>
            </w:r>
          </w:p>
        </w:tc>
        <w:tc>
          <w:tcPr>
            <w:tcW w:w="2070"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tc>
        <w:tc>
          <w:tcPr>
            <w:tcW w:w="2075"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tc>
        <w:tc>
          <w:tcPr>
            <w:tcW w:w="900"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lang w:val="en-US" w:eastAsia="zh-CN"/>
                <w14:textFill>
                  <w14:solidFill>
                    <w14:schemeClr w14:val="tx1"/>
                  </w14:solidFill>
                </w14:textFill>
              </w:rPr>
              <w:t>新区</w:t>
            </w:r>
            <w:r>
              <w:rPr>
                <w:rFonts w:hint="eastAsia" w:hAnsi="仿宋" w:cs="仿宋"/>
                <w:color w:val="000000" w:themeColor="text1"/>
                <w:kern w:val="0"/>
                <w:sz w:val="15"/>
                <w:szCs w:val="15"/>
                <w14:textFill>
                  <w14:solidFill>
                    <w14:schemeClr w14:val="tx1"/>
                  </w14:solidFill>
                </w14:textFill>
              </w:rPr>
              <w:t>交通运输部门</w:t>
            </w:r>
          </w:p>
        </w:tc>
        <w:tc>
          <w:tcPr>
            <w:tcW w:w="837"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r>
              <w:rPr>
                <w:rFonts w:hint="eastAsia" w:hAnsi="仿宋" w:cs="仿宋"/>
                <w:color w:val="000000" w:themeColor="text1"/>
                <w:kern w:val="0"/>
                <w:sz w:val="15"/>
                <w:szCs w:val="15"/>
                <w14:textFill>
                  <w14:solidFill>
                    <w14:schemeClr w14:val="tx1"/>
                  </w14:solidFill>
                </w14:textFill>
              </w:rPr>
              <w:t>市、县级公安交管部门</w:t>
            </w:r>
          </w:p>
        </w:tc>
        <w:tc>
          <w:tcPr>
            <w:tcW w:w="830" w:type="dxa"/>
            <w:vAlign w:val="top"/>
          </w:tcPr>
          <w:p>
            <w:pPr>
              <w:widowControl/>
              <w:spacing w:line="200" w:lineRule="exact"/>
              <w:textAlignment w:val="center"/>
              <w:rPr>
                <w:rFonts w:hint="eastAsia" w:hAnsi="仿宋" w:cs="仿宋"/>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4</w:t>
            </w:r>
          </w:p>
        </w:tc>
        <w:tc>
          <w:tcPr>
            <w:tcW w:w="887"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 xml:space="preserve">供养直系亲属与死者关系证明（通过告知承诺制、部门间数据共享核查） </w:t>
            </w:r>
          </w:p>
        </w:tc>
        <w:tc>
          <w:tcPr>
            <w:tcW w:w="1000"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办理养老保险丧葬补助金、抚恤金核定；个人账户一次性支付核定（养老保险服务）</w:t>
            </w:r>
          </w:p>
        </w:tc>
        <w:tc>
          <w:tcPr>
            <w:tcW w:w="2300"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《中华人民共和国社会保险法》（2018年12月29日修正）第十七条、第十四条</w:t>
            </w:r>
          </w:p>
        </w:tc>
        <w:tc>
          <w:tcPr>
            <w:tcW w:w="2218"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p>
        </w:tc>
        <w:tc>
          <w:tcPr>
            <w:tcW w:w="2070"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《人力资源社会保障部关于印发机关事业单位工作人员基本养老保险经办规程的通知》（人社部发〔2015〕32号）第四十条、第四十一条</w:t>
            </w:r>
            <w:r>
              <w:rPr>
                <w:rFonts w:hint="eastAsia" w:cs="仿宋"/>
                <w:color w:val="000000" w:themeColor="text1"/>
                <w:kern w:val="0"/>
                <w:sz w:val="15"/>
                <w:szCs w:val="15"/>
                <w:lang w:val="en-US" w:eastAsia="zh-CN"/>
                <w14:textFill>
                  <w14:solidFill>
                    <w14:schemeClr w14:val="tx1"/>
                  </w14:solidFill>
                </w14:textFill>
              </w:rPr>
              <w:br w:type="textWrapping"/>
            </w:r>
            <w:r>
              <w:rPr>
                <w:rFonts w:hint="eastAsia" w:cs="仿宋"/>
                <w:color w:val="000000" w:themeColor="text1"/>
                <w:kern w:val="0"/>
                <w:sz w:val="15"/>
                <w:szCs w:val="15"/>
                <w:lang w:val="en-US" w:eastAsia="zh-CN"/>
                <w14:textFill>
                  <w14:solidFill>
                    <w14:schemeClr w14:val="tx1"/>
                  </w14:solidFill>
                </w14:textFill>
              </w:rPr>
              <w:t>《关于印发基本养老保险经办业务规程（试行）的通知》（劳社险中心函〔2003〕38号）第六十六条</w:t>
            </w:r>
          </w:p>
        </w:tc>
        <w:tc>
          <w:tcPr>
            <w:tcW w:w="900"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公安派出所</w:t>
            </w:r>
          </w:p>
        </w:tc>
        <w:tc>
          <w:tcPr>
            <w:tcW w:w="830" w:type="dxa"/>
            <w:vAlign w:val="center"/>
          </w:tcPr>
          <w:p>
            <w:pPr>
              <w:widowControl/>
              <w:spacing w:line="200" w:lineRule="exact"/>
              <w:textAlignment w:val="center"/>
              <w:rPr>
                <w:rFonts w:hint="eastAsia" w:cs="仿宋"/>
                <w:color w:val="000000" w:themeColor="text1"/>
                <w:kern w:val="0"/>
                <w:sz w:val="15"/>
                <w:szCs w:val="15"/>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5</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离退休人员死亡证明（通过告知承诺制、部门间数据共享核查）</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办理养老保险丧葬补助金、抚恤金核定；个人账户一次性支付核定（养老保险服务）</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《中华人民共和国社会保险法》（2018年12月29日修正）第十七条、第十四条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《中华人民共和国劳动保险条例》（1953年1月2日修正）第十四条</w:t>
            </w: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 xml:space="preserve">《国务院关于建立统一的城乡居民基本养老保险制度的意见》（国发〔2014〕8号）    </w:t>
            </w:r>
            <w:r>
              <w:rPr>
                <w:rFonts w:hint="eastAsia" w:cs="仿宋"/>
                <w:color w:val="000000" w:themeColor="text1"/>
                <w:kern w:val="0"/>
                <w:sz w:val="15"/>
                <w:szCs w:val="15"/>
                <w:lang w:val="en-US" w:eastAsia="zh-CN"/>
                <w14:textFill>
                  <w14:solidFill>
                    <w14:schemeClr w14:val="tx1"/>
                  </w14:solidFill>
                </w14:textFill>
              </w:rPr>
              <w:br w:type="textWrapping"/>
            </w:r>
            <w:r>
              <w:rPr>
                <w:rFonts w:hint="eastAsia" w:cs="仿宋"/>
                <w:color w:val="000000" w:themeColor="text1"/>
                <w:kern w:val="0"/>
                <w:sz w:val="15"/>
                <w:szCs w:val="15"/>
                <w:lang w:val="en-US" w:eastAsia="zh-CN"/>
                <w14:textFill>
                  <w14:solidFill>
                    <w14:schemeClr w14:val="tx1"/>
                  </w14:solidFill>
                </w14:textFill>
              </w:rPr>
              <w:t xml:space="preserve">  七、养老保险待遇领取条件：有条件的地方人民政府可以结合本地实际探索建立丧葬补助金制度。        </w:t>
            </w: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《机关事业单位工作人员基本养老保险经办规程的通知》（人社部发〔2015〕32号）第四十条、第四十一条</w:t>
            </w:r>
            <w:r>
              <w:rPr>
                <w:rFonts w:hint="eastAsia" w:cs="仿宋"/>
                <w:color w:val="000000" w:themeColor="text1"/>
                <w:kern w:val="0"/>
                <w:sz w:val="15"/>
                <w:szCs w:val="15"/>
                <w:lang w:val="en-US" w:eastAsia="zh-CN"/>
                <w14:textFill>
                  <w14:solidFill>
                    <w14:schemeClr w14:val="tx1"/>
                  </w14:solidFill>
                </w14:textFill>
              </w:rPr>
              <w:br w:type="textWrapping"/>
            </w:r>
            <w:r>
              <w:rPr>
                <w:rFonts w:hint="eastAsia" w:cs="仿宋"/>
                <w:color w:val="000000" w:themeColor="text1"/>
                <w:kern w:val="0"/>
                <w:sz w:val="15"/>
                <w:szCs w:val="15"/>
                <w:lang w:val="en-US" w:eastAsia="zh-CN"/>
                <w14:textFill>
                  <w14:solidFill>
                    <w14:schemeClr w14:val="tx1"/>
                  </w14:solidFill>
                </w14:textFill>
              </w:rPr>
              <w:t>《关于印发基本养老保险经办业务规程（试行）的通知》（劳社险中心函〔2003〕38号）第六十六条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公安部门</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6</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死亡证明材料（通过告知承诺制、部门间数据共享核查）</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办理基本养老保险个人账户一次性支付核定（养老保险服务）</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《中华人民共和国社会保险法》（2018年12月29日修正）第十四条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《人力资源社会保障部关于印发机关事业单位工作人员基本养老保险经办规程的通知》（人社部发〔2015〕32号）第四十一条</w:t>
            </w:r>
            <w:r>
              <w:rPr>
                <w:rFonts w:hint="eastAsia" w:cs="仿宋"/>
                <w:color w:val="000000" w:themeColor="text1"/>
                <w:kern w:val="0"/>
                <w:sz w:val="15"/>
                <w:szCs w:val="15"/>
                <w:lang w:val="en-US" w:eastAsia="zh-CN"/>
                <w14:textFill>
                  <w14:solidFill>
                    <w14:schemeClr w14:val="tx1"/>
                  </w14:solidFill>
                </w14:textFill>
              </w:rPr>
              <w:br w:type="textWrapping"/>
            </w:r>
            <w:r>
              <w:rPr>
                <w:rFonts w:hint="eastAsia" w:cs="仿宋"/>
                <w:color w:val="000000" w:themeColor="text1"/>
                <w:kern w:val="0"/>
                <w:sz w:val="15"/>
                <w:szCs w:val="15"/>
                <w:lang w:val="en-US" w:eastAsia="zh-CN"/>
                <w14:textFill>
                  <w14:solidFill>
                    <w14:schemeClr w14:val="tx1"/>
                  </w14:solidFill>
                </w14:textFill>
              </w:rPr>
              <w:t>《关于印发基本养老保险经办业务规程（试行）的通知》（劳社险中心函〔2003〕38号）第六十四条、第七十三条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公安部门</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7</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能够确定指定受益人、法定继承人继承权的公证文书</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城乡居民基本养老保险注销登记</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《国务院关于建立统一的城乡居民基本养老保险制度的意见》（国发〔2014〕8号）第七条</w:t>
            </w: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《城乡居民基本养老保险经办规程》（人社部发〔2019〕84号）第三十七条、第三十八条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新区人力资源和社会保障部门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公证机构</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8</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依靠工亡职工生前提供主要生活来源的证明（告知承诺制办理）</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供养亲属抚恤金申领（工伤保险服务）</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《中华人民共和国社会保险法》（2018年12月29日修正）第三十八条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 xml:space="preserve">《工伤保险条例》（国务院令第586号）第三十九条、第四十一条  </w:t>
            </w: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《关于印发工伤保险经办规程的通知》（人社部发〔2012〕11号）第七十条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户籍所在地公安派出所、街道办事处、乡镇政府</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jc w:val="center"/>
        </w:trPr>
        <w:tc>
          <w:tcPr>
            <w:tcW w:w="601" w:type="dxa"/>
            <w:vAlign w:val="center"/>
          </w:tcPr>
          <w:p>
            <w:pPr>
              <w:widowControl/>
              <w:spacing w:line="200" w:lineRule="exact"/>
              <w:jc w:val="center"/>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9</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供养直系亲属经济收入情况证明（无固定收入证明）</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离退休（职）人员死亡后，其遗属申请领取供养直系亲属生活补助费</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《中华人民共和国社会保险法》（2018年12月29日修正）第三十八条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《工伤保险条例》（国务院令第586号）第三十九条、第四十一条</w:t>
            </w: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劳动保障部社保中心《关于印发&lt;基本养老保险经办业务规程（试行）&gt;的通知》（劳社险中心函〔2003〕38号）第六十六条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基层群众自治组织</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601" w:type="dxa"/>
            <w:vAlign w:val="center"/>
          </w:tcPr>
          <w:p>
            <w:pPr>
              <w:widowControl/>
              <w:spacing w:line="200" w:lineRule="exact"/>
              <w:jc w:val="center"/>
              <w:textAlignment w:val="center"/>
              <w:rPr>
                <w:rFonts w:hint="default"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10</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死亡证明（无法通过数据比对核查的通过告知承诺制）</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失业保险丧葬补助金和抚恤金申领</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《中华人民共和国社会保险法》（2018年12月29日修正）第四十九条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《失业保险条例》（中华人民共和国国务院令第258号）第十条</w:t>
            </w: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《失业保险金申领发放办法》（中华人民共和国劳动和社会保障部令第8号）第十六条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公安部门</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 w:hRule="atLeast"/>
          <w:jc w:val="center"/>
        </w:trPr>
        <w:tc>
          <w:tcPr>
            <w:tcW w:w="601" w:type="dxa"/>
            <w:vAlign w:val="center"/>
          </w:tcPr>
          <w:p>
            <w:pPr>
              <w:widowControl/>
              <w:spacing w:line="200" w:lineRule="exact"/>
              <w:jc w:val="center"/>
              <w:textAlignment w:val="center"/>
              <w:rPr>
                <w:rFonts w:hint="default"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11</w:t>
            </w:r>
          </w:p>
        </w:tc>
        <w:tc>
          <w:tcPr>
            <w:tcW w:w="88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死亡证明（无法通过数据比对核查的通过告知承诺制）</w:t>
            </w:r>
          </w:p>
        </w:tc>
        <w:tc>
          <w:tcPr>
            <w:tcW w:w="10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申领一次性工亡补助金（含生活困难，预支50%确认）、丧葬补助金申领</w:t>
            </w:r>
          </w:p>
        </w:tc>
        <w:tc>
          <w:tcPr>
            <w:tcW w:w="23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《中华人民共和国社会保险法》（2018年12月29日修正）第三十八条</w:t>
            </w:r>
          </w:p>
        </w:tc>
        <w:tc>
          <w:tcPr>
            <w:tcW w:w="2218"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《工伤保险条例》（中华人民共和国国务院令第586号）第三十九条、第四十一条</w:t>
            </w:r>
          </w:p>
        </w:tc>
        <w:tc>
          <w:tcPr>
            <w:tcW w:w="207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c>
          <w:tcPr>
            <w:tcW w:w="2075"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《关于印发工伤保险经办规程的通知》（人社部发〔2012〕11号）第六十九条</w:t>
            </w:r>
          </w:p>
        </w:tc>
        <w:tc>
          <w:tcPr>
            <w:tcW w:w="90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新区人力资源社会保障部门</w:t>
            </w:r>
          </w:p>
        </w:tc>
        <w:tc>
          <w:tcPr>
            <w:tcW w:w="837"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公安部门</w:t>
            </w:r>
          </w:p>
        </w:tc>
        <w:tc>
          <w:tcPr>
            <w:tcW w:w="830" w:type="dxa"/>
            <w:vAlign w:val="center"/>
          </w:tcPr>
          <w:p>
            <w:pPr>
              <w:widowControl/>
              <w:spacing w:line="200" w:lineRule="exact"/>
              <w:textAlignment w:val="center"/>
              <w:rPr>
                <w:rFonts w:hint="eastAsia" w:cs="仿宋"/>
                <w:color w:val="000000" w:themeColor="text1"/>
                <w:kern w:val="0"/>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01"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jc w:val="center"/>
              <w:textAlignment w:val="center"/>
              <w:rPr>
                <w:rFonts w:hint="default"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ascii="仿宋" w:hAnsi="Times New Roman" w:eastAsia="仿宋" w:cs="仿宋"/>
                <w:color w:val="000000" w:themeColor="text1"/>
                <w:kern w:val="0"/>
                <w:sz w:val="15"/>
                <w:szCs w:val="15"/>
                <w:lang w:val="en-US" w:eastAsia="zh-CN" w:bidi="ar-SA"/>
                <w14:textFill>
                  <w14:solidFill>
                    <w14:schemeClr w14:val="tx1"/>
                  </w14:solidFill>
                </w14:textFill>
              </w:rPr>
              <w:t>12</w:t>
            </w:r>
          </w:p>
        </w:tc>
        <w:tc>
          <w:tcPr>
            <w:tcW w:w="88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无犯罪记录证明</w:t>
            </w:r>
          </w:p>
        </w:tc>
        <w:tc>
          <w:tcPr>
            <w:tcW w:w="10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娱乐场所设立、变更开办者审批</w:t>
            </w:r>
          </w:p>
        </w:tc>
        <w:tc>
          <w:tcPr>
            <w:tcW w:w="230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21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《娱乐场所管理条例》（国务院令第458号，2020年11月29日第二次修订）第五条</w:t>
            </w:r>
          </w:p>
        </w:tc>
        <w:tc>
          <w:tcPr>
            <w:tcW w:w="207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075"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新区</w:t>
            </w:r>
            <w:r>
              <w:rPr>
                <w:color w:val="000000" w:themeColor="text1"/>
                <w:sz w:val="15"/>
                <w:szCs w:val="15"/>
                <w14:textFill>
                  <w14:solidFill>
                    <w14:schemeClr w14:val="tx1"/>
                  </w14:solidFill>
                </w14:textFill>
              </w:rPr>
              <w:t>行政审批</w:t>
            </w:r>
            <w:r>
              <w:rPr>
                <w:rFonts w:hint="eastAsia"/>
                <w:color w:val="000000" w:themeColor="text1"/>
                <w:sz w:val="15"/>
                <w:szCs w:val="15"/>
                <w:lang w:val="en-US" w:eastAsia="zh-CN"/>
                <w14:textFill>
                  <w14:solidFill>
                    <w14:schemeClr w14:val="tx1"/>
                  </w14:solidFill>
                </w14:textFill>
              </w:rPr>
              <w:t>部门</w:t>
            </w:r>
          </w:p>
        </w:tc>
        <w:tc>
          <w:tcPr>
            <w:tcW w:w="83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户口所在地公安派出所</w:t>
            </w:r>
          </w:p>
        </w:tc>
        <w:tc>
          <w:tcPr>
            <w:tcW w:w="830"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Times New Roman" w:eastAsia="仿宋" w:cs="Times New Roman"/>
                <w:color w:val="000000" w:themeColor="text1"/>
                <w:kern w:val="2"/>
                <w:sz w:val="3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601" w:type="dxa"/>
            <w:vAlign w:val="center"/>
          </w:tcPr>
          <w:p>
            <w:pPr>
              <w:widowControl/>
              <w:spacing w:line="200" w:lineRule="exact"/>
              <w:jc w:val="center"/>
              <w:textAlignment w:val="center"/>
              <w:rPr>
                <w:rFonts w:hint="default" w:eastAsia="仿宋"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13</w:t>
            </w:r>
          </w:p>
        </w:tc>
        <w:tc>
          <w:tcPr>
            <w:tcW w:w="88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变更注册地址的证明（地名发生变化的）</w:t>
            </w:r>
          </w:p>
        </w:tc>
        <w:tc>
          <w:tcPr>
            <w:tcW w:w="100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危险化学品经营许可</w:t>
            </w:r>
          </w:p>
        </w:tc>
        <w:tc>
          <w:tcPr>
            <w:tcW w:w="2300" w:type="dxa"/>
            <w:vAlign w:val="center"/>
          </w:tcPr>
          <w:p>
            <w:pPr>
              <w:widowControl/>
              <w:spacing w:line="200" w:lineRule="exact"/>
              <w:rPr>
                <w:rFonts w:cs="仿宋"/>
                <w:color w:val="000000" w:themeColor="text1"/>
                <w:kern w:val="0"/>
                <w:sz w:val="15"/>
                <w:szCs w:val="15"/>
                <w14:textFill>
                  <w14:solidFill>
                    <w14:schemeClr w14:val="tx1"/>
                  </w14:solidFill>
                </w14:textFill>
              </w:rPr>
            </w:pPr>
          </w:p>
        </w:tc>
        <w:tc>
          <w:tcPr>
            <w:tcW w:w="2218"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《危险化学品安全管理条例》（国务院令第</w:t>
            </w:r>
            <w:r>
              <w:rPr>
                <w:rFonts w:cs="仿宋"/>
                <w:color w:val="000000" w:themeColor="text1"/>
                <w:kern w:val="0"/>
                <w:sz w:val="15"/>
                <w:szCs w:val="15"/>
                <w14:textFill>
                  <w14:solidFill>
                    <w14:schemeClr w14:val="tx1"/>
                  </w14:solidFill>
                </w14:textFill>
              </w:rPr>
              <w:t>344</w:t>
            </w:r>
            <w:r>
              <w:rPr>
                <w:rFonts w:hint="eastAsia" w:cs="仿宋"/>
                <w:color w:val="000000" w:themeColor="text1"/>
                <w:kern w:val="0"/>
                <w:sz w:val="15"/>
                <w:szCs w:val="15"/>
                <w14:textFill>
                  <w14:solidFill>
                    <w14:schemeClr w14:val="tx1"/>
                  </w14:solidFill>
                </w14:textFill>
              </w:rPr>
              <w:t>号，</w:t>
            </w:r>
            <w:r>
              <w:rPr>
                <w:rFonts w:cs="仿宋"/>
                <w:color w:val="000000" w:themeColor="text1"/>
                <w:kern w:val="0"/>
                <w:sz w:val="15"/>
                <w:szCs w:val="15"/>
                <w14:textFill>
                  <w14:solidFill>
                    <w14:schemeClr w14:val="tx1"/>
                  </w14:solidFill>
                </w14:textFill>
              </w:rPr>
              <w:t>2013</w:t>
            </w:r>
            <w:r>
              <w:rPr>
                <w:rFonts w:hint="eastAsia" w:cs="仿宋"/>
                <w:color w:val="000000" w:themeColor="text1"/>
                <w:kern w:val="0"/>
                <w:sz w:val="15"/>
                <w:szCs w:val="15"/>
                <w14:textFill>
                  <w14:solidFill>
                    <w14:schemeClr w14:val="tx1"/>
                  </w14:solidFill>
                </w14:textFill>
              </w:rPr>
              <w:t>年</w:t>
            </w:r>
            <w:r>
              <w:rPr>
                <w:rFonts w:cs="仿宋"/>
                <w:color w:val="000000" w:themeColor="text1"/>
                <w:kern w:val="0"/>
                <w:sz w:val="15"/>
                <w:szCs w:val="15"/>
                <w14:textFill>
                  <w14:solidFill>
                    <w14:schemeClr w14:val="tx1"/>
                  </w14:solidFill>
                </w14:textFill>
              </w:rPr>
              <w:t>12</w:t>
            </w:r>
            <w:r>
              <w:rPr>
                <w:rFonts w:hint="eastAsia" w:cs="仿宋"/>
                <w:color w:val="000000" w:themeColor="text1"/>
                <w:kern w:val="0"/>
                <w:sz w:val="15"/>
                <w:szCs w:val="15"/>
                <w14:textFill>
                  <w14:solidFill>
                    <w14:schemeClr w14:val="tx1"/>
                  </w14:solidFill>
                </w14:textFill>
              </w:rPr>
              <w:t>月</w:t>
            </w:r>
            <w:r>
              <w:rPr>
                <w:rFonts w:cs="仿宋"/>
                <w:color w:val="000000" w:themeColor="text1"/>
                <w:kern w:val="0"/>
                <w:sz w:val="15"/>
                <w:szCs w:val="15"/>
                <w14:textFill>
                  <w14:solidFill>
                    <w14:schemeClr w14:val="tx1"/>
                  </w14:solidFill>
                </w14:textFill>
              </w:rPr>
              <w:t>7</w:t>
            </w:r>
            <w:r>
              <w:rPr>
                <w:rFonts w:hint="eastAsia" w:cs="仿宋"/>
                <w:color w:val="000000" w:themeColor="text1"/>
                <w:kern w:val="0"/>
                <w:sz w:val="15"/>
                <w:szCs w:val="15"/>
                <w14:textFill>
                  <w14:solidFill>
                    <w14:schemeClr w14:val="tx1"/>
                  </w14:solidFill>
                </w14:textFill>
              </w:rPr>
              <w:t>日修订）第三十五条</w:t>
            </w:r>
          </w:p>
        </w:tc>
        <w:tc>
          <w:tcPr>
            <w:tcW w:w="2070" w:type="dxa"/>
            <w:vAlign w:val="center"/>
          </w:tcPr>
          <w:p>
            <w:pPr>
              <w:widowControl/>
              <w:spacing w:line="200" w:lineRule="exact"/>
              <w:rPr>
                <w:rFonts w:cs="仿宋"/>
                <w:color w:val="000000" w:themeColor="text1"/>
                <w:kern w:val="0"/>
                <w:sz w:val="15"/>
                <w:szCs w:val="15"/>
                <w14:textFill>
                  <w14:solidFill>
                    <w14:schemeClr w14:val="tx1"/>
                  </w14:solidFill>
                </w14:textFill>
              </w:rPr>
            </w:pPr>
          </w:p>
        </w:tc>
        <w:tc>
          <w:tcPr>
            <w:tcW w:w="2075" w:type="dxa"/>
            <w:vAlign w:val="center"/>
          </w:tcPr>
          <w:p>
            <w:pPr>
              <w:widowControl/>
              <w:spacing w:line="200" w:lineRule="exact"/>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《危险化学品经营许可证管理办法》（</w:t>
            </w:r>
            <w:r>
              <w:rPr>
                <w:rFonts w:cs="仿宋"/>
                <w:color w:val="000000" w:themeColor="text1"/>
                <w:kern w:val="0"/>
                <w:sz w:val="15"/>
                <w:szCs w:val="15"/>
                <w14:textFill>
                  <w14:solidFill>
                    <w14:schemeClr w14:val="tx1"/>
                  </w14:solidFill>
                </w14:textFill>
              </w:rPr>
              <w:t>2015</w:t>
            </w:r>
            <w:r>
              <w:rPr>
                <w:rFonts w:hint="eastAsia" w:cs="仿宋"/>
                <w:color w:val="000000" w:themeColor="text1"/>
                <w:kern w:val="0"/>
                <w:sz w:val="15"/>
                <w:szCs w:val="15"/>
                <w14:textFill>
                  <w14:solidFill>
                    <w14:schemeClr w14:val="tx1"/>
                  </w14:solidFill>
                </w14:textFill>
              </w:rPr>
              <w:t>年修正）第十四条</w:t>
            </w:r>
          </w:p>
        </w:tc>
        <w:tc>
          <w:tcPr>
            <w:tcW w:w="900" w:type="dxa"/>
            <w:vAlign w:val="center"/>
          </w:tcPr>
          <w:p>
            <w:pPr>
              <w:widowControl/>
              <w:spacing w:line="200" w:lineRule="exact"/>
              <w:textAlignment w:val="center"/>
              <w:rPr>
                <w:rFonts w:hint="eastAsia" w:eastAsia="仿宋"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w:t>
            </w:r>
            <w:r>
              <w:rPr>
                <w:rFonts w:hint="eastAsia" w:cs="仿宋"/>
                <w:color w:val="000000" w:themeColor="text1"/>
                <w:kern w:val="0"/>
                <w:sz w:val="15"/>
                <w:szCs w:val="15"/>
                <w14:textFill>
                  <w14:solidFill>
                    <w14:schemeClr w14:val="tx1"/>
                  </w14:solidFill>
                </w14:textFill>
              </w:rPr>
              <w:t>行政审批</w:t>
            </w:r>
            <w:r>
              <w:rPr>
                <w:rFonts w:hint="eastAsia" w:cs="仿宋"/>
                <w:color w:val="000000" w:themeColor="text1"/>
                <w:kern w:val="0"/>
                <w:sz w:val="15"/>
                <w:szCs w:val="15"/>
                <w:lang w:val="en-US" w:eastAsia="zh-CN"/>
                <w14:textFill>
                  <w14:solidFill>
                    <w14:schemeClr w14:val="tx1"/>
                  </w14:solidFill>
                </w14:textFill>
              </w:rPr>
              <w:t>部门</w:t>
            </w:r>
          </w:p>
        </w:tc>
        <w:tc>
          <w:tcPr>
            <w:tcW w:w="83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民政部门（地名办）</w:t>
            </w:r>
          </w:p>
        </w:tc>
        <w:tc>
          <w:tcPr>
            <w:tcW w:w="830" w:type="dxa"/>
            <w:vAlign w:val="center"/>
          </w:tcPr>
          <w:p>
            <w:pPr>
              <w:widowControl/>
              <w:spacing w:line="200" w:lineRule="exact"/>
              <w:jc w:val="center"/>
              <w:textAlignment w:val="center"/>
              <w:rPr>
                <w:rFonts w:cs="仿宋"/>
                <w:color w:val="000000" w:themeColor="text1"/>
                <w:kern w:val="0"/>
                <w:sz w:val="15"/>
                <w:szCs w:val="15"/>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widowControl/>
              <w:spacing w:line="200" w:lineRule="exact"/>
              <w:jc w:val="center"/>
              <w:textAlignment w:val="center"/>
              <w:rPr>
                <w:rFonts w:hint="default" w:eastAsia="仿宋"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1</w:t>
            </w:r>
            <w:r>
              <w:rPr>
                <w:rFonts w:hint="default" w:cs="仿宋"/>
                <w:color w:val="000000" w:themeColor="text1"/>
                <w:kern w:val="0"/>
                <w:sz w:val="15"/>
                <w:szCs w:val="15"/>
                <w:lang w:val="en-US" w:eastAsia="zh-CN"/>
                <w14:textFill>
                  <w14:solidFill>
                    <w14:schemeClr w14:val="tx1"/>
                  </w14:solidFill>
                </w14:textFill>
              </w:rPr>
              <w:t>4</w:t>
            </w:r>
          </w:p>
        </w:tc>
        <w:tc>
          <w:tcPr>
            <w:tcW w:w="88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水资源税完税证明</w:t>
            </w:r>
          </w:p>
        </w:tc>
        <w:tc>
          <w:tcPr>
            <w:tcW w:w="100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取水许可延续</w:t>
            </w:r>
          </w:p>
        </w:tc>
        <w:tc>
          <w:tcPr>
            <w:tcW w:w="2300" w:type="dxa"/>
            <w:vAlign w:val="center"/>
          </w:tcPr>
          <w:p>
            <w:pPr>
              <w:widowControl/>
              <w:spacing w:line="200" w:lineRule="exact"/>
              <w:rPr>
                <w:rFonts w:cs="仿宋"/>
                <w:color w:val="000000" w:themeColor="text1"/>
                <w:kern w:val="0"/>
                <w:sz w:val="15"/>
                <w:szCs w:val="15"/>
                <w14:textFill>
                  <w14:solidFill>
                    <w14:schemeClr w14:val="tx1"/>
                  </w14:solidFill>
                </w14:textFill>
              </w:rPr>
            </w:pPr>
          </w:p>
        </w:tc>
        <w:tc>
          <w:tcPr>
            <w:tcW w:w="2218"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《取水许可和水资源费征收管理条例》（国务院令第</w:t>
            </w:r>
            <w:r>
              <w:rPr>
                <w:rFonts w:cs="仿宋"/>
                <w:color w:val="000000" w:themeColor="text1"/>
                <w:kern w:val="0"/>
                <w:sz w:val="15"/>
                <w:szCs w:val="15"/>
                <w14:textFill>
                  <w14:solidFill>
                    <w14:schemeClr w14:val="tx1"/>
                  </w14:solidFill>
                </w14:textFill>
              </w:rPr>
              <w:t>460</w:t>
            </w:r>
            <w:r>
              <w:rPr>
                <w:rFonts w:hint="eastAsia" w:cs="仿宋"/>
                <w:color w:val="000000" w:themeColor="text1"/>
                <w:kern w:val="0"/>
                <w:sz w:val="15"/>
                <w:szCs w:val="15"/>
                <w14:textFill>
                  <w14:solidFill>
                    <w14:schemeClr w14:val="tx1"/>
                  </w14:solidFill>
                </w14:textFill>
              </w:rPr>
              <w:t>号，</w:t>
            </w:r>
            <w:r>
              <w:rPr>
                <w:rFonts w:cs="仿宋"/>
                <w:color w:val="000000" w:themeColor="text1"/>
                <w:kern w:val="0"/>
                <w:sz w:val="15"/>
                <w:szCs w:val="15"/>
                <w14:textFill>
                  <w14:solidFill>
                    <w14:schemeClr w14:val="tx1"/>
                  </w14:solidFill>
                </w14:textFill>
              </w:rPr>
              <w:t>2017</w:t>
            </w:r>
            <w:r>
              <w:rPr>
                <w:rFonts w:hint="eastAsia" w:cs="仿宋"/>
                <w:color w:val="000000" w:themeColor="text1"/>
                <w:kern w:val="0"/>
                <w:sz w:val="15"/>
                <w:szCs w:val="15"/>
                <w14:textFill>
                  <w14:solidFill>
                    <w14:schemeClr w14:val="tx1"/>
                  </w14:solidFill>
                </w14:textFill>
              </w:rPr>
              <w:t>年</w:t>
            </w:r>
            <w:r>
              <w:rPr>
                <w:rFonts w:cs="仿宋"/>
                <w:color w:val="000000" w:themeColor="text1"/>
                <w:kern w:val="0"/>
                <w:sz w:val="15"/>
                <w:szCs w:val="15"/>
                <w14:textFill>
                  <w14:solidFill>
                    <w14:schemeClr w14:val="tx1"/>
                  </w14:solidFill>
                </w14:textFill>
              </w:rPr>
              <w:t>3</w:t>
            </w:r>
            <w:r>
              <w:rPr>
                <w:rFonts w:hint="eastAsia" w:cs="仿宋"/>
                <w:color w:val="000000" w:themeColor="text1"/>
                <w:kern w:val="0"/>
                <w:sz w:val="15"/>
                <w:szCs w:val="15"/>
                <w14:textFill>
                  <w14:solidFill>
                    <w14:schemeClr w14:val="tx1"/>
                  </w14:solidFill>
                </w14:textFill>
              </w:rPr>
              <w:t>月</w:t>
            </w:r>
            <w:r>
              <w:rPr>
                <w:rFonts w:cs="仿宋"/>
                <w:color w:val="000000" w:themeColor="text1"/>
                <w:kern w:val="0"/>
                <w:sz w:val="15"/>
                <w:szCs w:val="15"/>
                <w14:textFill>
                  <w14:solidFill>
                    <w14:schemeClr w14:val="tx1"/>
                  </w14:solidFill>
                </w14:textFill>
              </w:rPr>
              <w:t>1</w:t>
            </w:r>
            <w:r>
              <w:rPr>
                <w:rFonts w:hint="eastAsia" w:cs="仿宋"/>
                <w:color w:val="000000" w:themeColor="text1"/>
                <w:kern w:val="0"/>
                <w:sz w:val="15"/>
                <w:szCs w:val="15"/>
                <w14:textFill>
                  <w14:solidFill>
                    <w14:schemeClr w14:val="tx1"/>
                  </w14:solidFill>
                </w14:textFill>
              </w:rPr>
              <w:t>日修改）第二十五条、第二十八条</w:t>
            </w:r>
          </w:p>
          <w:p>
            <w:pPr>
              <w:widowControl/>
              <w:spacing w:line="200" w:lineRule="exact"/>
              <w:textAlignment w:val="center"/>
              <w:rPr>
                <w:rFonts w:cs="仿宋"/>
                <w:color w:val="000000" w:themeColor="text1"/>
                <w:kern w:val="0"/>
                <w:sz w:val="15"/>
                <w:szCs w:val="15"/>
                <w14:textFill>
                  <w14:solidFill>
                    <w14:schemeClr w14:val="tx1"/>
                  </w14:solidFill>
                </w14:textFill>
              </w:rPr>
            </w:pPr>
          </w:p>
        </w:tc>
        <w:tc>
          <w:tcPr>
            <w:tcW w:w="2070"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p>
          <w:p>
            <w:pPr>
              <w:widowControl/>
              <w:spacing w:line="200" w:lineRule="exact"/>
              <w:rPr>
                <w:rFonts w:cs="仿宋"/>
                <w:color w:val="000000" w:themeColor="text1"/>
                <w:kern w:val="0"/>
                <w:sz w:val="15"/>
                <w:szCs w:val="15"/>
                <w14:textFill>
                  <w14:solidFill>
                    <w14:schemeClr w14:val="tx1"/>
                  </w14:solidFill>
                </w14:textFill>
              </w:rPr>
            </w:pPr>
          </w:p>
        </w:tc>
        <w:tc>
          <w:tcPr>
            <w:tcW w:w="2075"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财政部、国家税务总局、水利部关于印发《水资源税改革试点暂行办法》的通知（财税〔</w:t>
            </w:r>
            <w:r>
              <w:rPr>
                <w:rFonts w:cs="仿宋"/>
                <w:color w:val="000000" w:themeColor="text1"/>
                <w:kern w:val="0"/>
                <w:sz w:val="15"/>
                <w:szCs w:val="15"/>
                <w14:textFill>
                  <w14:solidFill>
                    <w14:schemeClr w14:val="tx1"/>
                  </w14:solidFill>
                </w14:textFill>
              </w:rPr>
              <w:t>2016</w:t>
            </w:r>
            <w:r>
              <w:rPr>
                <w:rFonts w:hint="eastAsia" w:cs="仿宋"/>
                <w:color w:val="000000" w:themeColor="text1"/>
                <w:kern w:val="0"/>
                <w:sz w:val="15"/>
                <w:szCs w:val="15"/>
                <w14:textFill>
                  <w14:solidFill>
                    <w14:schemeClr w14:val="tx1"/>
                  </w14:solidFill>
                </w14:textFill>
              </w:rPr>
              <w:t>〕</w:t>
            </w:r>
            <w:r>
              <w:rPr>
                <w:rFonts w:cs="仿宋"/>
                <w:color w:val="000000" w:themeColor="text1"/>
                <w:kern w:val="0"/>
                <w:sz w:val="15"/>
                <w:szCs w:val="15"/>
                <w14:textFill>
                  <w14:solidFill>
                    <w14:schemeClr w14:val="tx1"/>
                  </w14:solidFill>
                </w14:textFill>
              </w:rPr>
              <w:t>55</w:t>
            </w:r>
            <w:r>
              <w:rPr>
                <w:rFonts w:hint="eastAsia" w:cs="仿宋"/>
                <w:color w:val="000000" w:themeColor="text1"/>
                <w:kern w:val="0"/>
                <w:sz w:val="15"/>
                <w:szCs w:val="15"/>
                <w14:textFill>
                  <w14:solidFill>
                    <w14:schemeClr w14:val="tx1"/>
                  </w14:solidFill>
                </w14:textFill>
              </w:rPr>
              <w:t>号）第十四条</w:t>
            </w:r>
          </w:p>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《河北省取水许可管理办法》（省政府令〔</w:t>
            </w:r>
            <w:r>
              <w:rPr>
                <w:rFonts w:cs="仿宋"/>
                <w:color w:val="000000" w:themeColor="text1"/>
                <w:kern w:val="0"/>
                <w:sz w:val="15"/>
                <w:szCs w:val="15"/>
                <w14:textFill>
                  <w14:solidFill>
                    <w14:schemeClr w14:val="tx1"/>
                  </w14:solidFill>
                </w14:textFill>
              </w:rPr>
              <w:t>2018</w:t>
            </w:r>
            <w:r>
              <w:rPr>
                <w:rFonts w:hint="eastAsia" w:cs="仿宋"/>
                <w:color w:val="000000" w:themeColor="text1"/>
                <w:kern w:val="0"/>
                <w:sz w:val="15"/>
                <w:szCs w:val="15"/>
                <w14:textFill>
                  <w14:solidFill>
                    <w14:schemeClr w14:val="tx1"/>
                  </w14:solidFill>
                </w14:textFill>
              </w:rPr>
              <w:t>〕第</w:t>
            </w:r>
            <w:r>
              <w:rPr>
                <w:rFonts w:cs="仿宋"/>
                <w:color w:val="000000" w:themeColor="text1"/>
                <w:kern w:val="0"/>
                <w:sz w:val="15"/>
                <w:szCs w:val="15"/>
                <w14:textFill>
                  <w14:solidFill>
                    <w14:schemeClr w14:val="tx1"/>
                  </w14:solidFill>
                </w14:textFill>
              </w:rPr>
              <w:t>3</w:t>
            </w:r>
            <w:r>
              <w:rPr>
                <w:rFonts w:hint="eastAsia" w:cs="仿宋"/>
                <w:color w:val="000000" w:themeColor="text1"/>
                <w:kern w:val="0"/>
                <w:sz w:val="15"/>
                <w:szCs w:val="15"/>
                <w14:textFill>
                  <w14:solidFill>
                    <w14:schemeClr w14:val="tx1"/>
                  </w14:solidFill>
                </w14:textFill>
              </w:rPr>
              <w:t>号）第二十二条</w:t>
            </w:r>
          </w:p>
        </w:tc>
        <w:tc>
          <w:tcPr>
            <w:tcW w:w="900" w:type="dxa"/>
            <w:vAlign w:val="center"/>
          </w:tcPr>
          <w:p>
            <w:pPr>
              <w:widowControl/>
              <w:spacing w:line="200" w:lineRule="exact"/>
              <w:textAlignment w:val="center"/>
              <w:rPr>
                <w:rFonts w:hint="eastAsia" w:eastAsia="仿宋" w:cs="仿宋"/>
                <w:color w:val="000000" w:themeColor="text1"/>
                <w:kern w:val="0"/>
                <w:sz w:val="15"/>
                <w:szCs w:val="15"/>
                <w:lang w:val="en-US" w:eastAsia="zh-CN"/>
                <w14:textFill>
                  <w14:solidFill>
                    <w14:schemeClr w14:val="tx1"/>
                  </w14:solidFill>
                </w14:textFill>
              </w:rPr>
            </w:pPr>
            <w:r>
              <w:rPr>
                <w:rFonts w:hint="eastAsia" w:cs="仿宋"/>
                <w:color w:val="000000" w:themeColor="text1"/>
                <w:kern w:val="0"/>
                <w:sz w:val="15"/>
                <w:szCs w:val="15"/>
                <w:lang w:val="en-US" w:eastAsia="zh-CN"/>
                <w14:textFill>
                  <w14:solidFill>
                    <w14:schemeClr w14:val="tx1"/>
                  </w14:solidFill>
                </w14:textFill>
              </w:rPr>
              <w:t>新区行政</w:t>
            </w:r>
            <w:r>
              <w:rPr>
                <w:rFonts w:hint="eastAsia" w:cs="仿宋"/>
                <w:color w:val="000000" w:themeColor="text1"/>
                <w:kern w:val="0"/>
                <w:sz w:val="15"/>
                <w:szCs w:val="15"/>
                <w14:textFill>
                  <w14:solidFill>
                    <w14:schemeClr w14:val="tx1"/>
                  </w14:solidFill>
                </w14:textFill>
              </w:rPr>
              <w:t>审批</w:t>
            </w:r>
            <w:r>
              <w:rPr>
                <w:rFonts w:hint="eastAsia" w:cs="仿宋"/>
                <w:color w:val="000000" w:themeColor="text1"/>
                <w:kern w:val="0"/>
                <w:sz w:val="15"/>
                <w:szCs w:val="15"/>
                <w:lang w:val="en-US" w:eastAsia="zh-CN"/>
                <w14:textFill>
                  <w14:solidFill>
                    <w14:schemeClr w14:val="tx1"/>
                  </w14:solidFill>
                </w14:textFill>
              </w:rPr>
              <w:t>部门</w:t>
            </w:r>
          </w:p>
        </w:tc>
        <w:tc>
          <w:tcPr>
            <w:tcW w:w="837" w:type="dxa"/>
            <w:vAlign w:val="center"/>
          </w:tcPr>
          <w:p>
            <w:pPr>
              <w:widowControl/>
              <w:spacing w:line="200" w:lineRule="exact"/>
              <w:textAlignment w:val="center"/>
              <w:rPr>
                <w:rFonts w:cs="仿宋"/>
                <w:color w:val="000000" w:themeColor="text1"/>
                <w:kern w:val="0"/>
                <w:sz w:val="15"/>
                <w:szCs w:val="15"/>
                <w14:textFill>
                  <w14:solidFill>
                    <w14:schemeClr w14:val="tx1"/>
                  </w14:solidFill>
                </w14:textFill>
              </w:rPr>
            </w:pPr>
            <w:r>
              <w:rPr>
                <w:rFonts w:hint="eastAsia" w:cs="仿宋"/>
                <w:color w:val="000000" w:themeColor="text1"/>
                <w:kern w:val="0"/>
                <w:sz w:val="15"/>
                <w:szCs w:val="15"/>
                <w14:textFill>
                  <w14:solidFill>
                    <w14:schemeClr w14:val="tx1"/>
                  </w14:solidFill>
                </w14:textFill>
              </w:rPr>
              <w:t>税务机关</w:t>
            </w:r>
          </w:p>
        </w:tc>
        <w:tc>
          <w:tcPr>
            <w:tcW w:w="830" w:type="dxa"/>
            <w:vAlign w:val="center"/>
          </w:tcPr>
          <w:p>
            <w:pPr>
              <w:widowControl/>
              <w:spacing w:line="200" w:lineRule="exact"/>
              <w:jc w:val="center"/>
              <w:textAlignment w:val="center"/>
              <w:rPr>
                <w:rFonts w:cs="仿宋"/>
                <w:color w:val="000000" w:themeColor="text1"/>
                <w:kern w:val="0"/>
                <w:sz w:val="15"/>
                <w:szCs w:val="15"/>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jc w:val="center"/>
              <w:textAlignment w:val="center"/>
              <w:rPr>
                <w:rFonts w:hint="default"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ascii="仿宋" w:hAnsi="Times New Roman" w:eastAsia="仿宋" w:cs="仿宋"/>
                <w:color w:val="000000" w:themeColor="text1"/>
                <w:kern w:val="0"/>
                <w:sz w:val="15"/>
                <w:szCs w:val="15"/>
                <w:lang w:val="en-US" w:eastAsia="zh-CN" w:bidi="ar-SA"/>
                <w14:textFill>
                  <w14:solidFill>
                    <w14:schemeClr w14:val="tx1"/>
                  </w14:solidFill>
                </w14:textFill>
              </w:rPr>
              <w:t>1</w:t>
            </w:r>
            <w:r>
              <w:rPr>
                <w:rFonts w:hint="default" w:cs="仿宋"/>
                <w:color w:val="000000" w:themeColor="text1"/>
                <w:kern w:val="0"/>
                <w:sz w:val="15"/>
                <w:szCs w:val="15"/>
                <w:lang w:val="en-US" w:eastAsia="zh-CN" w:bidi="ar-SA"/>
                <w14:textFill>
                  <w14:solidFill>
                    <w14:schemeClr w14:val="tx1"/>
                  </w14:solidFill>
                </w14:textFill>
              </w:rPr>
              <w:t>5</w:t>
            </w:r>
          </w:p>
        </w:tc>
        <w:tc>
          <w:tcPr>
            <w:tcW w:w="88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申请教师资格认定的思想品德鉴定表</w:t>
            </w:r>
          </w:p>
        </w:tc>
        <w:tc>
          <w:tcPr>
            <w:tcW w:w="10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申请教师资格认定</w:t>
            </w:r>
          </w:p>
        </w:tc>
        <w:tc>
          <w:tcPr>
            <w:tcW w:w="230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21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《教师资格条例》（国务院令第188号）第十五条</w:t>
            </w:r>
          </w:p>
        </w:tc>
        <w:tc>
          <w:tcPr>
            <w:tcW w:w="207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075" w:type="dxa"/>
            <w:vAlign w:val="center"/>
          </w:tcPr>
          <w:p>
            <w:pPr>
              <w:keepNext w:val="0"/>
              <w:keepLines w:val="0"/>
              <w:widowControl/>
              <w:suppressLineNumbers w:val="0"/>
              <w:spacing w:before="0" w:beforeAutospacing="0" w:after="0" w:afterAutospacing="0"/>
              <w:ind w:left="0" w:leftChars="0" w:right="0" w:rightChars="0"/>
              <w:jc w:val="left"/>
              <w:rPr>
                <w:rFonts w:hint="eastAsia"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default"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新区行政审批部门</w:t>
            </w:r>
          </w:p>
        </w:tc>
        <w:tc>
          <w:tcPr>
            <w:tcW w:w="83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申请人工作单位或所在地街道办事处（乡镇人民政府）、公安派出所</w:t>
            </w:r>
          </w:p>
        </w:tc>
        <w:tc>
          <w:tcPr>
            <w:tcW w:w="83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jc w:val="center"/>
              <w:textAlignment w:val="center"/>
              <w:rPr>
                <w:rFonts w:hint="default"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ascii="仿宋" w:hAnsi="Times New Roman" w:eastAsia="仿宋" w:cs="仿宋"/>
                <w:color w:val="000000" w:themeColor="text1"/>
                <w:kern w:val="0"/>
                <w:sz w:val="15"/>
                <w:szCs w:val="15"/>
                <w:lang w:val="en-US" w:eastAsia="zh-CN" w:bidi="ar-SA"/>
                <w14:textFill>
                  <w14:solidFill>
                    <w14:schemeClr w14:val="tx1"/>
                  </w14:solidFill>
                </w14:textFill>
              </w:rPr>
              <w:t>1</w:t>
            </w:r>
            <w:r>
              <w:rPr>
                <w:rFonts w:hint="default" w:cs="仿宋"/>
                <w:color w:val="000000" w:themeColor="text1"/>
                <w:kern w:val="0"/>
                <w:sz w:val="15"/>
                <w:szCs w:val="15"/>
                <w:lang w:val="en-US" w:eastAsia="zh-CN" w:bidi="ar-SA"/>
                <w14:textFill>
                  <w14:solidFill>
                    <w14:schemeClr w14:val="tx1"/>
                  </w14:solidFill>
                </w14:textFill>
              </w:rPr>
              <w:t>6</w:t>
            </w:r>
          </w:p>
        </w:tc>
        <w:tc>
          <w:tcPr>
            <w:tcW w:w="88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当地兽药管理部门出具的企业没有违规经销假劣兽药行为的证明</w:t>
            </w:r>
          </w:p>
        </w:tc>
        <w:tc>
          <w:tcPr>
            <w:tcW w:w="10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兽药经营许可证核发</w:t>
            </w:r>
          </w:p>
        </w:tc>
        <w:tc>
          <w:tcPr>
            <w:tcW w:w="230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21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《中华人民共和国兽药管理条例》（国务院令第404号)第五十六条</w:t>
            </w:r>
          </w:p>
        </w:tc>
        <w:tc>
          <w:tcPr>
            <w:tcW w:w="207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c>
          <w:tcPr>
            <w:tcW w:w="207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《河北省兽药GSP检查验收办法》（2010年7月7日公布）第十一条</w:t>
            </w:r>
          </w:p>
        </w:tc>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ascii="仿宋" w:hAnsi="Times New Roman" w:eastAsia="仿宋" w:cs="Times New Roman"/>
                <w:color w:val="000000" w:themeColor="text1"/>
                <w:kern w:val="0"/>
                <w:sz w:val="21"/>
                <w:szCs w:val="21"/>
                <w:lang w:val="en-US" w:eastAsia="zh-CN" w:bidi="ar"/>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新区</w:t>
            </w:r>
            <w:r>
              <w:rPr>
                <w:color w:val="000000" w:themeColor="text1"/>
                <w:sz w:val="15"/>
                <w:szCs w:val="15"/>
                <w14:textFill>
                  <w14:solidFill>
                    <w14:schemeClr w14:val="tx1"/>
                  </w14:solidFill>
                </w14:textFill>
              </w:rPr>
              <w:t>行政审批</w:t>
            </w:r>
            <w:r>
              <w:rPr>
                <w:rFonts w:hint="eastAsia"/>
                <w:color w:val="000000" w:themeColor="text1"/>
                <w:sz w:val="15"/>
                <w:szCs w:val="15"/>
                <w:lang w:val="en-US" w:eastAsia="zh-CN"/>
                <w14:textFill>
                  <w14:solidFill>
                    <w14:schemeClr w14:val="tx1"/>
                  </w14:solidFill>
                </w14:textFill>
              </w:rPr>
              <w:t>部门</w:t>
            </w:r>
          </w:p>
        </w:tc>
        <w:tc>
          <w:tcPr>
            <w:tcW w:w="83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ascii="仿宋" w:hAnsi="Times New Roman" w:eastAsia="仿宋" w:cs="Times New Roman"/>
                <w:color w:val="000000" w:themeColor="text1"/>
                <w:kern w:val="0"/>
                <w:sz w:val="21"/>
                <w:szCs w:val="21"/>
                <w:lang w:val="en-US" w:eastAsia="zh-CN" w:bidi="ar"/>
                <w14:textFill>
                  <w14:solidFill>
                    <w14:schemeClr w14:val="tx1"/>
                  </w14:solidFill>
                </w14:textFill>
              </w:rPr>
            </w:pPr>
            <w:r>
              <w:rPr>
                <w:color w:val="000000" w:themeColor="text1"/>
                <w:sz w:val="15"/>
                <w:szCs w:val="15"/>
                <w14:textFill>
                  <w14:solidFill>
                    <w14:schemeClr w14:val="tx1"/>
                  </w14:solidFill>
                </w14:textFill>
              </w:rPr>
              <w:t>县级兽药管理部门</w:t>
            </w:r>
          </w:p>
        </w:tc>
        <w:tc>
          <w:tcPr>
            <w:tcW w:w="830" w:type="dxa"/>
            <w:vAlign w:val="center"/>
          </w:tcPr>
          <w:p>
            <w:pPr>
              <w:keepNext w:val="0"/>
              <w:keepLines w:val="0"/>
              <w:widowControl/>
              <w:suppressLineNumbers w:val="0"/>
              <w:spacing w:before="0" w:beforeAutospacing="0" w:after="0" w:afterAutospacing="0"/>
              <w:ind w:left="0" w:leftChars="0" w:right="0" w:rightChars="0"/>
              <w:jc w:val="left"/>
              <w:rPr>
                <w:rFonts w:ascii="仿宋" w:hAnsi="Times New Roman" w:eastAsia="仿宋" w:cs="Times New Roman"/>
                <w:color w:val="000000" w:themeColor="text1"/>
                <w:kern w:val="2"/>
                <w:sz w:val="32"/>
                <w:szCs w:val="22"/>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default"/>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1</w:t>
            </w:r>
            <w:r>
              <w:rPr>
                <w:rFonts w:hint="default"/>
                <w:color w:val="000000" w:themeColor="text1"/>
                <w:sz w:val="15"/>
                <w:szCs w:val="15"/>
                <w:lang w:val="en-US" w:eastAsia="zh-CN"/>
                <w14:textFill>
                  <w14:solidFill>
                    <w14:schemeClr w14:val="tx1"/>
                  </w14:solidFill>
                </w14:textFill>
              </w:rPr>
              <w:t>7</w:t>
            </w:r>
          </w:p>
        </w:tc>
        <w:tc>
          <w:tcPr>
            <w:tcW w:w="88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办理不动产登记时，免缴不动产登记费的，需提供是否属于小微企业（含个体工商户）相关证明材料</w:t>
            </w:r>
          </w:p>
        </w:tc>
        <w:tc>
          <w:tcPr>
            <w:tcW w:w="10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不动产登记</w:t>
            </w:r>
          </w:p>
        </w:tc>
        <w:tc>
          <w:tcPr>
            <w:tcW w:w="23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color w:val="000000" w:themeColor="text1"/>
                <w:sz w:val="15"/>
                <w:szCs w:val="15"/>
                <w:lang w:val="en-US" w:eastAsia="zh-CN"/>
                <w14:textFill>
                  <w14:solidFill>
                    <w14:schemeClr w14:val="tx1"/>
                  </w14:solidFill>
                </w14:textFill>
              </w:rPr>
            </w:pPr>
          </w:p>
        </w:tc>
        <w:tc>
          <w:tcPr>
            <w:tcW w:w="2218"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color w:val="000000" w:themeColor="text1"/>
                <w:sz w:val="15"/>
                <w:szCs w:val="15"/>
                <w14:textFill>
                  <w14:solidFill>
                    <w14:schemeClr w14:val="tx1"/>
                  </w14:solidFill>
                </w14:textFill>
              </w:rPr>
            </w:pPr>
          </w:p>
        </w:tc>
        <w:tc>
          <w:tcPr>
            <w:tcW w:w="207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color w:val="000000" w:themeColor="text1"/>
                <w:sz w:val="15"/>
                <w:szCs w:val="15"/>
                <w:lang w:val="en-US" w:eastAsia="zh-CN"/>
                <w14:textFill>
                  <w14:solidFill>
                    <w14:schemeClr w14:val="tx1"/>
                  </w14:solidFill>
                </w14:textFill>
              </w:rPr>
            </w:pPr>
          </w:p>
        </w:tc>
        <w:tc>
          <w:tcPr>
            <w:tcW w:w="2075"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《中华人民共和国自然资源部司局函》自然资登记函[2021]2号</w:t>
            </w:r>
          </w:p>
        </w:tc>
        <w:tc>
          <w:tcPr>
            <w:tcW w:w="90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新区自然资源和规划部门</w:t>
            </w:r>
          </w:p>
        </w:tc>
        <w:tc>
          <w:tcPr>
            <w:tcW w:w="837"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rFonts w:hint="eastAsia"/>
                <w:color w:val="000000" w:themeColor="text1"/>
                <w:sz w:val="15"/>
                <w:szCs w:val="15"/>
                <w:lang w:val="en-US" w:eastAsia="zh-CN"/>
                <w14:textFill>
                  <w14:solidFill>
                    <w14:schemeClr w14:val="tx1"/>
                  </w14:solidFill>
                </w14:textFill>
              </w:rPr>
            </w:pPr>
            <w:r>
              <w:rPr>
                <w:rFonts w:hint="eastAsia"/>
                <w:color w:val="000000" w:themeColor="text1"/>
                <w:sz w:val="15"/>
                <w:szCs w:val="15"/>
                <w:lang w:val="en-US" w:eastAsia="zh-CN"/>
                <w14:textFill>
                  <w14:solidFill>
                    <w14:schemeClr w14:val="tx1"/>
                  </w14:solidFill>
                </w14:textFill>
              </w:rPr>
              <w:t>办事企业（含个体工商户）</w:t>
            </w:r>
          </w:p>
        </w:tc>
        <w:tc>
          <w:tcPr>
            <w:tcW w:w="83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leftChars="0" w:right="0" w:rightChars="0"/>
              <w:textAlignment w:val="center"/>
              <w:rPr>
                <w:color w:val="000000" w:themeColor="text1"/>
                <w:sz w:val="15"/>
                <w:szCs w:val="15"/>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widowControl/>
              <w:spacing w:line="200" w:lineRule="exact"/>
              <w:jc w:val="center"/>
              <w:textAlignment w:val="center"/>
              <w:rPr>
                <w:rFonts w:hint="default" w:ascii="仿宋" w:hAnsi="Times New Roman" w:eastAsia="仿宋" w:cs="Times New Roman"/>
                <w:kern w:val="0"/>
                <w:sz w:val="15"/>
                <w:szCs w:val="15"/>
                <w:lang w:val="en-US" w:eastAsia="zh-CN" w:bidi="ar-SA"/>
              </w:rPr>
            </w:pPr>
            <w:r>
              <w:rPr>
                <w:rFonts w:hint="default" w:cs="Times New Roman"/>
                <w:kern w:val="0"/>
                <w:sz w:val="15"/>
                <w:szCs w:val="15"/>
                <w:lang w:val="en-US" w:eastAsia="zh-CN" w:bidi="ar-SA"/>
              </w:rPr>
              <w:t>18</w:t>
            </w:r>
          </w:p>
        </w:tc>
        <w:tc>
          <w:tcPr>
            <w:tcW w:w="88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与被继承人的亲属关系证明</w:t>
            </w:r>
          </w:p>
        </w:tc>
        <w:tc>
          <w:tcPr>
            <w:tcW w:w="10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不动产登记</w:t>
            </w:r>
          </w:p>
        </w:tc>
        <w:tc>
          <w:tcPr>
            <w:tcW w:w="2300"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r>
              <w:rPr>
                <w:rFonts w:hint="eastAsia"/>
                <w:kern w:val="0"/>
                <w:sz w:val="15"/>
                <w:szCs w:val="15"/>
              </w:rPr>
              <w:t>《中华人民共和国民法典》第二百零九条</w:t>
            </w:r>
          </w:p>
        </w:tc>
        <w:tc>
          <w:tcPr>
            <w:tcW w:w="2218"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r>
              <w:rPr>
                <w:rFonts w:hint="eastAsia"/>
                <w:kern w:val="0"/>
                <w:sz w:val="15"/>
                <w:szCs w:val="15"/>
              </w:rPr>
              <w:t>《不动产登记暂行条例》</w:t>
            </w:r>
            <w:r>
              <w:rPr>
                <w:kern w:val="0"/>
                <w:sz w:val="15"/>
                <w:szCs w:val="15"/>
              </w:rPr>
              <w:t>(</w:t>
            </w:r>
            <w:r>
              <w:rPr>
                <w:rFonts w:hint="eastAsia"/>
                <w:kern w:val="0"/>
                <w:sz w:val="15"/>
                <w:szCs w:val="15"/>
              </w:rPr>
              <w:t>国务院令第</w:t>
            </w:r>
            <w:r>
              <w:rPr>
                <w:kern w:val="0"/>
                <w:sz w:val="15"/>
                <w:szCs w:val="15"/>
              </w:rPr>
              <w:t>656</w:t>
            </w:r>
            <w:r>
              <w:rPr>
                <w:rFonts w:hint="eastAsia"/>
                <w:kern w:val="0"/>
                <w:sz w:val="15"/>
                <w:szCs w:val="15"/>
              </w:rPr>
              <w:t>号</w:t>
            </w:r>
            <w:r>
              <w:rPr>
                <w:kern w:val="0"/>
                <w:sz w:val="15"/>
                <w:szCs w:val="15"/>
              </w:rPr>
              <w:t>)</w:t>
            </w:r>
            <w:r>
              <w:rPr>
                <w:rFonts w:hint="eastAsia"/>
                <w:kern w:val="0"/>
                <w:sz w:val="15"/>
                <w:szCs w:val="15"/>
              </w:rPr>
              <w:t>第十六条</w:t>
            </w:r>
          </w:p>
        </w:tc>
        <w:tc>
          <w:tcPr>
            <w:tcW w:w="2070" w:type="dxa"/>
            <w:vAlign w:val="center"/>
          </w:tcPr>
          <w:p>
            <w:pPr>
              <w:widowControl/>
              <w:spacing w:line="200" w:lineRule="exact"/>
              <w:rPr>
                <w:rFonts w:ascii="仿宋" w:hAnsi="Times New Roman" w:eastAsia="仿宋" w:cs="Times New Roman"/>
                <w:kern w:val="0"/>
                <w:sz w:val="15"/>
                <w:szCs w:val="15"/>
                <w:lang w:val="en-US" w:eastAsia="zh-CN" w:bidi="ar-SA"/>
              </w:rPr>
            </w:pPr>
          </w:p>
        </w:tc>
        <w:tc>
          <w:tcPr>
            <w:tcW w:w="2075"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《不动产登记暂行条例实施细则》（国土资源部令第</w:t>
            </w:r>
            <w:r>
              <w:rPr>
                <w:kern w:val="0"/>
                <w:sz w:val="15"/>
                <w:szCs w:val="15"/>
              </w:rPr>
              <w:t>63</w:t>
            </w:r>
            <w:r>
              <w:rPr>
                <w:rFonts w:hint="eastAsia"/>
                <w:kern w:val="0"/>
                <w:sz w:val="15"/>
                <w:szCs w:val="15"/>
              </w:rPr>
              <w:t>号）第十四条</w:t>
            </w:r>
          </w:p>
        </w:tc>
        <w:tc>
          <w:tcPr>
            <w:tcW w:w="9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lang w:val="en-US" w:eastAsia="zh-CN"/>
              </w:rPr>
              <w:t>新区</w:t>
            </w:r>
            <w:r>
              <w:rPr>
                <w:rFonts w:hint="eastAsia"/>
                <w:kern w:val="0"/>
                <w:sz w:val="15"/>
                <w:szCs w:val="15"/>
              </w:rPr>
              <w:t>自然资源和规划部门</w:t>
            </w:r>
          </w:p>
        </w:tc>
        <w:tc>
          <w:tcPr>
            <w:tcW w:w="83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户口所在地公安派出所、村（居）委会、用人单位</w:t>
            </w:r>
          </w:p>
        </w:tc>
        <w:tc>
          <w:tcPr>
            <w:tcW w:w="830" w:type="dxa"/>
            <w:vAlign w:val="center"/>
          </w:tcPr>
          <w:p>
            <w:pPr>
              <w:widowControl/>
              <w:spacing w:line="200" w:lineRule="exact"/>
              <w:jc w:val="center"/>
              <w:textAlignment w:val="center"/>
              <w:rPr>
                <w:rFonts w:ascii="仿宋" w:hAnsi="Times New Roman" w:eastAsia="仿宋" w:cs="Times New Roman"/>
                <w:kern w:val="0"/>
                <w:sz w:val="15"/>
                <w:szCs w:val="15"/>
                <w:lang w:val="en-US" w:eastAsia="zh-CN" w:bidi="ar-SA"/>
              </w:rPr>
            </w:pPr>
            <w:r>
              <w:rPr>
                <w:rFonts w:hint="eastAsia"/>
                <w:kern w:val="0"/>
                <w:sz w:val="15"/>
                <w:szCs w:val="15"/>
              </w:rPr>
              <w:t>仅限于难以获取的继承人与被继承人之间的亲属关系证明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widowControl/>
              <w:spacing w:line="200" w:lineRule="exact"/>
              <w:jc w:val="center"/>
              <w:textAlignment w:val="center"/>
              <w:rPr>
                <w:rFonts w:hint="default" w:ascii="仿宋" w:hAnsi="Times New Roman" w:eastAsia="仿宋" w:cs="Times New Roman"/>
                <w:kern w:val="0"/>
                <w:sz w:val="15"/>
                <w:szCs w:val="15"/>
                <w:lang w:val="en-US" w:eastAsia="zh-CN" w:bidi="ar-SA"/>
              </w:rPr>
            </w:pPr>
            <w:r>
              <w:rPr>
                <w:rFonts w:hint="default" w:cs="Times New Roman"/>
                <w:kern w:val="0"/>
                <w:sz w:val="15"/>
                <w:szCs w:val="15"/>
                <w:lang w:val="en-US" w:eastAsia="zh-CN" w:bidi="ar-SA"/>
              </w:rPr>
              <w:t>19</w:t>
            </w:r>
          </w:p>
        </w:tc>
        <w:tc>
          <w:tcPr>
            <w:tcW w:w="88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被继承人或遗赠人死亡证明</w:t>
            </w:r>
          </w:p>
        </w:tc>
        <w:tc>
          <w:tcPr>
            <w:tcW w:w="10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不动产登记</w:t>
            </w:r>
          </w:p>
        </w:tc>
        <w:tc>
          <w:tcPr>
            <w:tcW w:w="2300"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r>
              <w:rPr>
                <w:rFonts w:hint="eastAsia"/>
                <w:kern w:val="0"/>
                <w:sz w:val="15"/>
                <w:szCs w:val="15"/>
              </w:rPr>
              <w:t>《中华人民共和国民法典》第二百零九条</w:t>
            </w:r>
          </w:p>
        </w:tc>
        <w:tc>
          <w:tcPr>
            <w:tcW w:w="2218"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r>
              <w:rPr>
                <w:rFonts w:hint="eastAsia"/>
                <w:kern w:val="0"/>
                <w:sz w:val="15"/>
                <w:szCs w:val="15"/>
              </w:rPr>
              <w:t>《不动产登记暂行条例》（国务院令第</w:t>
            </w:r>
            <w:r>
              <w:rPr>
                <w:kern w:val="0"/>
                <w:sz w:val="15"/>
                <w:szCs w:val="15"/>
              </w:rPr>
              <w:t>656</w:t>
            </w:r>
            <w:r>
              <w:rPr>
                <w:rFonts w:hint="eastAsia"/>
                <w:kern w:val="0"/>
                <w:sz w:val="15"/>
                <w:szCs w:val="15"/>
              </w:rPr>
              <w:t>号，</w:t>
            </w:r>
            <w:r>
              <w:rPr>
                <w:kern w:val="0"/>
                <w:sz w:val="15"/>
                <w:szCs w:val="15"/>
              </w:rPr>
              <w:t>2019</w:t>
            </w:r>
            <w:r>
              <w:rPr>
                <w:rFonts w:hint="eastAsia"/>
                <w:kern w:val="0"/>
                <w:sz w:val="15"/>
                <w:szCs w:val="15"/>
              </w:rPr>
              <w:t>年</w:t>
            </w:r>
            <w:r>
              <w:rPr>
                <w:kern w:val="0"/>
                <w:sz w:val="15"/>
                <w:szCs w:val="15"/>
              </w:rPr>
              <w:t>3</w:t>
            </w:r>
            <w:r>
              <w:rPr>
                <w:rFonts w:hint="eastAsia"/>
                <w:kern w:val="0"/>
                <w:sz w:val="15"/>
                <w:szCs w:val="15"/>
              </w:rPr>
              <w:t>月</w:t>
            </w:r>
            <w:r>
              <w:rPr>
                <w:kern w:val="0"/>
                <w:sz w:val="15"/>
                <w:szCs w:val="15"/>
              </w:rPr>
              <w:t>24</w:t>
            </w:r>
            <w:r>
              <w:rPr>
                <w:rFonts w:hint="eastAsia"/>
                <w:kern w:val="0"/>
                <w:sz w:val="15"/>
                <w:szCs w:val="15"/>
              </w:rPr>
              <w:t>日修订）第十六条</w:t>
            </w:r>
            <w:r>
              <w:rPr>
                <w:kern w:val="0"/>
                <w:sz w:val="15"/>
                <w:szCs w:val="15"/>
              </w:rPr>
              <w:t xml:space="preserve"> </w:t>
            </w:r>
          </w:p>
        </w:tc>
        <w:tc>
          <w:tcPr>
            <w:tcW w:w="2070" w:type="dxa"/>
            <w:vAlign w:val="center"/>
          </w:tcPr>
          <w:p>
            <w:pPr>
              <w:widowControl/>
              <w:spacing w:line="200" w:lineRule="exact"/>
              <w:rPr>
                <w:rFonts w:ascii="仿宋" w:hAnsi="Times New Roman" w:eastAsia="仿宋" w:cs="Times New Roman"/>
                <w:kern w:val="0"/>
                <w:sz w:val="15"/>
                <w:szCs w:val="15"/>
                <w:lang w:val="en-US" w:eastAsia="zh-CN" w:bidi="ar-SA"/>
              </w:rPr>
            </w:pPr>
          </w:p>
        </w:tc>
        <w:tc>
          <w:tcPr>
            <w:tcW w:w="2075"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《不动产登记暂行条例实施细则》（国土资源部令第</w:t>
            </w:r>
            <w:r>
              <w:rPr>
                <w:kern w:val="0"/>
                <w:sz w:val="15"/>
                <w:szCs w:val="15"/>
              </w:rPr>
              <w:t>63</w:t>
            </w:r>
            <w:r>
              <w:rPr>
                <w:rFonts w:hint="eastAsia"/>
                <w:kern w:val="0"/>
                <w:sz w:val="15"/>
                <w:szCs w:val="15"/>
              </w:rPr>
              <w:t>号，</w:t>
            </w:r>
            <w:r>
              <w:rPr>
                <w:kern w:val="0"/>
                <w:sz w:val="15"/>
                <w:szCs w:val="15"/>
              </w:rPr>
              <w:t>2016</w:t>
            </w:r>
            <w:r>
              <w:rPr>
                <w:rFonts w:hint="eastAsia"/>
                <w:kern w:val="0"/>
                <w:sz w:val="15"/>
                <w:szCs w:val="15"/>
              </w:rPr>
              <w:t>年</w:t>
            </w:r>
            <w:r>
              <w:rPr>
                <w:kern w:val="0"/>
                <w:sz w:val="15"/>
                <w:szCs w:val="15"/>
              </w:rPr>
              <w:t>1</w:t>
            </w:r>
            <w:r>
              <w:rPr>
                <w:rFonts w:hint="eastAsia"/>
                <w:kern w:val="0"/>
                <w:sz w:val="15"/>
                <w:szCs w:val="15"/>
              </w:rPr>
              <w:t>月</w:t>
            </w:r>
            <w:r>
              <w:rPr>
                <w:kern w:val="0"/>
                <w:sz w:val="15"/>
                <w:szCs w:val="15"/>
              </w:rPr>
              <w:t>1</w:t>
            </w:r>
            <w:r>
              <w:rPr>
                <w:rFonts w:hint="eastAsia"/>
                <w:kern w:val="0"/>
                <w:sz w:val="15"/>
                <w:szCs w:val="15"/>
              </w:rPr>
              <w:t>日公布实施）第二十七条</w:t>
            </w:r>
          </w:p>
        </w:tc>
        <w:tc>
          <w:tcPr>
            <w:tcW w:w="9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lang w:val="en-US" w:eastAsia="zh-CN"/>
              </w:rPr>
              <w:t>新区</w:t>
            </w:r>
            <w:r>
              <w:rPr>
                <w:rFonts w:hint="eastAsia"/>
                <w:kern w:val="0"/>
                <w:sz w:val="15"/>
                <w:szCs w:val="15"/>
              </w:rPr>
              <w:t>自然资源和规划部门</w:t>
            </w:r>
          </w:p>
        </w:tc>
        <w:tc>
          <w:tcPr>
            <w:tcW w:w="83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kern w:val="0"/>
                <w:sz w:val="15"/>
                <w:szCs w:val="15"/>
              </w:rPr>
              <w:t>公安机关、法院、医疗机构、村（居）委会</w:t>
            </w:r>
          </w:p>
        </w:tc>
        <w:tc>
          <w:tcPr>
            <w:tcW w:w="830" w:type="dxa"/>
            <w:vAlign w:val="center"/>
          </w:tcPr>
          <w:p>
            <w:pPr>
              <w:widowControl/>
              <w:spacing w:line="200" w:lineRule="exact"/>
              <w:jc w:val="center"/>
              <w:textAlignment w:val="center"/>
              <w:rPr>
                <w:rFonts w:ascii="仿宋" w:hAnsi="Times New Roman" w:eastAsia="仿宋" w:cs="Times New Roman"/>
                <w:kern w:val="0"/>
                <w:sz w:val="15"/>
                <w:szCs w:val="15"/>
                <w:lang w:val="en-US" w:eastAsia="zh-CN" w:bidi="ar-SA"/>
              </w:rPr>
            </w:pPr>
            <w:r>
              <w:rPr>
                <w:rFonts w:hint="eastAsia"/>
                <w:kern w:val="0"/>
                <w:sz w:val="15"/>
                <w:szCs w:val="15"/>
              </w:rPr>
              <w:t>难以获取的被继承人父母的死亡证明</w:t>
            </w:r>
            <w:r>
              <w:rPr>
                <w:kern w:val="0"/>
                <w:sz w:val="15"/>
                <w:szCs w:val="15"/>
              </w:rPr>
              <w:t>(</w:t>
            </w:r>
            <w:r>
              <w:rPr>
                <w:rFonts w:hint="eastAsia"/>
                <w:kern w:val="0"/>
                <w:sz w:val="15"/>
                <w:szCs w:val="15"/>
              </w:rPr>
              <w:t>其他难以获取的死亡证明可参照</w:t>
            </w: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widowControl/>
              <w:spacing w:line="200" w:lineRule="exact"/>
              <w:jc w:val="center"/>
              <w:textAlignment w:val="center"/>
              <w:rPr>
                <w:rFonts w:hint="default" w:ascii="仿宋" w:hAnsi="Times New Roman" w:eastAsia="仿宋" w:cs="Times New Roman"/>
                <w:kern w:val="0"/>
                <w:sz w:val="15"/>
                <w:szCs w:val="15"/>
                <w:lang w:val="en-US" w:eastAsia="zh-CN" w:bidi="ar-SA"/>
              </w:rPr>
            </w:pPr>
            <w:r>
              <w:rPr>
                <w:rFonts w:hint="default" w:cs="Times New Roman"/>
                <w:kern w:val="0"/>
                <w:sz w:val="15"/>
                <w:szCs w:val="15"/>
                <w:lang w:val="en-US" w:eastAsia="zh-CN" w:bidi="ar-SA"/>
              </w:rPr>
              <w:t>20</w:t>
            </w:r>
          </w:p>
        </w:tc>
        <w:tc>
          <w:tcPr>
            <w:tcW w:w="88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食品安全抽样检验结果通知书</w:t>
            </w:r>
          </w:p>
        </w:tc>
        <w:tc>
          <w:tcPr>
            <w:tcW w:w="10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食品生产经营者申请食品安全监督抽检复检</w:t>
            </w:r>
          </w:p>
        </w:tc>
        <w:tc>
          <w:tcPr>
            <w:tcW w:w="23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c>
          <w:tcPr>
            <w:tcW w:w="2218"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c>
          <w:tcPr>
            <w:tcW w:w="2070"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p>
        </w:tc>
        <w:tc>
          <w:tcPr>
            <w:tcW w:w="2075"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《市场监管总局办公厅关于进一步规范食品安全监督抽检复检和异议工作的通知》（市监食检〔2018〕48号）第一（二）条：“复检申请人应当提交以下材料：……（2）食品安全抽样检验结果通知书。”</w:t>
            </w:r>
          </w:p>
        </w:tc>
        <w:tc>
          <w:tcPr>
            <w:tcW w:w="9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lang w:val="en-US" w:eastAsia="zh-CN"/>
              </w:rPr>
              <w:t>新区</w:t>
            </w:r>
            <w:r>
              <w:rPr>
                <w:rFonts w:hint="eastAsia" w:cs="Times New Roman"/>
                <w:kern w:val="0"/>
                <w:sz w:val="15"/>
                <w:szCs w:val="15"/>
              </w:rPr>
              <w:t>市场监管部门</w:t>
            </w:r>
          </w:p>
        </w:tc>
        <w:tc>
          <w:tcPr>
            <w:tcW w:w="83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实施抽样检验的市场监管部门</w:t>
            </w:r>
          </w:p>
        </w:tc>
        <w:tc>
          <w:tcPr>
            <w:tcW w:w="83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jc w:val="center"/>
        </w:trPr>
        <w:tc>
          <w:tcPr>
            <w:tcW w:w="601" w:type="dxa"/>
            <w:vAlign w:val="center"/>
          </w:tcPr>
          <w:p>
            <w:pPr>
              <w:widowControl/>
              <w:spacing w:line="200" w:lineRule="exact"/>
              <w:jc w:val="center"/>
              <w:textAlignment w:val="center"/>
              <w:rPr>
                <w:rFonts w:hint="default" w:ascii="仿宋" w:hAnsi="Times New Roman" w:eastAsia="仿宋" w:cs="Times New Roman"/>
                <w:kern w:val="0"/>
                <w:sz w:val="15"/>
                <w:szCs w:val="15"/>
                <w:lang w:val="en-US" w:eastAsia="zh-CN" w:bidi="ar-SA"/>
              </w:rPr>
            </w:pPr>
            <w:r>
              <w:rPr>
                <w:rFonts w:hint="default" w:cs="Times New Roman"/>
                <w:kern w:val="0"/>
                <w:sz w:val="15"/>
                <w:szCs w:val="15"/>
                <w:lang w:val="en-US" w:eastAsia="zh-CN" w:bidi="ar-SA"/>
              </w:rPr>
              <w:t>21</w:t>
            </w:r>
          </w:p>
        </w:tc>
        <w:tc>
          <w:tcPr>
            <w:tcW w:w="88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食品安全抽样检验结果通知书</w:t>
            </w:r>
          </w:p>
        </w:tc>
        <w:tc>
          <w:tcPr>
            <w:tcW w:w="10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食品生产经营者对食品安全抽检提出异议申请</w:t>
            </w:r>
          </w:p>
        </w:tc>
        <w:tc>
          <w:tcPr>
            <w:tcW w:w="23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c>
          <w:tcPr>
            <w:tcW w:w="2218"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c>
          <w:tcPr>
            <w:tcW w:w="2070" w:type="dxa"/>
            <w:vAlign w:val="center"/>
          </w:tcPr>
          <w:p>
            <w:pPr>
              <w:widowControl/>
              <w:spacing w:line="200" w:lineRule="exact"/>
              <w:textAlignment w:val="center"/>
              <w:rPr>
                <w:rFonts w:ascii="仿宋" w:hAnsi="Times New Roman" w:eastAsia="仿宋" w:cs="Times New Roman"/>
                <w:kern w:val="0"/>
                <w:sz w:val="15"/>
                <w:szCs w:val="15"/>
                <w:lang w:val="en-US" w:eastAsia="zh-CN" w:bidi="ar-SA"/>
              </w:rPr>
            </w:pPr>
          </w:p>
        </w:tc>
        <w:tc>
          <w:tcPr>
            <w:tcW w:w="2075" w:type="dxa"/>
            <w:vAlign w:val="center"/>
          </w:tcPr>
          <w:p>
            <w:pPr>
              <w:widowControl/>
              <w:spacing w:line="200" w:lineRule="exact"/>
              <w:textAlignment w:val="center"/>
              <w:rPr>
                <w:rFonts w:hint="eastAsia" w:ascii="仿宋" w:hAnsi="Times New Roman" w:eastAsia="仿宋" w:cs="Times New Roman"/>
                <w:kern w:val="2"/>
                <w:sz w:val="15"/>
                <w:szCs w:val="15"/>
                <w:lang w:val="en-US" w:eastAsia="zh-CN" w:bidi="ar-SA"/>
              </w:rPr>
            </w:pPr>
            <w:r>
              <w:rPr>
                <w:rFonts w:hint="eastAsia" w:cs="Times New Roman"/>
                <w:kern w:val="0"/>
                <w:sz w:val="15"/>
                <w:szCs w:val="15"/>
              </w:rPr>
              <w:t>《市场监管总局办公厅关于进一步规范食品安全监督抽检复检和异议工作的通知》（市监食检〔2018〕48号）第二（二）条：“异议申请人应当提交以下材料：……（2）食品安全抽样检验结果通知书。”</w:t>
            </w:r>
          </w:p>
        </w:tc>
        <w:tc>
          <w:tcPr>
            <w:tcW w:w="90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lang w:val="en-US" w:eastAsia="zh-CN"/>
              </w:rPr>
              <w:t>新区</w:t>
            </w:r>
            <w:r>
              <w:rPr>
                <w:rFonts w:hint="eastAsia" w:cs="Times New Roman"/>
                <w:kern w:val="0"/>
                <w:sz w:val="15"/>
                <w:szCs w:val="15"/>
              </w:rPr>
              <w:t>市场监管部门</w:t>
            </w:r>
          </w:p>
        </w:tc>
        <w:tc>
          <w:tcPr>
            <w:tcW w:w="837"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r>
              <w:rPr>
                <w:rFonts w:hint="eastAsia" w:cs="Times New Roman"/>
                <w:kern w:val="0"/>
                <w:sz w:val="15"/>
                <w:szCs w:val="15"/>
              </w:rPr>
              <w:t>实施抽样检验的市场监管部门</w:t>
            </w:r>
          </w:p>
        </w:tc>
        <w:tc>
          <w:tcPr>
            <w:tcW w:w="830" w:type="dxa"/>
            <w:vAlign w:val="center"/>
          </w:tcPr>
          <w:p>
            <w:pPr>
              <w:widowControl/>
              <w:spacing w:line="200" w:lineRule="exact"/>
              <w:textAlignment w:val="center"/>
              <w:rPr>
                <w:rFonts w:hint="eastAsia" w:ascii="仿宋" w:hAnsi="Times New Roman" w:eastAsia="仿宋" w:cs="Times New Roman"/>
                <w:kern w:val="0"/>
                <w:sz w:val="15"/>
                <w:szCs w:val="15"/>
                <w:lang w:val="en-US" w:eastAsia="zh-CN" w:bidi="ar-SA"/>
              </w:rPr>
            </w:pPr>
          </w:p>
        </w:tc>
      </w:tr>
    </w:tbl>
    <w:p>
      <w:pPr>
        <w:pStyle w:val="7"/>
        <w:rPr>
          <w:color w:val="000000" w:themeColor="text1"/>
          <w14:textFill>
            <w14:solidFill>
              <w14:schemeClr w14:val="tx1"/>
            </w14:solidFill>
          </w14:textFill>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94213A"/>
    <w:rsid w:val="3FAA0445"/>
    <w:rsid w:val="5CB661C2"/>
    <w:rsid w:val="5FF04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Times New Roman" w:eastAsia="仿宋"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40" w:lineRule="atLeast"/>
    </w:pPr>
    <w:rPr>
      <w:rFonts w:eastAsia="小标宋"/>
      <w:sz w:val="44"/>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Table Paragraph"/>
    <w:basedOn w:val="1"/>
    <w:qFormat/>
    <w:uiPriority w:val="99"/>
  </w:style>
  <w:style w:type="paragraph" w:customStyle="1" w:styleId="7">
    <w:name w:val="Default"/>
    <w:basedOn w:val="1"/>
    <w:qFormat/>
    <w:uiPriority w:val="99"/>
    <w:pPr>
      <w:autoSpaceDE w:val="0"/>
      <w:autoSpaceDN w:val="0"/>
      <w:adjustRightInd w:val="0"/>
      <w:jc w:val="left"/>
    </w:pPr>
    <w:rPr>
      <w:rFonts w:ascii="方正仿宋_GBK" w:hAnsi="方正仿宋_GBK"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jht</dc:creator>
  <cp:lastModifiedBy>Yj</cp:lastModifiedBy>
  <cp:lastPrinted>2022-09-26T01:10:00Z</cp:lastPrinted>
  <dcterms:modified xsi:type="dcterms:W3CDTF">2022-09-26T02:39:19Z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62C00175E9B64235AFDB83EFD6B265A0</vt:lpwstr>
  </property>
</Properties>
</file>