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北戴河新区海洋和渔业局2019年部门预算信息公开说明</w:t>
      </w:r>
    </w:p>
    <w:p>
      <w:pPr>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按照《预算法》、《地方预决算公开操作规程》和《河北省省级预算公开办法》规定，现将2019年部门预算公开如下：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560"/>
        <w:rPr>
          <w:rFonts w:ascii="方正仿宋简体" w:hAnsi="Times New Roman" w:eastAsia="方正仿宋简体" w:cs="Times New Roman"/>
          <w:sz w:val="32"/>
          <w:szCs w:val="32"/>
        </w:rPr>
      </w:pPr>
      <w:r>
        <w:rPr>
          <w:rFonts w:hint="eastAsia" w:ascii="方正仿宋简体" w:hAnsi="Times New Roman" w:eastAsia="方正仿宋简体" w:cs="Times New Roman"/>
          <w:b/>
          <w:sz w:val="32"/>
          <w:szCs w:val="32"/>
        </w:rPr>
        <w:t>部门</w:t>
      </w:r>
      <w:r>
        <w:rPr>
          <w:rFonts w:ascii="方正仿宋简体" w:hAnsi="Times New Roman" w:eastAsia="方正仿宋简体" w:cs="Times New Roman"/>
          <w:b/>
          <w:sz w:val="32"/>
          <w:szCs w:val="32"/>
        </w:rPr>
        <w:t>职责：</w:t>
      </w:r>
      <w:r>
        <w:rPr>
          <w:rFonts w:ascii="方正仿宋简体" w:hAnsi="Times New Roman" w:eastAsia="方正仿宋简体" w:cs="Times New Roman"/>
          <w:sz w:val="32"/>
          <w:szCs w:val="32"/>
        </w:rPr>
        <w:t>（一）贯彻执行国家、省、市有关海洋、渔业、航运的法律法规和有关政策，会同有关部门拟定新区海洋事业和海洋经济发展规划及相关专项规划。</w:t>
      </w:r>
    </w:p>
    <w:p>
      <w:pPr>
        <w:spacing w:line="500" w:lineRule="exact"/>
        <w:ind w:firstLine="56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spacing w:line="500" w:lineRule="exact"/>
        <w:ind w:firstLine="56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spacing w:line="500" w:lineRule="exact"/>
        <w:ind w:firstLine="56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r>
        <w:rPr>
          <w:rFonts w:ascii="方正仿宋简体" w:hAnsi="Times New Roman" w:eastAsia="方正仿宋简体" w:cs="Times New Roman"/>
          <w:sz w:val="32"/>
          <w:szCs w:val="32"/>
        </w:rPr>
        <w:br w:type="textWrapping"/>
      </w:r>
      <w:r>
        <w:rPr>
          <w:rFonts w:ascii="方正仿宋简体" w:hAnsi="Times New Roman" w:eastAsia="方正仿宋简体" w:cs="Times New Roman"/>
          <w:sz w:val="32"/>
          <w:szCs w:val="32"/>
        </w:rPr>
        <w:t>（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r>
        <w:rPr>
          <w:rFonts w:ascii="方正仿宋简体" w:hAnsi="Times New Roman" w:eastAsia="方正仿宋简体" w:cs="Times New Roman"/>
          <w:sz w:val="32"/>
          <w:szCs w:val="32"/>
        </w:rPr>
        <w:br w:type="textWrapping"/>
      </w:r>
      <w:r>
        <w:rPr>
          <w:rFonts w:ascii="方正仿宋简体" w:hAnsi="Times New Roman" w:eastAsia="方正仿宋简体" w:cs="Times New Roman"/>
          <w:sz w:val="32"/>
          <w:szCs w:val="32"/>
        </w:rPr>
        <w:t>（六）负责新区渔业行业管理和职责范围内的渔政管理责任，指导水产养殖业发展，实施水产养殖病害防治和水生动植物防疫检疫，实施渔业生产经营许可制度，负责渔业资源的增殖和保护，指导渔业标准化、规模化生产，编制水产原(良)种场、现代渔业示范基地和休闲渔业示范基地的规划，并组织实施；负责渔船、渔机、网具的监督管理，负责渔港规划，指导渔港建设，实施渔港监督，指导渔业电信管理；负责渔业生产秩序管理，组织渔业油价补贴申报和发放，处理渔事纠纷。</w:t>
      </w:r>
    </w:p>
    <w:p>
      <w:pPr>
        <w:spacing w:line="500" w:lineRule="exact"/>
        <w:ind w:firstLine="56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七）负责新区水产品质量安全监督管理工作。贯彻落实《中华人民共和国农产品质量安全法》及相关法规；根据授权发布有关水产品质量安全信息,组织水产品质量安全监测，开展水产品质量安全风险评估，拟订水产品质量安全地方标准并会同有关部门组织实施；指导水产品质检体系建设，负责无公害水产品管理相关工作。</w:t>
      </w:r>
    </w:p>
    <w:p>
      <w:pPr>
        <w:spacing w:line="500" w:lineRule="exact"/>
        <w:ind w:firstLine="56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（八）承担新区水路运输管理责任。负责对国内水路运输、国内水路运输辅助业实施行业管理，受理权限范围内的行政许可，组织经营行为检查。 </w:t>
      </w:r>
      <w:r>
        <w:rPr>
          <w:rFonts w:ascii="方正仿宋简体" w:hAnsi="Times New Roman" w:eastAsia="方正仿宋简体" w:cs="Times New Roman"/>
          <w:sz w:val="32"/>
          <w:szCs w:val="32"/>
        </w:rPr>
        <w:br w:type="textWrapping"/>
      </w:r>
      <w:r>
        <w:rPr>
          <w:rFonts w:ascii="方正仿宋简体" w:hAnsi="Times New Roman" w:eastAsia="方正仿宋简体" w:cs="Times New Roman"/>
          <w:sz w:val="32"/>
          <w:szCs w:val="32"/>
        </w:rPr>
        <w:t>（九）负责新区海洋、渔业、航运领域的科技管理工作。制定并组织实施相关科技发展规划，推进相关领域高新技术应用和技术研究、科技成果转化和技术推广；拟订并组织实施海洋、渔业、航运有关标准和技术规范。</w:t>
      </w:r>
      <w:r>
        <w:rPr>
          <w:rFonts w:ascii="方正仿宋简体" w:hAnsi="Times New Roman" w:eastAsia="方正仿宋简体" w:cs="Times New Roman"/>
          <w:sz w:val="32"/>
          <w:szCs w:val="32"/>
        </w:rPr>
        <w:br w:type="textWrapping"/>
      </w:r>
      <w:r>
        <w:rPr>
          <w:rFonts w:ascii="方正仿宋简体" w:hAnsi="Times New Roman" w:eastAsia="方正仿宋简体" w:cs="Times New Roman"/>
          <w:sz w:val="32"/>
          <w:szCs w:val="32"/>
        </w:rPr>
        <w:t>（十）负责新区海洋、渔业、航运综合行政执法工作。组织实施管辖海域巡航执法制度；监督指导所属的海洋和渔业综合队伍建设及行政执法工作。</w:t>
      </w:r>
      <w:r>
        <w:rPr>
          <w:rFonts w:ascii="方正仿宋简体" w:hAnsi="Times New Roman" w:eastAsia="方正仿宋简体" w:cs="Times New Roman"/>
          <w:sz w:val="32"/>
          <w:szCs w:val="32"/>
        </w:rPr>
        <w:br w:type="textWrapping"/>
      </w:r>
      <w:r>
        <w:rPr>
          <w:rFonts w:ascii="方正仿宋简体" w:hAnsi="Times New Roman" w:eastAsia="方正仿宋简体" w:cs="Times New Roman"/>
          <w:sz w:val="32"/>
          <w:szCs w:val="32"/>
        </w:rPr>
        <w:t>（十一）承担新区管理港口的行政管理职能。</w:t>
      </w:r>
    </w:p>
    <w:p>
      <w:pPr>
        <w:snapToGrid w:val="0"/>
        <w:spacing w:line="520" w:lineRule="exact"/>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北戴河新区海洋和渔业局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lang w:val="en-US" w:eastAsia="zh-CN"/>
              </w:rPr>
              <w:t>副处</w:t>
            </w:r>
            <w:r>
              <w:rPr>
                <w:rFonts w:hint="eastAsia" w:ascii="方正书宋_GBK" w:eastAsia="方正书宋_GBK"/>
              </w:rPr>
              <w:t>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color w:val="FF0000"/>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方正仿宋简体" w:hAnsi="Times New Roman" w:eastAsia="方正仿宋简体" w:cs="Times New Roman"/>
          <w:sz w:val="32"/>
          <w:szCs w:val="32"/>
        </w:rPr>
      </w:pPr>
      <w:r>
        <w:rPr>
          <w:rFonts w:ascii="方正仿宋简体" w:hAnsi="Times New Roman" w:eastAsia="方正仿宋简体" w:cs="Times New Roman"/>
          <w:sz w:val="32"/>
          <w:szCs w:val="32"/>
        </w:rPr>
        <w:t>按照预算管理有关规定，目前</w:t>
      </w:r>
      <w:r>
        <w:rPr>
          <w:rFonts w:hint="eastAsia" w:ascii="方正仿宋简体" w:hAnsi="Times New Roman" w:eastAsia="方正仿宋简体" w:cs="Times New Roman"/>
          <w:sz w:val="32"/>
          <w:szCs w:val="32"/>
        </w:rPr>
        <w:t>我区</w:t>
      </w:r>
      <w:r>
        <w:rPr>
          <w:rFonts w:ascii="方正仿宋简体" w:hAnsi="Times New Roman" w:eastAsia="方正仿宋简体" w:cs="Times New Roman"/>
          <w:sz w:val="32"/>
          <w:szCs w:val="32"/>
        </w:rPr>
        <w:t>部门预算的编制实行综合预算制度，即全部收入和支出都反映</w:t>
      </w:r>
      <w:r>
        <w:rPr>
          <w:rFonts w:hint="eastAsia" w:ascii="方正仿宋简体" w:hAnsi="Times New Roman" w:eastAsia="方正仿宋简体" w:cs="Times New Roman"/>
          <w:sz w:val="32"/>
          <w:szCs w:val="32"/>
        </w:rPr>
        <w:t>在</w:t>
      </w:r>
      <w:r>
        <w:rPr>
          <w:rFonts w:ascii="方正仿宋简体" w:hAnsi="Times New Roman" w:eastAsia="方正仿宋简体" w:cs="Times New Roman"/>
          <w:sz w:val="32"/>
          <w:szCs w:val="32"/>
        </w:rPr>
        <w:t>预算中。</w:t>
      </w:r>
      <w:r>
        <w:rPr>
          <w:rFonts w:hint="eastAsia" w:ascii="方正仿宋简体" w:hAnsi="Times New Roman" w:eastAsia="方正仿宋简体" w:cs="Times New Roman"/>
          <w:sz w:val="32"/>
          <w:szCs w:val="32"/>
        </w:rPr>
        <w:t>海洋和渔业局</w:t>
      </w:r>
      <w:r>
        <w:rPr>
          <w:rFonts w:ascii="方正仿宋简体" w:hAnsi="Times New Roman" w:eastAsia="方正仿宋简体" w:cs="Times New Roman"/>
          <w:sz w:val="32"/>
          <w:szCs w:val="32"/>
        </w:rPr>
        <w:t>的收支包含在部门预算中。</w:t>
      </w:r>
    </w:p>
    <w:p>
      <w:pPr>
        <w:ind w:firstLine="643" w:firstLineChars="20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1.</w:t>
      </w:r>
      <w:r>
        <w:rPr>
          <w:rFonts w:ascii="方正仿宋简体" w:hAnsi="Times New Roman" w:eastAsia="方正仿宋简体" w:cs="Times New Roman"/>
          <w:b/>
          <w:sz w:val="32"/>
          <w:szCs w:val="32"/>
        </w:rPr>
        <w:t>收入说明</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反映</w:t>
      </w:r>
      <w:r>
        <w:rPr>
          <w:rFonts w:ascii="Times New Roman" w:hAnsi="Times New Roman" w:eastAsia="方正仿宋简体" w:cs="Times New Roman"/>
          <w:sz w:val="32"/>
          <w:szCs w:val="32"/>
        </w:rPr>
        <w:t>本部门当年全部收入，201</w:t>
      </w:r>
      <w:r>
        <w:rPr>
          <w:rFonts w:hint="eastAsia" w:ascii="Times New Roman" w:hAnsi="Times New Roman" w:eastAsia="方正仿宋简体" w:cs="Times New Roman"/>
          <w:sz w:val="32"/>
          <w:szCs w:val="32"/>
        </w:rPr>
        <w:t>9</w:t>
      </w:r>
      <w:r>
        <w:rPr>
          <w:rFonts w:ascii="Times New Roman" w:hAnsi="Times New Roman" w:eastAsia="方正仿宋简体" w:cs="Times New Roman"/>
          <w:sz w:val="32"/>
          <w:szCs w:val="32"/>
        </w:rPr>
        <w:t>年预算收入</w:t>
      </w:r>
      <w:r>
        <w:rPr>
          <w:rFonts w:hint="eastAsia" w:ascii="Times New Roman" w:hAnsi="Times New Roman" w:eastAsia="方正仿宋简体" w:cs="Times New Roman"/>
          <w:sz w:val="32"/>
          <w:szCs w:val="32"/>
        </w:rPr>
        <w:t>4810.55</w:t>
      </w:r>
      <w:r>
        <w:rPr>
          <w:rFonts w:ascii="Times New Roman" w:hAnsi="Times New Roman" w:eastAsia="方正仿宋简体" w:cs="Times New Roman"/>
          <w:sz w:val="32"/>
          <w:szCs w:val="32"/>
        </w:rPr>
        <w:t>万元，一般公共预算拨款</w:t>
      </w:r>
      <w:r>
        <w:rPr>
          <w:rFonts w:hint="eastAsia" w:ascii="Times New Roman" w:hAnsi="Times New Roman" w:eastAsia="方正仿宋简体" w:cs="Times New Roman"/>
          <w:sz w:val="32"/>
          <w:szCs w:val="32"/>
        </w:rPr>
        <w:t>4810.55万元</w:t>
      </w:r>
      <w:r>
        <w:rPr>
          <w:rFonts w:ascii="Times New Roman" w:hAnsi="Times New Roman" w:eastAsia="方正仿宋简体" w:cs="Times New Roman"/>
          <w:sz w:val="32"/>
          <w:szCs w:val="32"/>
        </w:rPr>
        <w:t>。</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2.</w:t>
      </w:r>
      <w:r>
        <w:rPr>
          <w:rFonts w:ascii="方正仿宋简体" w:hAnsi="Times New Roman" w:eastAsia="方正仿宋简体" w:cs="Times New Roman"/>
          <w:b/>
          <w:sz w:val="32"/>
          <w:szCs w:val="32"/>
        </w:rPr>
        <w:t>支出说明</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2019年部门支出预算为4810.55万元，其中基本支出395.55万元，包括人员经费351.9万元和日常公用经费43.65万元；项目支出4415万元，全部为本级支出。</w:t>
      </w:r>
    </w:p>
    <w:p>
      <w:pPr>
        <w:ind w:left="640"/>
        <w:rPr>
          <w:rFonts w:ascii="方正仿宋简体" w:hAnsi="Times New Roman" w:eastAsia="方正仿宋简体" w:cs="Times New Roman"/>
          <w:b/>
          <w:sz w:val="32"/>
          <w:szCs w:val="32"/>
        </w:rPr>
      </w:pPr>
      <w:r>
        <w:rPr>
          <w:rFonts w:hint="eastAsia" w:ascii="方正仿宋简体" w:hAnsi="Times New Roman" w:eastAsia="方正仿宋简体" w:cs="Times New Roman"/>
          <w:b/>
          <w:sz w:val="32"/>
          <w:szCs w:val="32"/>
        </w:rPr>
        <w:t>3.</w:t>
      </w:r>
      <w:r>
        <w:rPr>
          <w:rFonts w:ascii="方正仿宋简体" w:hAnsi="Times New Roman" w:eastAsia="方正仿宋简体" w:cs="Times New Roman"/>
          <w:b/>
          <w:sz w:val="32"/>
          <w:szCs w:val="32"/>
        </w:rPr>
        <w:t>比上年增减情况</w:t>
      </w:r>
    </w:p>
    <w:p>
      <w:pPr>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2019年部门预算较2018年增长4078.17万元，其中：基本支出增加4.17万元；项目支出增长4074万元，主要是七里海潟湖湿地生态修复工程退养补偿资金等支出。</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黑体" w:hAnsi="黑体" w:eastAsia="黑体" w:cs="Times New Roman"/>
          <w:sz w:val="32"/>
          <w:szCs w:val="32"/>
        </w:rPr>
      </w:pPr>
      <w:r>
        <w:rPr>
          <w:rFonts w:hint="eastAsia" w:ascii="方正仿宋简体" w:hAnsi="Times New Roman" w:eastAsia="方正仿宋简体" w:cs="Times New Roman"/>
          <w:sz w:val="32"/>
          <w:szCs w:val="32"/>
        </w:rPr>
        <w:t>机关运行经费共计安排</w:t>
      </w:r>
      <w:r>
        <w:rPr>
          <w:rFonts w:hint="eastAsia" w:ascii="Times New Roman" w:hAnsi="Times New Roman" w:eastAsia="方正仿宋简体" w:cs="Times New Roman"/>
          <w:sz w:val="32"/>
          <w:szCs w:val="32"/>
        </w:rPr>
        <w:t>31.21</w:t>
      </w:r>
      <w:r>
        <w:rPr>
          <w:rFonts w:hint="eastAsia" w:ascii="方正仿宋简体" w:hAnsi="Times New Roman" w:eastAsia="方正仿宋简体"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2019年，财政拨款“三公”经费预算安排3.66万元，其中：因公出国（境）费0万元；公务用车购置及运维费3.1万元；公务接待费0.56万元。“三公”经费与上年一样。</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firstLineChars="200"/>
        <w:jc w:val="left"/>
        <w:outlineLvl w:val="1"/>
        <w:rPr>
          <w:rFonts w:ascii="方正楷体简体" w:hAnsi="黑体" w:eastAsia="方正楷体简体"/>
          <w:sz w:val="32"/>
          <w:szCs w:val="32"/>
        </w:rPr>
      </w:pPr>
      <w:bookmarkStart w:id="0" w:name="_Toc534013401"/>
      <w:r>
        <w:rPr>
          <w:rFonts w:hint="eastAsia" w:ascii="方正楷体简体" w:hAnsi="黑体" w:eastAsia="方正楷体简体"/>
          <w:sz w:val="32"/>
          <w:szCs w:val="32"/>
        </w:rPr>
        <w:t>（一）总体绩效目标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认真贯彻落实党的十九大精神，以习近平新时代中国特色社会主义思想为指导，按照北戴河新区工管委的要求部署，以项目建设为主线，以作风建设为保障，以推进海洋渔业产业为重点，以自身建设为根本，坚持稳中求进，进中求好，好中求快的工作总基调，进一步转变观念，振奋精神，凝心聚力，进位赶超，全面推进海洋渔业工作，努力实现北戴河新区海洋生态环境安全保护、海洋经济更好发展、打造</w:t>
      </w:r>
      <w:r>
        <w:rPr>
          <w:rFonts w:ascii="Times New Roman" w:eastAsia="方正仿宋_GBK"/>
          <w:sz w:val="28"/>
        </w:rPr>
        <w:t>“</w:t>
      </w:r>
      <w:r>
        <w:rPr>
          <w:rFonts w:hint="eastAsia" w:ascii="Times New Roman" w:hAnsi="微软雅黑" w:eastAsia="方正仿宋_GBK" w:cs="微软雅黑"/>
          <w:sz w:val="28"/>
        </w:rPr>
        <w:t>平安渔区</w:t>
      </w:r>
      <w:r>
        <w:rPr>
          <w:rFonts w:ascii="Times New Roman" w:eastAsia="方正仿宋_GBK"/>
          <w:sz w:val="28"/>
        </w:rPr>
        <w:t>”</w:t>
      </w:r>
      <w:r>
        <w:rPr>
          <w:rFonts w:hint="eastAsia" w:ascii="Times New Roman" w:hAnsi="微软雅黑" w:eastAsia="方正仿宋_GBK" w:cs="微软雅黑"/>
          <w:sz w:val="28"/>
        </w:rPr>
        <w:t>的发展目标。</w:t>
      </w:r>
    </w:p>
    <w:p>
      <w:pPr>
        <w:spacing w:line="500" w:lineRule="exact"/>
        <w:ind w:firstLine="560" w:firstLineChars="200"/>
        <w:jc w:val="left"/>
        <w:rPr>
          <w:rFonts w:ascii="Times New Roman" w:hAnsi="宋体"/>
          <w:sz w:val="28"/>
        </w:rPr>
      </w:pPr>
      <w:r>
        <w:rPr>
          <w:rFonts w:ascii="Times New Roman" w:eastAsia="方正仿宋_GBK"/>
          <w:sz w:val="28"/>
        </w:rPr>
        <w:t>20</w:t>
      </w:r>
      <w:r>
        <w:rPr>
          <w:rFonts w:hint="eastAsia" w:ascii="Times New Roman" w:eastAsia="方正仿宋_GBK"/>
          <w:sz w:val="28"/>
          <w:lang w:val="en-US" w:eastAsia="zh-CN"/>
        </w:rPr>
        <w:t>19</w:t>
      </w:r>
      <w:r>
        <w:rPr>
          <w:rFonts w:hint="eastAsia" w:ascii="Times New Roman" w:hAnsi="微软雅黑" w:eastAsia="方正仿宋_GBK" w:cs="微软雅黑"/>
          <w:sz w:val="28"/>
        </w:rPr>
        <w:t>年重点做好以下工作：着力推动重点项目建设取得新成果；着力推动</w:t>
      </w:r>
      <w:r>
        <w:rPr>
          <w:rFonts w:ascii="Times New Roman" w:eastAsia="方正仿宋_GBK"/>
          <w:sz w:val="28"/>
        </w:rPr>
        <w:t>“</w:t>
      </w:r>
      <w:r>
        <w:rPr>
          <w:rFonts w:hint="eastAsia" w:ascii="Times New Roman" w:hAnsi="微软雅黑" w:eastAsia="方正仿宋_GBK" w:cs="微软雅黑"/>
          <w:sz w:val="28"/>
        </w:rPr>
        <w:t>湾长制</w:t>
      </w:r>
      <w:r>
        <w:rPr>
          <w:rFonts w:ascii="Times New Roman" w:eastAsia="方正仿宋_GBK"/>
          <w:sz w:val="28"/>
        </w:rPr>
        <w:t>”</w:t>
      </w:r>
      <w:r>
        <w:rPr>
          <w:rFonts w:hint="eastAsia" w:ascii="Times New Roman" w:hAnsi="微软雅黑" w:eastAsia="方正仿宋_GBK" w:cs="微软雅黑"/>
          <w:sz w:val="28"/>
        </w:rPr>
        <w:t>工作、科技兴海示范基地项目、海上和岸线综合管控、信息化建设、海域动态监视监测等重点工作取得新突破；着力推进水产品质量安全监管，平安渔区建设取得新发展；着力推动海洋渔业综合执法取得新成效。</w:t>
      </w:r>
      <w:r>
        <w:fldChar w:fldCharType="begin"/>
      </w:r>
      <w:r>
        <w:rPr>
          <w:rFonts w:hint="eastAsia" w:ascii="方正黑体_GBK" w:eastAsia="方正黑体_GBK"/>
          <w:sz w:val="28"/>
        </w:rPr>
        <w:instrText xml:space="preserve">TC </w:instrText>
      </w:r>
      <w:bookmarkStart w:id="1" w:name="_Toc28866444"/>
      <w:r>
        <w:rPr>
          <w:rFonts w:hint="eastAsia" w:ascii="方正黑体_GBK" w:eastAsia="方正黑体_GBK"/>
          <w:sz w:val="28"/>
        </w:rPr>
        <w:instrText xml:space="preserve">总体绩效目标</w:instrText>
      </w:r>
      <w:bookmarkEnd w:id="1"/>
      <w:r>
        <w:rPr>
          <w:rFonts w:hint="eastAsia" w:ascii="方正黑体_GBK" w:eastAsia="方正黑体_GBK"/>
          <w:sz w:val="28"/>
        </w:rPr>
        <w:instrText xml:space="preserve"> \f A \l 1</w:instrText>
      </w:r>
      <w:r>
        <w:rPr>
          <w:rFonts w:ascii="方正黑体_GBK" w:eastAsia="方正黑体_GBK"/>
          <w:sz w:val="28"/>
        </w:rPr>
        <w:fldChar w:fldCharType="end"/>
      </w:r>
    </w:p>
    <w:p>
      <w:pPr>
        <w:ind w:firstLine="627" w:firstLineChars="196"/>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二</w:t>
      </w:r>
      <w:r>
        <w:rPr>
          <w:rFonts w:hint="eastAsia" w:ascii="方正楷体简体" w:hAnsi="黑体" w:eastAsia="方正楷体简体"/>
          <w:sz w:val="32"/>
          <w:szCs w:val="32"/>
        </w:rPr>
        <w:t>）</w:t>
      </w:r>
      <w:r>
        <w:rPr>
          <w:rFonts w:ascii="方正楷体简体" w:hAnsi="黑体" w:eastAsia="方正楷体简体"/>
          <w:sz w:val="32"/>
          <w:szCs w:val="32"/>
        </w:rPr>
        <w:t>分项绩效目标</w:t>
      </w:r>
      <w:r>
        <w:fldChar w:fldCharType="begin"/>
      </w:r>
      <w:r>
        <w:rPr>
          <w:rFonts w:ascii="方正楷体简体" w:hAnsi="黑体" w:eastAsia="方正楷体简体"/>
          <w:sz w:val="32"/>
          <w:szCs w:val="32"/>
        </w:rPr>
        <w:instrText xml:space="preserve"> TC </w:instrText>
      </w:r>
      <w:bookmarkStart w:id="2" w:name="_Toc28866445"/>
      <w:r>
        <w:rPr>
          <w:rFonts w:ascii="方正楷体简体" w:hAnsi="黑体" w:eastAsia="方正楷体简体"/>
          <w:sz w:val="32"/>
          <w:szCs w:val="32"/>
        </w:rPr>
        <w:instrText xml:space="preserve">分项绩效目标</w:instrText>
      </w:r>
      <w:bookmarkEnd w:id="2"/>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部门职责分类绩效目标情况说明</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部门职责一：党政事务管理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承担机关文电、会务、机要、保密、党务、提案、文书档案、对外接待、人事、财务、劳资、固定资产、政策法规研究和政府信息公开等工作；承担机关公共设施的维护管理、办公用品及设备的采购管理、车辆管理、安全保卫、消防安全、后勤保障等综合管理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部门职责二：海域使用管理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负责全区海域使用各项管理工作；参与完成年度海域使用金收缴工作；负责实施本区海域使用动态监视监测、围填海项目跟踪监测、数据库管理、监视监测制作及信息服务等任务。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部门职责三：资源环境保护与观测预报</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负责全区海洋环境、水生生物资源和渔业水域生态环境保护工作；组织海洋、渔业环境巡查；负责</w:t>
      </w:r>
      <w:r>
        <w:rPr>
          <w:rFonts w:ascii="Times New Roman" w:eastAsia="方正仿宋_GBK"/>
          <w:sz w:val="28"/>
        </w:rPr>
        <w:t>“</w:t>
      </w:r>
      <w:r>
        <w:rPr>
          <w:rFonts w:hint="eastAsia" w:ascii="Times New Roman" w:hAnsi="微软雅黑" w:eastAsia="方正仿宋_GBK" w:cs="微软雅黑"/>
          <w:sz w:val="28"/>
        </w:rPr>
        <w:t>湾长制</w:t>
      </w:r>
      <w:r>
        <w:rPr>
          <w:rFonts w:ascii="Times New Roman" w:eastAsia="方正仿宋_GBK"/>
          <w:sz w:val="28"/>
        </w:rPr>
        <w:t>”</w:t>
      </w:r>
      <w:r>
        <w:rPr>
          <w:rFonts w:hint="eastAsia" w:ascii="Times New Roman" w:hAnsi="微软雅黑" w:eastAsia="方正仿宋_GBK" w:cs="微软雅黑"/>
          <w:sz w:val="28"/>
        </w:rPr>
        <w:t>办公室相关工作；实施海洋生态修复项目，负责水生生物资源养护及开发利用和海洋环境监视监测等任务。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部门职责四：渔政管理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组织海洋捕捞技术更新改造和渔场资源开发；完成渔业捕捞许可证年审、换发、备案；完成渔业资源费收缴；组织渔船燃油补贴申报和发放等工作。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部门职责五：渔港监督与渔船检验、港务市政管理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渔业船舶及船舶用品的管理、监督工作；负责渔业船员的考核、发证及业务培训工作；负责渔船修造企业的资格审查及监督管理工作；负责牵头海洋渔业安全生产工作；负责暑期辖区综合管控渔船消音器安装；洋河口码头值班管理；</w:t>
      </w:r>
      <w:r>
        <w:rPr>
          <w:rFonts w:ascii="Times New Roman" w:eastAsia="方正仿宋_GBK"/>
          <w:sz w:val="28"/>
        </w:rPr>
        <w:t>4</w:t>
      </w:r>
      <w:r>
        <w:rPr>
          <w:rFonts w:hint="eastAsia" w:ascii="Times New Roman" w:hAnsi="微软雅黑" w:eastAsia="方正仿宋_GBK" w:cs="微软雅黑"/>
          <w:sz w:val="28"/>
        </w:rPr>
        <w:t>海里禁航区设立及监管工作。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负责辖区内渔港的市政、环卫等物业管理工作和渔港相关设备的维护、维修；负责审批渔港内新建、改建、扩建各种设施或进行其他水上、水下施工作业；负责辖区渔业航标的管理保护及维修养等任务。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部门职责六：水产管理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进行新品种的引进及新养殖模式的示范推广；开展水产品质量及安全生产监管；核发养殖证等工作。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部门职责七：岸线与科技经济管理</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负责辖区内沙滩浴场的监督管理工作，做好暑期岸线沙滩综合管控工作；开展我区海洋经济综合调查研究，大力发展海洋经济；摸清掌握用海项目单位的相关数据及动态；培育海洋经济新兴产业等工作。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部门职责八：海洋和渔业综合执法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负责查处海洋资源违法案件；对辖区近海海域的使用、沿海岸线和海洋环境进行监督检查，并依法查处违法违规行为；负责维护辖区内海洋和渔业生产秩序及调解纠纷；负责辖区内海上渔业安全生产检查等工作。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部门职责九：水产园区建设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负责编制水产园区发展规划</w:t>
      </w:r>
      <w:r>
        <w:rPr>
          <w:rFonts w:ascii="Times New Roman" w:eastAsia="方正仿宋_GBK"/>
          <w:sz w:val="28"/>
        </w:rPr>
        <w:t>;</w:t>
      </w:r>
      <w:r>
        <w:rPr>
          <w:rFonts w:hint="eastAsia" w:ascii="Times New Roman" w:hAnsi="微软雅黑" w:eastAsia="方正仿宋_GBK" w:cs="微软雅黑"/>
          <w:sz w:val="28"/>
        </w:rPr>
        <w:t>负责制定园区的各项管理制度</w:t>
      </w:r>
      <w:r>
        <w:rPr>
          <w:rFonts w:ascii="Times New Roman" w:eastAsia="方正仿宋_GBK"/>
          <w:sz w:val="28"/>
        </w:rPr>
        <w:t>;</w:t>
      </w:r>
      <w:r>
        <w:rPr>
          <w:rFonts w:hint="eastAsia" w:ascii="Times New Roman" w:hAnsi="微软雅黑" w:eastAsia="方正仿宋_GBK" w:cs="微软雅黑"/>
          <w:sz w:val="28"/>
        </w:rPr>
        <w:t>负责园区投资项目的备案、办理相关审批手续；组织园区内企业学习安全生产法律、法规、标准和规范；督促、检查、协调园区企业安全生产工作；参与处理生产安全事故。</w:t>
      </w:r>
    </w:p>
    <w:p>
      <w:pPr>
        <w:spacing w:line="500" w:lineRule="exact"/>
        <w:ind w:firstLine="640" w:firstLineChars="200"/>
        <w:jc w:val="left"/>
        <w:outlineLvl w:val="1"/>
        <w:rPr>
          <w:rFonts w:ascii="方正楷体简体" w:hAnsi="黑体" w:eastAsia="方正楷体简体"/>
          <w:sz w:val="32"/>
          <w:szCs w:val="32"/>
        </w:rPr>
      </w:pPr>
      <w:r>
        <w:rPr>
          <w:rFonts w:hint="eastAsia" w:ascii="方正楷体简体" w:hAnsi="黑体" w:eastAsia="方正楷体简体"/>
          <w:sz w:val="32"/>
          <w:szCs w:val="32"/>
        </w:rPr>
        <w:t>（</w:t>
      </w:r>
      <w:r>
        <w:rPr>
          <w:rFonts w:ascii="方正楷体简体" w:hAnsi="黑体" w:eastAsia="方正楷体简体"/>
          <w:sz w:val="32"/>
          <w:szCs w:val="32"/>
        </w:rPr>
        <w:t>三</w:t>
      </w:r>
      <w:r>
        <w:rPr>
          <w:rFonts w:hint="eastAsia" w:ascii="方正楷体简体" w:hAnsi="黑体" w:eastAsia="方正楷体简体"/>
          <w:sz w:val="32"/>
          <w:szCs w:val="32"/>
        </w:rPr>
        <w:t>）</w:t>
      </w:r>
      <w:r>
        <w:rPr>
          <w:rFonts w:ascii="方正楷体简体" w:hAnsi="黑体" w:eastAsia="方正楷体简体"/>
          <w:sz w:val="32"/>
          <w:szCs w:val="32"/>
        </w:rPr>
        <w:t>工作保障措施</w:t>
      </w:r>
      <w:r>
        <w:fldChar w:fldCharType="begin"/>
      </w:r>
      <w:r>
        <w:rPr>
          <w:rFonts w:ascii="方正楷体简体" w:hAnsi="黑体" w:eastAsia="方正楷体简体"/>
          <w:sz w:val="32"/>
          <w:szCs w:val="32"/>
        </w:rPr>
        <w:instrText xml:space="preserve"> TC </w:instrText>
      </w:r>
      <w:bookmarkStart w:id="3" w:name="_Toc28866446"/>
      <w:r>
        <w:rPr>
          <w:rFonts w:ascii="方正楷体简体" w:hAnsi="黑体" w:eastAsia="方正楷体简体"/>
          <w:sz w:val="32"/>
          <w:szCs w:val="32"/>
        </w:rPr>
        <w:instrText xml:space="preserve">工作保障措施</w:instrText>
      </w:r>
      <w:bookmarkEnd w:id="3"/>
      <w:r>
        <w:rPr>
          <w:rFonts w:ascii="方正楷体简体" w:hAnsi="黑体" w:eastAsia="方正楷体简体"/>
          <w:sz w:val="32"/>
          <w:szCs w:val="32"/>
        </w:rPr>
        <w:instrText xml:space="preserve"> \f A \l 1 </w:instrText>
      </w:r>
      <w:r>
        <w:rPr>
          <w:rFonts w:ascii="方正楷体简体" w:hAnsi="黑体" w:eastAsia="方正楷体简体"/>
          <w:sz w:val="32"/>
          <w:szCs w:val="32"/>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实现本年度发展规划目标的保障措施</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北戴河新区海洋和渔业局强化三大保障措施，确保年度目标任务圆满完成。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一是强化组织建设。加强局党组、党支部和党员干部作风建设</w:t>
      </w:r>
      <w:bookmarkStart w:id="5" w:name="_GoBack"/>
      <w:bookmarkEnd w:id="5"/>
      <w:r>
        <w:rPr>
          <w:rFonts w:hint="eastAsia" w:ascii="Times New Roman" w:hAnsi="微软雅黑" w:eastAsia="方正仿宋_GBK" w:cs="微软雅黑"/>
          <w:sz w:val="28"/>
        </w:rPr>
        <w:t>，为实现全年工作目标增强凝聚力和战斗力。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二是执行决策部署。突出重点强班子，带头干事谋发展。采取有效措施加大海洋渔业管理和执法等的工作力度，将各项政策落到实处。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三是严格制度管理。完善落实局部门管理制度，持之以恒规范管理，依法行政，推动海洋渔业各项工作稳步发展。</w:t>
      </w:r>
    </w:p>
    <w:p>
      <w:pPr>
        <w:ind w:firstLine="560" w:firstLineChars="200"/>
        <w:rPr>
          <w:rFonts w:ascii="Times New Roman" w:hAnsi="微软雅黑" w:eastAsia="方正仿宋_GBK" w:cs="微软雅黑"/>
          <w:sz w:val="28"/>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0"/>
    </w:p>
    <w:tbl>
      <w:tblPr>
        <w:tblStyle w:val="9"/>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秦皇岛北戴河新区海洋和渔业局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一、海洋监察</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对海域使用、海洋环境进行监督检查并依法查处违法违规行为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保障海域合理使用和海洋环境有效保护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、海洋执法监察</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做好海洋监察工作，保障海域有序使用和海洋环境有效监督</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保障海域合理使用和海洋环境有效保护</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保障海域合理使用：严格按照河北省</w:t>
            </w:r>
            <w:r>
              <w:rPr>
                <w:rFonts w:hint="cs" w:ascii="方正书宋_GBK" w:eastAsia="方正书宋_GBK"/>
              </w:rPr>
              <w:t>“</w:t>
            </w:r>
            <w:r>
              <w:rPr>
                <w:rFonts w:hint="eastAsia" w:ascii="方正书宋_GBK" w:eastAsia="方正书宋_GBK"/>
              </w:rPr>
              <w:t>海盾</w:t>
            </w:r>
            <w:r>
              <w:rPr>
                <w:rFonts w:ascii="方正书宋_GBK" w:eastAsia="方正书宋_GBK"/>
              </w:rPr>
              <w:t>2018”</w:t>
            </w:r>
            <w:r>
              <w:rPr>
                <w:rFonts w:hint="eastAsia" w:ascii="方正书宋_GBK" w:eastAsia="方正书宋_GBK"/>
              </w:rPr>
              <w:t>专项执法行动要求，打击违法用海。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89%-80%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79%-60%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海洋环境保护：落实河北省</w:t>
            </w:r>
            <w:r>
              <w:rPr>
                <w:rFonts w:hint="cs" w:ascii="方正书宋_GBK" w:eastAsia="方正书宋_GBK"/>
              </w:rPr>
              <w:t>“</w:t>
            </w:r>
            <w:r>
              <w:rPr>
                <w:rFonts w:hint="eastAsia" w:ascii="方正书宋_GBK" w:eastAsia="方正书宋_GBK"/>
              </w:rPr>
              <w:t>碧海</w:t>
            </w:r>
            <w:r>
              <w:rPr>
                <w:rFonts w:ascii="方正书宋_GBK" w:eastAsia="方正书宋_GBK"/>
              </w:rPr>
              <w:t>2018”</w:t>
            </w:r>
            <w:r>
              <w:rPr>
                <w:rFonts w:hint="eastAsia" w:ascii="方正书宋_GBK" w:eastAsia="方正书宋_GBK"/>
              </w:rPr>
              <w:t>专项执法行动，及时发现海上污染事件。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89%-80%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79%-60%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清理海上违法养殖设施，维护用海秩序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89%-80%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79%-60%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二、海洋资源管理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负责所辖海域资源管理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按照海洋功能规划，加强海域资源管理。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、海域管理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开展海域使用的申请、受理、审批（招拍挂）、海籍调查、海洋科技服务和项目申报、海洋档案管理等工作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完成项目用海的出让工作，收缴海域使用金足额入库。积极争取上级海洋部门资金，服务项目建设。</w:t>
            </w:r>
          </w:p>
          <w:p>
            <w:pPr>
              <w:spacing w:line="300" w:lineRule="exact"/>
              <w:jc w:val="left"/>
              <w:rPr>
                <w:rFonts w:ascii="方正书宋_GBK" w:eastAsia="方正书宋_GBK"/>
              </w:rPr>
            </w:pPr>
            <w:r>
              <w:rPr>
                <w:rFonts w:hint="eastAsia" w:ascii="方正书宋_GBK" w:eastAsia="方正书宋_GBK"/>
              </w:rPr>
              <w:t>完成所辖海域海籍调查工作；</w:t>
            </w:r>
          </w:p>
          <w:p>
            <w:pPr>
              <w:spacing w:line="300" w:lineRule="exact"/>
              <w:jc w:val="left"/>
              <w:rPr>
                <w:rFonts w:ascii="方正书宋_GBK" w:eastAsia="方正书宋_GBK"/>
              </w:rPr>
            </w:pPr>
            <w:r>
              <w:rPr>
                <w:rFonts w:hint="eastAsia" w:ascii="方正书宋_GBK" w:eastAsia="方正书宋_GBK"/>
              </w:rPr>
              <w:t>完成海洋科技服务和项目申报；</w:t>
            </w:r>
          </w:p>
          <w:p>
            <w:pPr>
              <w:spacing w:line="300" w:lineRule="exact"/>
              <w:jc w:val="left"/>
              <w:rPr>
                <w:rFonts w:ascii="方正书宋_GBK" w:eastAsia="方正书宋_GBK"/>
              </w:rPr>
            </w:pPr>
            <w:r>
              <w:rPr>
                <w:rFonts w:hint="eastAsia" w:ascii="方正书宋_GBK" w:eastAsia="方正书宋_GBK"/>
              </w:rPr>
              <w:t>完成海洋档案归档工作；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海域使用权管理覆盖率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海籍调查目标完成率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海洋科技服务完成率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海洋档案归档率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三、海洋环境保护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负责所辖海域环境监视监测和保护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进一步改善海洋环境，维护生态平衡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、海洋环境保护与监测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对所辖海域海洋环境进行巡查监测，及时按应急预案发布赤潮、风暴潮等海洋灾害预警信息</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保护和防治海洋污染，了解海洋环境动态，防范海洋灾害发生。</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海洋环境保护与监测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巡查检测完成率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海洋灾害预警完成率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四、海洋经济运行</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负责采集、整理、汇总、上报重点监测企业基本信息</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按照涉海企业统计调查制度，报送监测数据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、海洋经济运行统计调查</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定期核查、更新辖区涉海企业基本信息，按时报送监测数据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及时准确核查更新企业信息，报送监测数据准确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涉海重点企业信息核查、监测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采集整理涉海企重点业信息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汇总上报涉海企重点业信息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五、扶持农业生产</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提高农产品产量和质量，优化农业产业结构，提高经济效益，增加农民收入。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、扶持渔业发展</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推广先进、健康养殖技术，建设渔业标准化示范场、水产健康养殖示范场和现代渔业示范区。在我省渤海海域和水库、湖泊等内陆水域增殖放流主要经济海淡水品种苗种，以及建立水产种质资源保护区。开展渔业安全体系化体系建设，鼓励渔民主动加入渔业互保。</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提高水产品产量、现代化管理水平和健康养殖技术水平、保护水域环境</w:t>
            </w:r>
            <w:r>
              <w:rPr>
                <w:rFonts w:ascii="方正书宋_GBK" w:eastAsia="方正书宋_GBK"/>
              </w:rPr>
              <w:t>,</w:t>
            </w:r>
            <w:r>
              <w:rPr>
                <w:rFonts w:hint="eastAsia" w:ascii="方正书宋_GBK" w:eastAsia="方正书宋_GBK"/>
              </w:rPr>
              <w:t>保持水生生物多样性。提高渔业安全生产能力。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渔业互助保险目标完成率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水产种质资源保护区建立完成率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渔船动态监控率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健康养殖示范场健康养殖技术普及率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渔业资源增殖放流完成率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渔业养殖示范场（区）建设任务完成率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标准化示范区平均亩增产率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六、农业科技支撑和公共服务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提高农业机械化水平，建立健全农业科技服务和防灾减灾体系，推动农业生产向现代农业发展。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促进农业现代化，提高农业劳动生产率，增加农民收入。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、农业信息服务</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加强农业信息服务体系建设，提高农业信息服务水平。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农业信息发布及时率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全省农业信息网故障次数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农业信息社会发布任务完成率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、渔业技能培训</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按照国家部署，组织开展渔民职业新型职业农民教育培训。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加强渔业管理人员和渔民的技能培训，全面提升业从业者的自身素质。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参与培训人员满意度</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参加培训人员占从业人员比例</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年培训次数达标率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、农业科技创新推广</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建设现代农业产业技术体系创新团队，开展农业重大关键技术科技创新、技术集成和示范推广，为产业发展提供科技引领和支撑。</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建立健全农业科技创新推广服务体系，加强农技推广队伍建设，有效提高农业科技对产业发展的支撑作用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完成年度基层农技人员知识更新培训任务目标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个产业技术体系创新团队年度绩效考评情况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按照产业技术体系创新团队年度工作任务书，完成年度任务目标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基层农技推广人员知识更新培训满意度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、农业防灾减灾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加强灾情监测，组织灾后生产恢复。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救灾物资到位率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灾情报告准确率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七、指导农村经济发展</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协调指导农村经济健康发展，着力促进农民收入持续较快增长。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积极推动中央和省委、省政府各项强农惠农富农政策落实，协调指导农村经济健康发展，着力促进农民收入持续快速增长。使农民收入实现持续稳定增长，农村经济持续较快发展。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、指导县域经济发展</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完善支持区域经济发展政策体系，指导县域经济结构优化和发展方式转型，加快农村新型家庭手工业发展，促进农民收入持续较快增长。</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做好农村经济指标监测与评价，提出农村经济持续较快发展的意见和建议，为省领导决策提供支撑；推动县域经济实力发展壮大，促进农民收入持续稳定增长。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政策措施建议采用率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提出农村经济运行分析报告和专项分析报告数量（个）</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农村经济指标监测与评价工作完成率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八、渔政船检港监政务管理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开展渔业宣传，推动渔业政策落实。保障渔业信息网络和各项政党工作的开展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保障各项渔业工作的正常运行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调研提出规划和政策建议，工作部署、协调推动、普查统计、督促指导、对外合作、行政审批、业务监管及区委、区政府交办的其他事项等行政管理事项。</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顺利开展渔政执法，落实渔业安全生产工作，推动水产品质量安全建设，保障辖区渔业船舶检验，渔港管理规范，创建平安渔业。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260.00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加强机关事务性管理，开展机关自身能力建设。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顺利开展渔政执法，落实渔业安全生产工作，推动水产品质量安全建设，保障辖区渔业船舶检验，渔港管理规范，创建平安渔业。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[95%,100%)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[90%,95%)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九、海洋渔政岸线管理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统筹协调新区海洋渔政岸线政务综合管理工作，增强网上办事能力，确保各项工作顺利完成。</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做好海洋、渔政、岸线领域政策制定、改革推进、新闻宣传和信息管理等工作，统筹协调相关工作，对相关工作进行监督管理。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保障海洋渔政岸线各项业务工作畅通。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综合业务管理工作</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档案管理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信息管理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做好会议培训组织，内部信息化建设与维护，财务和资产管理，标准化建设，基础设施维修，大型设备购置，人事、党务以及老干部管理等工作。负责直属企事业单位管理工作。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保障机关正常工作有效运转。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会议培训</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财产和资产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综合事务工作</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十、湾长制实施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负责海岸沙滩湾长制办公室工作，组织推进湾长制实施工作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组织实施完成湾长制各项工作任务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、岸线管理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制作岸线航拍效果图、湾长制分包区域挂图，踏查海岸沙滩，湾长制办公室日常工作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保障湾长制各项工作顺利实施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会议培训</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财产和资产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综合事务工作</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十一、沙滩浴场管理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4056.00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沙滩卫生综合整治工作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治理管理沙滩浴场达到湾长制及暑期工作相关要求标准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、岸线管理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4056.00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进行辖区内岸线沙滩卫生整治行动</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保障岸线沙滩卫生干净、整洁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岸线沙滩目标完成率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岸线沙滩目标完成率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岸线沙滩整治达到标准要求</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ind w:firstLine="480" w:firstLineChars="150"/>
        <w:rPr>
          <w:rFonts w:ascii="Times New Roman" w:hAnsi="Times New Roman" w:eastAsia="方正仿宋_GBK" w:cs="Times New Roman"/>
          <w:color w:val="FF0000"/>
          <w:sz w:val="32"/>
          <w:szCs w:val="24"/>
        </w:rPr>
      </w:pPr>
      <w:r>
        <w:rPr>
          <w:rFonts w:hint="eastAsia" w:ascii="黑体" w:hAnsi="黑体" w:eastAsia="黑体" w:cs="Times New Roman"/>
          <w:sz w:val="32"/>
          <w:szCs w:val="32"/>
        </w:rPr>
        <w:t>六、政府采购预算情况</w:t>
      </w:r>
    </w:p>
    <w:p>
      <w:pPr>
        <w:spacing w:after="50" w:line="259" w:lineRule="auto"/>
        <w:ind w:left="10" w:hanging="10"/>
        <w:jc w:val="center"/>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9年，秦皇岛北戴河新区海洋和渔业局部门安排政府采购预算203.52万元，具体内容见下表。</w:t>
      </w:r>
    </w:p>
    <w:p>
      <w:pPr>
        <w:jc w:val="center"/>
        <w:outlineLvl w:val="0"/>
        <w:rPr>
          <w:rFonts w:ascii="方正小标宋_GBK" w:eastAsia="方正小标宋_GBK"/>
          <w:sz w:val="32"/>
        </w:rPr>
      </w:pPr>
      <w:bookmarkStart w:id="4" w:name="_Toc534013407"/>
      <w:r>
        <w:rPr>
          <w:rFonts w:hint="eastAsia" w:ascii="方正小标宋_GBK" w:eastAsia="方正小标宋_GBK"/>
          <w:sz w:val="32"/>
        </w:rPr>
        <w:t>部门政府采购预算</w:t>
      </w:r>
      <w:bookmarkEnd w:id="4"/>
    </w:p>
    <w:tbl>
      <w:tblPr>
        <w:tblStyle w:val="9"/>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326</w:t>
            </w:r>
            <w:r>
              <w:rPr>
                <w:rFonts w:hint="eastAsia" w:ascii="方正小标宋_GBK" w:eastAsia="方正小标宋_GBK"/>
                <w:sz w:val="24"/>
              </w:rPr>
              <w:t>秦皇岛北戴河新区海洋和渔业局</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7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6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6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4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93"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9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74" w:type="dxa"/>
            <w:vMerge w:val="continue"/>
            <w:shd w:val="clear" w:color="auto" w:fill="auto"/>
            <w:vAlign w:val="center"/>
          </w:tcPr>
          <w:p>
            <w:pPr>
              <w:spacing w:line="300" w:lineRule="exact"/>
              <w:jc w:val="left"/>
              <w:outlineLvl w:val="0"/>
            </w:pPr>
          </w:p>
        </w:tc>
        <w:tc>
          <w:tcPr>
            <w:tcW w:w="986" w:type="dxa"/>
            <w:vMerge w:val="continue"/>
            <w:shd w:val="clear" w:color="auto" w:fill="auto"/>
            <w:vAlign w:val="center"/>
          </w:tcPr>
          <w:p>
            <w:pPr>
              <w:spacing w:line="300" w:lineRule="exact"/>
              <w:jc w:val="left"/>
              <w:outlineLvl w:val="0"/>
            </w:pPr>
          </w:p>
        </w:tc>
        <w:tc>
          <w:tcPr>
            <w:tcW w:w="760" w:type="dxa"/>
            <w:vMerge w:val="continue"/>
            <w:shd w:val="clear" w:color="auto" w:fill="auto"/>
            <w:vAlign w:val="center"/>
          </w:tcPr>
          <w:p>
            <w:pPr>
              <w:spacing w:line="300" w:lineRule="exact"/>
              <w:jc w:val="left"/>
              <w:outlineLvl w:val="0"/>
            </w:pPr>
          </w:p>
        </w:tc>
        <w:tc>
          <w:tcPr>
            <w:tcW w:w="760" w:type="dxa"/>
            <w:vMerge w:val="continue"/>
            <w:shd w:val="clear" w:color="auto" w:fill="auto"/>
            <w:vAlign w:val="center"/>
          </w:tcPr>
          <w:p>
            <w:pPr>
              <w:spacing w:line="300" w:lineRule="exact"/>
              <w:jc w:val="left"/>
              <w:outlineLvl w:val="0"/>
            </w:pPr>
          </w:p>
        </w:tc>
        <w:tc>
          <w:tcPr>
            <w:tcW w:w="848" w:type="dxa"/>
            <w:vMerge w:val="continue"/>
            <w:shd w:val="clear" w:color="auto" w:fill="auto"/>
            <w:vAlign w:val="center"/>
          </w:tcPr>
          <w:p>
            <w:pPr>
              <w:spacing w:line="300" w:lineRule="exact"/>
              <w:jc w:val="left"/>
              <w:outlineLvl w:val="0"/>
            </w:pPr>
          </w:p>
        </w:tc>
        <w:tc>
          <w:tcPr>
            <w:tcW w:w="96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811"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pPr>
          </w:p>
        </w:tc>
        <w:tc>
          <w:tcPr>
            <w:tcW w:w="1099" w:type="dxa"/>
            <w:vMerge w:val="continue"/>
            <w:shd w:val="clear" w:color="auto" w:fill="auto"/>
            <w:vAlign w:val="center"/>
          </w:tcPr>
          <w:p>
            <w:pPr>
              <w:spacing w:line="300" w:lineRule="exact"/>
              <w:jc w:val="left"/>
              <w:outlineLvl w:val="0"/>
            </w:pPr>
          </w:p>
        </w:tc>
        <w:tc>
          <w:tcPr>
            <w:tcW w:w="974" w:type="dxa"/>
            <w:vMerge w:val="continue"/>
            <w:shd w:val="clear" w:color="auto" w:fill="auto"/>
            <w:vAlign w:val="center"/>
          </w:tcPr>
          <w:p>
            <w:pPr>
              <w:spacing w:line="300" w:lineRule="exact"/>
              <w:jc w:val="left"/>
              <w:outlineLvl w:val="0"/>
            </w:pPr>
          </w:p>
        </w:tc>
        <w:tc>
          <w:tcPr>
            <w:tcW w:w="986" w:type="dxa"/>
            <w:vMerge w:val="continue"/>
            <w:shd w:val="clear" w:color="auto" w:fill="auto"/>
            <w:vAlign w:val="center"/>
          </w:tcPr>
          <w:p>
            <w:pPr>
              <w:spacing w:line="300" w:lineRule="exact"/>
              <w:jc w:val="left"/>
              <w:outlineLvl w:val="0"/>
            </w:pPr>
          </w:p>
        </w:tc>
        <w:tc>
          <w:tcPr>
            <w:tcW w:w="760" w:type="dxa"/>
            <w:vMerge w:val="continue"/>
            <w:shd w:val="clear" w:color="auto" w:fill="auto"/>
            <w:vAlign w:val="center"/>
          </w:tcPr>
          <w:p>
            <w:pPr>
              <w:spacing w:line="300" w:lineRule="exact"/>
              <w:jc w:val="left"/>
              <w:outlineLvl w:val="0"/>
            </w:pPr>
          </w:p>
        </w:tc>
        <w:tc>
          <w:tcPr>
            <w:tcW w:w="760" w:type="dxa"/>
            <w:vMerge w:val="continue"/>
            <w:shd w:val="clear" w:color="auto" w:fill="auto"/>
            <w:vAlign w:val="center"/>
          </w:tcPr>
          <w:p>
            <w:pPr>
              <w:spacing w:line="300" w:lineRule="exact"/>
              <w:jc w:val="left"/>
              <w:outlineLvl w:val="0"/>
            </w:pPr>
          </w:p>
        </w:tc>
        <w:tc>
          <w:tcPr>
            <w:tcW w:w="848" w:type="dxa"/>
            <w:vMerge w:val="continue"/>
            <w:shd w:val="clear" w:color="auto" w:fill="auto"/>
            <w:vAlign w:val="center"/>
          </w:tcPr>
          <w:p>
            <w:pPr>
              <w:spacing w:line="300" w:lineRule="exact"/>
              <w:jc w:val="left"/>
              <w:outlineLvl w:val="0"/>
            </w:pPr>
          </w:p>
        </w:tc>
        <w:tc>
          <w:tcPr>
            <w:tcW w:w="961" w:type="dxa"/>
            <w:vMerge w:val="continue"/>
            <w:shd w:val="clear" w:color="auto" w:fill="auto"/>
            <w:vAlign w:val="center"/>
          </w:tcPr>
          <w:p>
            <w:pPr>
              <w:spacing w:line="300" w:lineRule="exact"/>
              <w:jc w:val="left"/>
              <w:outlineLvl w:val="0"/>
            </w:pPr>
          </w:p>
        </w:tc>
        <w:tc>
          <w:tcPr>
            <w:tcW w:w="96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6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6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6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21"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99" w:type="dxa"/>
            <w:shd w:val="clear" w:color="auto" w:fill="auto"/>
            <w:vAlign w:val="center"/>
          </w:tcPr>
          <w:p>
            <w:pPr>
              <w:spacing w:line="300" w:lineRule="exact"/>
              <w:jc w:val="right"/>
              <w:rPr>
                <w:rFonts w:ascii="方正书宋_GBK" w:eastAsia="方正书宋_GBK"/>
                <w:b/>
              </w:rPr>
            </w:pPr>
          </w:p>
        </w:tc>
        <w:tc>
          <w:tcPr>
            <w:tcW w:w="974" w:type="dxa"/>
            <w:shd w:val="clear" w:color="auto" w:fill="auto"/>
            <w:vAlign w:val="center"/>
          </w:tcPr>
          <w:p>
            <w:pPr>
              <w:spacing w:line="300" w:lineRule="exact"/>
              <w:jc w:val="left"/>
              <w:rPr>
                <w:rFonts w:ascii="方正书宋_GBK" w:eastAsia="方正书宋_GBK"/>
                <w:b/>
              </w:rPr>
            </w:pPr>
          </w:p>
        </w:tc>
        <w:tc>
          <w:tcPr>
            <w:tcW w:w="986" w:type="dxa"/>
            <w:shd w:val="clear" w:color="auto" w:fill="auto"/>
            <w:vAlign w:val="center"/>
          </w:tcPr>
          <w:p>
            <w:pPr>
              <w:spacing w:line="300" w:lineRule="exact"/>
              <w:jc w:val="left"/>
              <w:rPr>
                <w:rFonts w:ascii="方正书宋_GBK" w:eastAsia="方正书宋_GBK"/>
                <w:b/>
              </w:rPr>
            </w:pPr>
          </w:p>
        </w:tc>
        <w:tc>
          <w:tcPr>
            <w:tcW w:w="760" w:type="dxa"/>
            <w:shd w:val="clear" w:color="auto" w:fill="auto"/>
            <w:vAlign w:val="center"/>
          </w:tcPr>
          <w:p>
            <w:pPr>
              <w:spacing w:line="300" w:lineRule="exact"/>
              <w:jc w:val="left"/>
              <w:rPr>
                <w:rFonts w:ascii="方正书宋_GBK" w:eastAsia="方正书宋_GBK"/>
                <w:b/>
              </w:rPr>
            </w:pPr>
          </w:p>
        </w:tc>
        <w:tc>
          <w:tcPr>
            <w:tcW w:w="760" w:type="dxa"/>
            <w:shd w:val="clear" w:color="auto" w:fill="auto"/>
            <w:vAlign w:val="center"/>
          </w:tcPr>
          <w:p>
            <w:pPr>
              <w:spacing w:line="300" w:lineRule="exact"/>
              <w:jc w:val="right"/>
              <w:rPr>
                <w:rFonts w:ascii="方正书宋_GBK" w:eastAsia="方正书宋_GBK"/>
                <w:b/>
              </w:rPr>
            </w:pPr>
          </w:p>
        </w:tc>
        <w:tc>
          <w:tcPr>
            <w:tcW w:w="848" w:type="dxa"/>
            <w:shd w:val="clear" w:color="auto" w:fill="auto"/>
            <w:vAlign w:val="center"/>
          </w:tcPr>
          <w:p>
            <w:pPr>
              <w:spacing w:line="300" w:lineRule="exact"/>
              <w:jc w:val="right"/>
              <w:rPr>
                <w:rFonts w:ascii="方正书宋_GBK" w:eastAsia="方正书宋_GBK"/>
                <w:b/>
              </w:rPr>
            </w:pPr>
          </w:p>
        </w:tc>
        <w:tc>
          <w:tcPr>
            <w:tcW w:w="961" w:type="dxa"/>
            <w:shd w:val="clear" w:color="auto" w:fill="auto"/>
            <w:vAlign w:val="center"/>
          </w:tcPr>
          <w:p>
            <w:pPr>
              <w:spacing w:line="300" w:lineRule="exact"/>
              <w:jc w:val="right"/>
              <w:rPr>
                <w:rFonts w:ascii="方正书宋_GBK" w:eastAsia="方正书宋_GBK"/>
                <w:b/>
              </w:rPr>
            </w:pPr>
            <w:r>
              <w:rPr>
                <w:rFonts w:ascii="方正书宋_GBK" w:eastAsia="方正书宋_GBK"/>
                <w:b/>
              </w:rPr>
              <w:t>203.52</w:t>
            </w:r>
          </w:p>
        </w:tc>
        <w:tc>
          <w:tcPr>
            <w:tcW w:w="961" w:type="dxa"/>
            <w:shd w:val="clear" w:color="auto" w:fill="auto"/>
            <w:vAlign w:val="center"/>
          </w:tcPr>
          <w:p>
            <w:pPr>
              <w:spacing w:line="300" w:lineRule="exact"/>
              <w:jc w:val="right"/>
              <w:rPr>
                <w:rFonts w:ascii="方正书宋_GBK" w:eastAsia="方正书宋_GBK"/>
                <w:b/>
              </w:rPr>
            </w:pPr>
            <w:r>
              <w:rPr>
                <w:rFonts w:ascii="方正书宋_GBK" w:eastAsia="方正书宋_GBK"/>
                <w:b/>
              </w:rPr>
              <w:t>203.52</w:t>
            </w:r>
          </w:p>
        </w:tc>
        <w:tc>
          <w:tcPr>
            <w:tcW w:w="961" w:type="dxa"/>
            <w:shd w:val="clear" w:color="auto" w:fill="auto"/>
            <w:vAlign w:val="center"/>
          </w:tcPr>
          <w:p>
            <w:pPr>
              <w:spacing w:line="300" w:lineRule="exact"/>
              <w:jc w:val="right"/>
              <w:rPr>
                <w:rFonts w:ascii="方正书宋_GBK" w:eastAsia="方正书宋_GBK"/>
                <w:b/>
              </w:rPr>
            </w:pPr>
            <w:r>
              <w:rPr>
                <w:rFonts w:ascii="方正书宋_GBK" w:eastAsia="方正书宋_GBK"/>
                <w:b/>
              </w:rPr>
              <w:t>203.52</w:t>
            </w:r>
          </w:p>
        </w:tc>
        <w:tc>
          <w:tcPr>
            <w:tcW w:w="961"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2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秦皇岛北戴河新区海洋和渔业局小计</w:t>
            </w:r>
          </w:p>
        </w:tc>
        <w:tc>
          <w:tcPr>
            <w:tcW w:w="1099" w:type="dxa"/>
            <w:shd w:val="clear" w:color="auto" w:fill="auto"/>
            <w:vAlign w:val="center"/>
          </w:tcPr>
          <w:p>
            <w:pPr>
              <w:spacing w:line="300" w:lineRule="exact"/>
              <w:jc w:val="right"/>
              <w:rPr>
                <w:rFonts w:ascii="方正书宋_GBK" w:eastAsia="方正书宋_GBK"/>
                <w:b/>
              </w:rPr>
            </w:pPr>
          </w:p>
        </w:tc>
        <w:tc>
          <w:tcPr>
            <w:tcW w:w="974" w:type="dxa"/>
            <w:shd w:val="clear" w:color="auto" w:fill="auto"/>
            <w:vAlign w:val="center"/>
          </w:tcPr>
          <w:p>
            <w:pPr>
              <w:spacing w:line="300" w:lineRule="exact"/>
              <w:jc w:val="left"/>
              <w:rPr>
                <w:rFonts w:ascii="方正书宋_GBK" w:eastAsia="方正书宋_GBK"/>
                <w:b/>
              </w:rPr>
            </w:pPr>
          </w:p>
        </w:tc>
        <w:tc>
          <w:tcPr>
            <w:tcW w:w="986" w:type="dxa"/>
            <w:shd w:val="clear" w:color="auto" w:fill="auto"/>
            <w:vAlign w:val="center"/>
          </w:tcPr>
          <w:p>
            <w:pPr>
              <w:spacing w:line="300" w:lineRule="exact"/>
              <w:jc w:val="left"/>
              <w:rPr>
                <w:rFonts w:ascii="方正书宋_GBK" w:eastAsia="方正书宋_GBK"/>
                <w:b/>
              </w:rPr>
            </w:pPr>
          </w:p>
        </w:tc>
        <w:tc>
          <w:tcPr>
            <w:tcW w:w="760" w:type="dxa"/>
            <w:shd w:val="clear" w:color="auto" w:fill="auto"/>
            <w:vAlign w:val="center"/>
          </w:tcPr>
          <w:p>
            <w:pPr>
              <w:spacing w:line="300" w:lineRule="exact"/>
              <w:jc w:val="left"/>
              <w:rPr>
                <w:rFonts w:ascii="方正书宋_GBK" w:eastAsia="方正书宋_GBK"/>
                <w:b/>
              </w:rPr>
            </w:pPr>
          </w:p>
        </w:tc>
        <w:tc>
          <w:tcPr>
            <w:tcW w:w="760" w:type="dxa"/>
            <w:shd w:val="clear" w:color="auto" w:fill="auto"/>
            <w:vAlign w:val="center"/>
          </w:tcPr>
          <w:p>
            <w:pPr>
              <w:spacing w:line="300" w:lineRule="exact"/>
              <w:jc w:val="right"/>
              <w:rPr>
                <w:rFonts w:ascii="方正书宋_GBK" w:eastAsia="方正书宋_GBK"/>
                <w:b/>
              </w:rPr>
            </w:pPr>
          </w:p>
        </w:tc>
        <w:tc>
          <w:tcPr>
            <w:tcW w:w="848" w:type="dxa"/>
            <w:shd w:val="clear" w:color="auto" w:fill="auto"/>
            <w:vAlign w:val="center"/>
          </w:tcPr>
          <w:p>
            <w:pPr>
              <w:spacing w:line="300" w:lineRule="exact"/>
              <w:jc w:val="right"/>
              <w:rPr>
                <w:rFonts w:ascii="方正书宋_GBK" w:eastAsia="方正书宋_GBK"/>
                <w:b/>
              </w:rPr>
            </w:pPr>
          </w:p>
        </w:tc>
        <w:tc>
          <w:tcPr>
            <w:tcW w:w="961" w:type="dxa"/>
            <w:shd w:val="clear" w:color="auto" w:fill="auto"/>
            <w:vAlign w:val="center"/>
          </w:tcPr>
          <w:p>
            <w:pPr>
              <w:spacing w:line="300" w:lineRule="exact"/>
              <w:jc w:val="right"/>
              <w:rPr>
                <w:rFonts w:ascii="方正书宋_GBK" w:eastAsia="方正书宋_GBK"/>
                <w:b/>
              </w:rPr>
            </w:pPr>
            <w:r>
              <w:rPr>
                <w:rFonts w:ascii="方正书宋_GBK" w:eastAsia="方正书宋_GBK"/>
                <w:b/>
              </w:rPr>
              <w:t>203.52</w:t>
            </w:r>
          </w:p>
        </w:tc>
        <w:tc>
          <w:tcPr>
            <w:tcW w:w="961" w:type="dxa"/>
            <w:shd w:val="clear" w:color="auto" w:fill="auto"/>
            <w:vAlign w:val="center"/>
          </w:tcPr>
          <w:p>
            <w:pPr>
              <w:spacing w:line="300" w:lineRule="exact"/>
              <w:jc w:val="right"/>
              <w:rPr>
                <w:rFonts w:ascii="方正书宋_GBK" w:eastAsia="方正书宋_GBK"/>
                <w:b/>
              </w:rPr>
            </w:pPr>
            <w:r>
              <w:rPr>
                <w:rFonts w:ascii="方正书宋_GBK" w:eastAsia="方正书宋_GBK"/>
                <w:b/>
              </w:rPr>
              <w:t>203.52</w:t>
            </w:r>
          </w:p>
        </w:tc>
        <w:tc>
          <w:tcPr>
            <w:tcW w:w="961" w:type="dxa"/>
            <w:shd w:val="clear" w:color="auto" w:fill="auto"/>
            <w:vAlign w:val="center"/>
          </w:tcPr>
          <w:p>
            <w:pPr>
              <w:spacing w:line="300" w:lineRule="exact"/>
              <w:jc w:val="right"/>
              <w:rPr>
                <w:rFonts w:ascii="方正书宋_GBK" w:eastAsia="方正书宋_GBK"/>
                <w:b/>
              </w:rPr>
            </w:pPr>
            <w:r>
              <w:rPr>
                <w:rFonts w:ascii="方正书宋_GBK" w:eastAsia="方正书宋_GBK"/>
                <w:b/>
              </w:rPr>
              <w:t>203.52</w:t>
            </w:r>
          </w:p>
        </w:tc>
        <w:tc>
          <w:tcPr>
            <w:tcW w:w="961"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64" w:type="dxa"/>
            <w:shd w:val="clear" w:color="auto" w:fill="auto"/>
            <w:vAlign w:val="center"/>
          </w:tcPr>
          <w:p>
            <w:pPr>
              <w:spacing w:line="300" w:lineRule="exact"/>
              <w:jc w:val="right"/>
              <w:rPr>
                <w:rFonts w:ascii="方正书宋_GBK" w:eastAsia="方正书宋_GBK"/>
                <w:b/>
              </w:rPr>
            </w:pPr>
          </w:p>
        </w:tc>
        <w:tc>
          <w:tcPr>
            <w:tcW w:w="921"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43.65</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11.22</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11.22</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11.22</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11.22</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43.65</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0.55</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43.65</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16.50</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1.65</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养殖用海前期费用</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72.00</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49.00</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49.00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49.00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49.00</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渔政船检港监管理工作经费</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取缔</w:t>
            </w:r>
            <w:r>
              <w:rPr>
                <w:rFonts w:hint="cs" w:ascii="方正书宋_GBK" w:eastAsia="方正书宋_GBK"/>
              </w:rPr>
              <w:t>“</w:t>
            </w:r>
            <w:r>
              <w:rPr>
                <w:rFonts w:hint="eastAsia" w:ascii="方正书宋_GBK" w:eastAsia="方正书宋_GBK"/>
              </w:rPr>
              <w:t>三无</w:t>
            </w:r>
            <w:r>
              <w:rPr>
                <w:rFonts w:hint="cs" w:ascii="方正书宋_GBK" w:eastAsia="方正书宋_GBK"/>
              </w:rPr>
              <w:t>”</w:t>
            </w:r>
            <w:r>
              <w:rPr>
                <w:rFonts w:hint="eastAsia" w:ascii="方正书宋_GBK" w:eastAsia="方正书宋_GBK"/>
              </w:rPr>
              <w:t>渔船、船舶工作经费</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渔政执法船艇运行维护费</w:t>
            </w:r>
          </w:p>
        </w:tc>
        <w:tc>
          <w:tcPr>
            <w:tcW w:w="1099" w:type="dxa"/>
            <w:shd w:val="clear" w:color="auto" w:fill="auto"/>
            <w:vAlign w:val="center"/>
          </w:tcPr>
          <w:p>
            <w:pPr>
              <w:spacing w:line="300" w:lineRule="exact"/>
              <w:jc w:val="right"/>
              <w:rPr>
                <w:rFonts w:ascii="方正书宋_GBK" w:eastAsia="方正书宋_GBK"/>
              </w:rPr>
            </w:pPr>
            <w:r>
              <w:rPr>
                <w:rFonts w:ascii="方正书宋_GBK" w:eastAsia="方正书宋_GBK"/>
              </w:rPr>
              <w:t>120.00</w:t>
            </w:r>
          </w:p>
        </w:tc>
        <w:tc>
          <w:tcPr>
            <w:tcW w:w="97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货物</w:t>
            </w:r>
          </w:p>
        </w:tc>
        <w:tc>
          <w:tcPr>
            <w:tcW w:w="986" w:type="dxa"/>
            <w:shd w:val="clear" w:color="auto" w:fill="auto"/>
            <w:vAlign w:val="center"/>
          </w:tcPr>
          <w:p>
            <w:pPr>
              <w:spacing w:line="300" w:lineRule="exact"/>
              <w:jc w:val="left"/>
              <w:rPr>
                <w:rFonts w:ascii="方正书宋_GBK" w:eastAsia="方正书宋_GBK"/>
              </w:rPr>
            </w:pPr>
            <w:r>
              <w:rPr>
                <w:rFonts w:ascii="方正书宋_GBK" w:eastAsia="方正书宋_GBK"/>
              </w:rPr>
              <w:t>A</w:t>
            </w:r>
          </w:p>
        </w:tc>
        <w:tc>
          <w:tcPr>
            <w:tcW w:w="760" w:type="dxa"/>
            <w:shd w:val="clear" w:color="auto" w:fill="auto"/>
            <w:vAlign w:val="center"/>
          </w:tcPr>
          <w:p>
            <w:pPr>
              <w:spacing w:line="300" w:lineRule="exact"/>
              <w:jc w:val="left"/>
              <w:rPr>
                <w:rFonts w:ascii="方正书宋_GBK" w:eastAsia="方正书宋_GBK"/>
              </w:rPr>
            </w:pPr>
          </w:p>
        </w:tc>
        <w:tc>
          <w:tcPr>
            <w:tcW w:w="760"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848"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61" w:type="dxa"/>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961"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64" w:type="dxa"/>
            <w:shd w:val="clear" w:color="auto" w:fill="auto"/>
            <w:vAlign w:val="center"/>
          </w:tcPr>
          <w:p>
            <w:pPr>
              <w:spacing w:line="300" w:lineRule="exact"/>
              <w:jc w:val="right"/>
              <w:rPr>
                <w:rFonts w:ascii="方正书宋_GBK" w:eastAsia="方正书宋_GBK"/>
              </w:rPr>
            </w:pPr>
          </w:p>
        </w:tc>
        <w:tc>
          <w:tcPr>
            <w:tcW w:w="921" w:type="dxa"/>
            <w:shd w:val="clear" w:color="auto" w:fill="auto"/>
            <w:vAlign w:val="center"/>
          </w:tcPr>
          <w:p>
            <w:pPr>
              <w:spacing w:line="300" w:lineRule="exact"/>
              <w:jc w:val="right"/>
              <w:rPr>
                <w:rFonts w:ascii="方正书宋_GBK" w:eastAsia="方正书宋_GBK"/>
              </w:rPr>
            </w:pPr>
          </w:p>
        </w:tc>
      </w:tr>
    </w:tbl>
    <w:p>
      <w:pPr>
        <w:sectPr>
          <w:pgSz w:w="16839" w:h="11907" w:orient="landscape"/>
          <w:pgMar w:top="1361" w:right="1020" w:bottom="1361" w:left="1020" w:header="851" w:footer="992" w:gutter="0"/>
          <w:cols w:space="425" w:num="1"/>
          <w:docGrid w:type="lines" w:linePitch="312" w:charSpace="0"/>
        </w:sectPr>
      </w:pPr>
    </w:p>
    <w:p>
      <w:pPr>
        <w:ind w:firstLine="64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七、国有资产信息</w:t>
      </w:r>
    </w:p>
    <w:p>
      <w:pPr>
        <w:ind w:left="105" w:leftChars="50" w:firstLine="480" w:firstLineChars="150"/>
        <w:rPr>
          <w:rFonts w:ascii="Times New Roman" w:hAnsi="Times New Roman" w:eastAsia="方正仿宋简体" w:cs="Times New Roman"/>
          <w:color w:val="000000" w:themeColor="text1"/>
          <w:sz w:val="32"/>
          <w:szCs w:val="32"/>
        </w:rPr>
      </w:pPr>
      <w:r>
        <w:rPr>
          <w:rFonts w:hint="eastAsia" w:ascii="Times New Roman" w:hAnsi="Times New Roman" w:eastAsia="方正仿宋简体" w:cs="Times New Roman"/>
          <w:color w:val="000000" w:themeColor="text1"/>
          <w:sz w:val="32"/>
          <w:szCs w:val="32"/>
          <w:lang w:val="en-US" w:eastAsia="zh-CN"/>
        </w:rPr>
        <w:t>我单位为2018年新建单位，</w:t>
      </w:r>
      <w:r>
        <w:rPr>
          <w:rFonts w:hint="eastAsia" w:ascii="Times New Roman" w:hAnsi="Times New Roman" w:eastAsia="方正仿宋简体" w:cs="Times New Roman"/>
          <w:color w:val="000000" w:themeColor="text1"/>
          <w:sz w:val="32"/>
          <w:szCs w:val="32"/>
        </w:rPr>
        <w:t>本年度固定资产</w:t>
      </w:r>
      <w:r>
        <w:rPr>
          <w:rFonts w:hint="eastAsia" w:ascii="Times New Roman" w:hAnsi="Times New Roman" w:eastAsia="方正仿宋简体" w:cs="Times New Roman"/>
          <w:color w:val="000000" w:themeColor="text1"/>
          <w:sz w:val="32"/>
          <w:szCs w:val="32"/>
          <w:lang w:val="en-US" w:eastAsia="zh-CN"/>
        </w:rPr>
        <w:t>数据为零。</w:t>
      </w:r>
    </w:p>
    <w:p>
      <w:pPr>
        <w:spacing w:line="256" w:lineRule="auto"/>
        <w:ind w:firstLine="480" w:firstLineChars="15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编制部门：秦皇岛北戴河新区财政局                 </w:t>
      </w:r>
      <w:r>
        <w:rPr>
          <w:rFonts w:hint="eastAsia" w:ascii="仿宋" w:hAnsi="仿宋" w:eastAsia="仿宋" w:cs="宋体"/>
          <w:color w:val="000000" w:themeColor="text1"/>
          <w:sz w:val="32"/>
          <w:szCs w:val="32"/>
        </w:rPr>
        <w:tab/>
      </w:r>
      <w:r>
        <w:rPr>
          <w:rFonts w:hint="eastAsia" w:ascii="仿宋" w:hAnsi="仿宋" w:eastAsia="仿宋" w:cs="宋体"/>
          <w:color w:val="000000" w:themeColor="text1"/>
          <w:sz w:val="32"/>
          <w:szCs w:val="32"/>
        </w:rPr>
        <w:t>截止时间：2018年12月31日</w:t>
      </w:r>
    </w:p>
    <w:tbl>
      <w:tblPr>
        <w:tblStyle w:val="9"/>
        <w:tblW w:w="12935" w:type="dxa"/>
        <w:tblInd w:w="534" w:type="dxa"/>
        <w:tblLayout w:type="fixed"/>
        <w:tblCellMar>
          <w:top w:w="0" w:type="dxa"/>
          <w:left w:w="108" w:type="dxa"/>
          <w:bottom w:w="0" w:type="dxa"/>
          <w:right w:w="115" w:type="dxa"/>
        </w:tblCellMar>
      </w:tblPr>
      <w:tblGrid>
        <w:gridCol w:w="4536"/>
        <w:gridCol w:w="3296"/>
        <w:gridCol w:w="5103"/>
      </w:tblGrid>
      <w:tr>
        <w:tblPrEx>
          <w:tblCellMar>
            <w:top w:w="0" w:type="dxa"/>
            <w:left w:w="108" w:type="dxa"/>
            <w:bottom w:w="0" w:type="dxa"/>
            <w:right w:w="115" w:type="dxa"/>
          </w:tblCellMar>
        </w:tblPrEx>
        <w:trPr>
          <w:trHeight w:val="656"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7"/>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项目</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4"/>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数量</w:t>
            </w:r>
          </w:p>
        </w:tc>
        <w:tc>
          <w:tcPr>
            <w:tcW w:w="5103" w:type="dxa"/>
            <w:tcBorders>
              <w:top w:val="single" w:color="000000" w:sz="4" w:space="0"/>
              <w:left w:val="nil"/>
              <w:bottom w:val="single" w:color="000000" w:sz="4" w:space="0"/>
              <w:right w:val="single" w:color="000000" w:sz="4" w:space="0"/>
            </w:tcBorders>
            <w:vAlign w:val="center"/>
          </w:tcPr>
          <w:p>
            <w:pPr>
              <w:spacing w:line="256" w:lineRule="auto"/>
              <w:ind w:left="6"/>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价值（金额单位：万元）</w:t>
            </w:r>
          </w:p>
        </w:tc>
      </w:tr>
      <w:tr>
        <w:tblPrEx>
          <w:tblCellMar>
            <w:top w:w="0" w:type="dxa"/>
            <w:left w:w="108" w:type="dxa"/>
            <w:bottom w:w="0" w:type="dxa"/>
            <w:right w:w="115" w:type="dxa"/>
          </w:tblCellMar>
        </w:tblPrEx>
        <w:trPr>
          <w:trHeight w:val="655"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ind w:left="12"/>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资产总额</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9"/>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w:t>
            </w:r>
          </w:p>
        </w:tc>
        <w:tc>
          <w:tcPr>
            <w:tcW w:w="5103" w:type="dxa"/>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sz w:val="32"/>
                <w:szCs w:val="32"/>
                <w:lang w:val="en-US" w:eastAsia="zh-CN"/>
              </w:rPr>
            </w:pPr>
            <w:r>
              <w:rPr>
                <w:rFonts w:hint="eastAsia"/>
                <w:sz w:val="32"/>
                <w:szCs w:val="32"/>
                <w:lang w:val="en-US" w:eastAsia="zh-CN"/>
              </w:rPr>
              <w:t>0</w:t>
            </w:r>
          </w:p>
        </w:tc>
      </w:tr>
      <w:tr>
        <w:tblPrEx>
          <w:tblCellMar>
            <w:top w:w="0" w:type="dxa"/>
            <w:left w:w="108" w:type="dxa"/>
            <w:bottom w:w="0" w:type="dxa"/>
            <w:right w:w="115" w:type="dxa"/>
          </w:tblCellMar>
        </w:tblPrEx>
        <w:trPr>
          <w:trHeight w:val="655"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1、房屋</w:t>
            </w:r>
          </w:p>
        </w:tc>
        <w:tc>
          <w:tcPr>
            <w:tcW w:w="3296" w:type="dxa"/>
            <w:tcBorders>
              <w:top w:val="single" w:color="000000" w:sz="4" w:space="0"/>
              <w:left w:val="nil"/>
              <w:bottom w:val="single" w:color="000000" w:sz="4" w:space="0"/>
              <w:right w:val="single" w:color="000000" w:sz="4" w:space="0"/>
            </w:tcBorders>
            <w:vAlign w:val="center"/>
          </w:tcPr>
          <w:p>
            <w:pPr>
              <w:spacing w:line="256" w:lineRule="auto"/>
              <w:ind w:left="9"/>
              <w:jc w:val="center"/>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w:t>
            </w:r>
          </w:p>
        </w:tc>
        <w:tc>
          <w:tcPr>
            <w:tcW w:w="5103" w:type="dxa"/>
            <w:tcBorders>
              <w:top w:val="single" w:color="000000" w:sz="4" w:space="0"/>
              <w:left w:val="nil"/>
              <w:bottom w:val="single" w:color="000000" w:sz="4" w:space="0"/>
              <w:right w:val="single" w:color="000000" w:sz="4" w:space="0"/>
            </w:tcBorders>
            <w:vAlign w:val="center"/>
          </w:tcPr>
          <w:p>
            <w:pPr>
              <w:jc w:val="center"/>
              <w:rPr>
                <w:rFonts w:hint="default"/>
                <w:sz w:val="32"/>
                <w:szCs w:val="32"/>
                <w:lang w:val="en-US" w:eastAsia="zh-CN"/>
              </w:rPr>
            </w:pPr>
            <w:r>
              <w:rPr>
                <w:rFonts w:hint="eastAsia"/>
                <w:sz w:val="32"/>
                <w:szCs w:val="32"/>
                <w:lang w:val="en-US" w:eastAsia="zh-CN"/>
              </w:rPr>
              <w:t>0</w:t>
            </w:r>
          </w:p>
        </w:tc>
      </w:tr>
      <w:tr>
        <w:tblPrEx>
          <w:tblCellMar>
            <w:top w:w="0" w:type="dxa"/>
            <w:left w:w="108" w:type="dxa"/>
            <w:bottom w:w="0" w:type="dxa"/>
            <w:right w:w="115" w:type="dxa"/>
          </w:tblCellMar>
        </w:tblPrEx>
        <w:trPr>
          <w:trHeight w:val="655"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2、车辆（台、辆）</w:t>
            </w:r>
          </w:p>
        </w:tc>
        <w:tc>
          <w:tcPr>
            <w:tcW w:w="3296" w:type="dxa"/>
            <w:tcBorders>
              <w:top w:val="single" w:color="000000" w:sz="4" w:space="0"/>
              <w:left w:val="nil"/>
              <w:bottom w:val="single" w:color="000000" w:sz="4" w:space="0"/>
              <w:right w:val="single" w:color="000000" w:sz="4" w:space="0"/>
            </w:tcBorders>
            <w:vAlign w:val="center"/>
          </w:tcPr>
          <w:p>
            <w:pPr>
              <w:jc w:val="center"/>
              <w:rPr>
                <w:rFonts w:hint="eastAsia"/>
                <w:sz w:val="32"/>
                <w:szCs w:val="32"/>
                <w:lang w:val="en-US" w:eastAsia="zh-CN"/>
              </w:rPr>
            </w:pPr>
            <w:r>
              <w:rPr>
                <w:rFonts w:hint="eastAsia"/>
                <w:sz w:val="32"/>
                <w:szCs w:val="32"/>
                <w:lang w:val="en-US" w:eastAsia="zh-CN"/>
              </w:rPr>
              <w:t>0</w:t>
            </w:r>
          </w:p>
        </w:tc>
        <w:tc>
          <w:tcPr>
            <w:tcW w:w="5103" w:type="dxa"/>
            <w:tcBorders>
              <w:top w:val="single" w:color="000000" w:sz="4" w:space="0"/>
              <w:left w:val="nil"/>
              <w:bottom w:val="single" w:color="000000" w:sz="4" w:space="0"/>
              <w:right w:val="single" w:color="000000" w:sz="4" w:space="0"/>
            </w:tcBorders>
            <w:vAlign w:val="center"/>
          </w:tcPr>
          <w:p>
            <w:pPr>
              <w:jc w:val="center"/>
              <w:rPr>
                <w:rFonts w:hint="default"/>
                <w:sz w:val="32"/>
                <w:szCs w:val="32"/>
                <w:lang w:val="en-US" w:eastAsia="zh-CN"/>
              </w:rPr>
            </w:pPr>
            <w:r>
              <w:rPr>
                <w:rFonts w:hint="eastAsia"/>
                <w:sz w:val="32"/>
                <w:szCs w:val="32"/>
                <w:lang w:val="en-US" w:eastAsia="zh-CN"/>
              </w:rPr>
              <w:t>0</w:t>
            </w:r>
          </w:p>
        </w:tc>
      </w:tr>
      <w:tr>
        <w:tblPrEx>
          <w:tblCellMar>
            <w:top w:w="0" w:type="dxa"/>
            <w:left w:w="108" w:type="dxa"/>
            <w:bottom w:w="0" w:type="dxa"/>
            <w:right w:w="115" w:type="dxa"/>
          </w:tblCellMar>
        </w:tblPrEx>
        <w:trPr>
          <w:trHeight w:val="641" w:hRule="atLeast"/>
        </w:trPr>
        <w:tc>
          <w:tcPr>
            <w:tcW w:w="4536" w:type="dxa"/>
            <w:tcBorders>
              <w:top w:val="single" w:color="000000" w:sz="4" w:space="0"/>
              <w:left w:val="single" w:color="000000" w:sz="4" w:space="0"/>
              <w:bottom w:val="single" w:color="000000" w:sz="4" w:space="0"/>
              <w:right w:val="single" w:color="000000" w:sz="4" w:space="0"/>
            </w:tcBorders>
            <w:vAlign w:val="center"/>
          </w:tcPr>
          <w:p>
            <w:pPr>
              <w:spacing w:line="256" w:lineRule="auto"/>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3、其他固定资产</w:t>
            </w:r>
          </w:p>
        </w:tc>
        <w:tc>
          <w:tcPr>
            <w:tcW w:w="3296" w:type="dxa"/>
            <w:tcBorders>
              <w:top w:val="single" w:color="000000" w:sz="4" w:space="0"/>
              <w:left w:val="nil"/>
              <w:bottom w:val="single" w:color="000000" w:sz="4" w:space="0"/>
              <w:right w:val="single" w:color="000000" w:sz="4" w:space="0"/>
            </w:tcBorders>
            <w:vAlign w:val="center"/>
          </w:tcPr>
          <w:p>
            <w:pPr>
              <w:jc w:val="center"/>
              <w:rPr>
                <w:rFonts w:hint="eastAsia" w:eastAsia="宋体"/>
                <w:sz w:val="32"/>
                <w:szCs w:val="32"/>
                <w:lang w:val="en-US" w:eastAsia="zh-CN"/>
              </w:rPr>
            </w:pPr>
            <w:r>
              <w:rPr>
                <w:rFonts w:hint="eastAsia"/>
                <w:sz w:val="32"/>
                <w:szCs w:val="32"/>
                <w:lang w:val="en-US" w:eastAsia="zh-CN"/>
              </w:rPr>
              <w:t>0</w:t>
            </w:r>
          </w:p>
        </w:tc>
        <w:tc>
          <w:tcPr>
            <w:tcW w:w="5103" w:type="dxa"/>
            <w:tcBorders>
              <w:top w:val="single" w:color="000000" w:sz="4" w:space="0"/>
              <w:left w:val="nil"/>
              <w:bottom w:val="single" w:color="000000" w:sz="4" w:space="0"/>
              <w:right w:val="single" w:color="000000" w:sz="4" w:space="0"/>
            </w:tcBorders>
            <w:vAlign w:val="center"/>
          </w:tcPr>
          <w:p>
            <w:pPr>
              <w:jc w:val="center"/>
              <w:rPr>
                <w:rFonts w:hint="default"/>
                <w:sz w:val="32"/>
                <w:szCs w:val="32"/>
                <w:lang w:val="en-US" w:eastAsia="zh-CN"/>
              </w:rPr>
            </w:pPr>
            <w:r>
              <w:rPr>
                <w:rFonts w:hint="eastAsia"/>
                <w:sz w:val="32"/>
                <w:szCs w:val="32"/>
                <w:lang w:val="en-US" w:eastAsia="zh-CN"/>
              </w:rPr>
              <w:t>0</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ascii="方正仿宋简体" w:hAnsi="Times New Roman" w:eastAsia="方正仿宋简体" w:cs="Times New Roman"/>
          <w:sz w:val="32"/>
          <w:szCs w:val="24"/>
        </w:rPr>
      </w:pPr>
      <w:r>
        <w:rPr>
          <w:rFonts w:hint="eastAsia" w:ascii="方正仿宋简体"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960" w:firstLineChars="3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960" w:firstLineChars="300"/>
        <w:rPr>
          <w:rFonts w:ascii="仿宋" w:hAnsi="仿宋" w:eastAsia="仿宋"/>
          <w:sz w:val="32"/>
          <w:szCs w:val="32"/>
        </w:rPr>
      </w:pPr>
      <w:r>
        <w:rPr>
          <w:rFonts w:hint="eastAsia" w:ascii="方正仿宋简体" w:hAnsi="Times New Roman" w:eastAsia="方正仿宋简体" w:cs="Times New Roman"/>
          <w:sz w:val="32"/>
          <w:szCs w:val="24"/>
        </w:rPr>
        <w:t>无</w:t>
      </w:r>
      <w:r>
        <w:rPr>
          <w:rFonts w:hint="eastAsia" w:ascii="仿宋" w:hAnsi="仿宋" w:eastAsia="仿宋"/>
          <w:sz w:val="32"/>
          <w:szCs w:val="32"/>
        </w:rPr>
        <w:t>其他事项说明</w:t>
      </w:r>
      <w:r>
        <w:rPr>
          <w:rFonts w:hint="eastAsia" w:ascii="方正仿宋简体" w:hAnsi="Times New Roman" w:eastAsia="方正仿宋简体" w:cs="Times New Roman"/>
          <w:sz w:val="32"/>
          <w:szCs w:val="24"/>
        </w:rPr>
        <w:t>。</w:t>
      </w:r>
    </w:p>
    <w:sectPr>
      <w:pgSz w:w="16838" w:h="11906" w:orient="landscape"/>
      <w:pgMar w:top="1644" w:right="1440" w:bottom="164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41994"/>
    <w:rsid w:val="00074313"/>
    <w:rsid w:val="00075D5F"/>
    <w:rsid w:val="00080AAE"/>
    <w:rsid w:val="000B04F2"/>
    <w:rsid w:val="000B3E8D"/>
    <w:rsid w:val="000B50CC"/>
    <w:rsid w:val="000C3A19"/>
    <w:rsid w:val="000D3F0D"/>
    <w:rsid w:val="001245BB"/>
    <w:rsid w:val="001724FC"/>
    <w:rsid w:val="00241FD4"/>
    <w:rsid w:val="00251B12"/>
    <w:rsid w:val="00296113"/>
    <w:rsid w:val="002C5440"/>
    <w:rsid w:val="002F3E58"/>
    <w:rsid w:val="002F72F4"/>
    <w:rsid w:val="0030542C"/>
    <w:rsid w:val="003076C0"/>
    <w:rsid w:val="00311B7A"/>
    <w:rsid w:val="00314C7B"/>
    <w:rsid w:val="00327B5F"/>
    <w:rsid w:val="003429E9"/>
    <w:rsid w:val="00346B63"/>
    <w:rsid w:val="00357F59"/>
    <w:rsid w:val="00364058"/>
    <w:rsid w:val="00380590"/>
    <w:rsid w:val="00416AC7"/>
    <w:rsid w:val="00417CCC"/>
    <w:rsid w:val="00425DB9"/>
    <w:rsid w:val="0044518E"/>
    <w:rsid w:val="00451871"/>
    <w:rsid w:val="0046661B"/>
    <w:rsid w:val="00472923"/>
    <w:rsid w:val="004C0D80"/>
    <w:rsid w:val="004D26B8"/>
    <w:rsid w:val="004D3238"/>
    <w:rsid w:val="004E3066"/>
    <w:rsid w:val="004E6DA9"/>
    <w:rsid w:val="004E74CD"/>
    <w:rsid w:val="004F6CED"/>
    <w:rsid w:val="0050550D"/>
    <w:rsid w:val="00531F35"/>
    <w:rsid w:val="00550B67"/>
    <w:rsid w:val="00567598"/>
    <w:rsid w:val="0057247D"/>
    <w:rsid w:val="00573562"/>
    <w:rsid w:val="005A137D"/>
    <w:rsid w:val="005A68F5"/>
    <w:rsid w:val="005C430E"/>
    <w:rsid w:val="00614A29"/>
    <w:rsid w:val="006509AF"/>
    <w:rsid w:val="0068313B"/>
    <w:rsid w:val="006970BE"/>
    <w:rsid w:val="006C4641"/>
    <w:rsid w:val="006D0BF7"/>
    <w:rsid w:val="006E3FDA"/>
    <w:rsid w:val="00751FE1"/>
    <w:rsid w:val="0075393C"/>
    <w:rsid w:val="007722ED"/>
    <w:rsid w:val="00776C08"/>
    <w:rsid w:val="007E1DA8"/>
    <w:rsid w:val="007F6C26"/>
    <w:rsid w:val="0080170E"/>
    <w:rsid w:val="008334AE"/>
    <w:rsid w:val="00836FED"/>
    <w:rsid w:val="00845CD2"/>
    <w:rsid w:val="00852B0D"/>
    <w:rsid w:val="00881692"/>
    <w:rsid w:val="00882773"/>
    <w:rsid w:val="00887B5F"/>
    <w:rsid w:val="008B3CC5"/>
    <w:rsid w:val="008E4261"/>
    <w:rsid w:val="008F21E5"/>
    <w:rsid w:val="008F3E86"/>
    <w:rsid w:val="008F4662"/>
    <w:rsid w:val="00905D08"/>
    <w:rsid w:val="00925753"/>
    <w:rsid w:val="0096303D"/>
    <w:rsid w:val="00966C5C"/>
    <w:rsid w:val="00973104"/>
    <w:rsid w:val="009C31A8"/>
    <w:rsid w:val="00A2447A"/>
    <w:rsid w:val="00A3183B"/>
    <w:rsid w:val="00A31C1F"/>
    <w:rsid w:val="00A72D2E"/>
    <w:rsid w:val="00A911E7"/>
    <w:rsid w:val="00A939D9"/>
    <w:rsid w:val="00AB1673"/>
    <w:rsid w:val="00AD44A3"/>
    <w:rsid w:val="00AF0AEB"/>
    <w:rsid w:val="00B20712"/>
    <w:rsid w:val="00B43238"/>
    <w:rsid w:val="00B626E0"/>
    <w:rsid w:val="00B75216"/>
    <w:rsid w:val="00B91D52"/>
    <w:rsid w:val="00BA1ACD"/>
    <w:rsid w:val="00BF3E03"/>
    <w:rsid w:val="00C229F3"/>
    <w:rsid w:val="00CA7176"/>
    <w:rsid w:val="00CC163D"/>
    <w:rsid w:val="00CD2773"/>
    <w:rsid w:val="00CE143B"/>
    <w:rsid w:val="00D6009F"/>
    <w:rsid w:val="00D74B13"/>
    <w:rsid w:val="00D8117B"/>
    <w:rsid w:val="00DE674C"/>
    <w:rsid w:val="00E167C7"/>
    <w:rsid w:val="00E45EE5"/>
    <w:rsid w:val="00E5486F"/>
    <w:rsid w:val="00E61051"/>
    <w:rsid w:val="00EC3FE2"/>
    <w:rsid w:val="00EC47F6"/>
    <w:rsid w:val="00ED3088"/>
    <w:rsid w:val="00EF1016"/>
    <w:rsid w:val="00F24692"/>
    <w:rsid w:val="00F33E29"/>
    <w:rsid w:val="00F47277"/>
    <w:rsid w:val="00F66032"/>
    <w:rsid w:val="00F958C2"/>
    <w:rsid w:val="00FA6E63"/>
    <w:rsid w:val="00FB2D65"/>
    <w:rsid w:val="00FC5B1F"/>
    <w:rsid w:val="00FD4DDA"/>
    <w:rsid w:val="00FF14FC"/>
    <w:rsid w:val="00FF2CB9"/>
    <w:rsid w:val="01FB23CB"/>
    <w:rsid w:val="0B0D77B0"/>
    <w:rsid w:val="0BAE04D0"/>
    <w:rsid w:val="0C3D5924"/>
    <w:rsid w:val="0D9F1876"/>
    <w:rsid w:val="10ED36A0"/>
    <w:rsid w:val="114917E9"/>
    <w:rsid w:val="15E5118A"/>
    <w:rsid w:val="15F42192"/>
    <w:rsid w:val="19C36DAA"/>
    <w:rsid w:val="1A5D684E"/>
    <w:rsid w:val="1ABE55EE"/>
    <w:rsid w:val="1D954D97"/>
    <w:rsid w:val="2945401D"/>
    <w:rsid w:val="2A012DF7"/>
    <w:rsid w:val="303D4E30"/>
    <w:rsid w:val="316E2FA4"/>
    <w:rsid w:val="3507028C"/>
    <w:rsid w:val="3595643A"/>
    <w:rsid w:val="38E01BC5"/>
    <w:rsid w:val="3CD42DDC"/>
    <w:rsid w:val="429960CF"/>
    <w:rsid w:val="45C76287"/>
    <w:rsid w:val="471D5503"/>
    <w:rsid w:val="48827F2A"/>
    <w:rsid w:val="492C0AE6"/>
    <w:rsid w:val="4A5B700A"/>
    <w:rsid w:val="4C523DD2"/>
    <w:rsid w:val="4DF57B76"/>
    <w:rsid w:val="52DA60DA"/>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0"/>
    <w:pPr>
      <w:jc w:val="left"/>
    </w:pPr>
  </w:style>
  <w:style w:type="paragraph" w:styleId="3">
    <w:name w:val="Balloon Text"/>
    <w:basedOn w:val="1"/>
    <w:link w:val="16"/>
    <w:semiHidden/>
    <w:unhideWhenUsed/>
    <w:uiPriority w:val="0"/>
    <w:rPr>
      <w:sz w:val="18"/>
      <w:szCs w:val="18"/>
    </w:rPr>
  </w:style>
  <w:style w:type="paragraph" w:styleId="4">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annotation subject"/>
    <w:basedOn w:val="2"/>
    <w:next w:val="2"/>
    <w:link w:val="15"/>
    <w:semiHidden/>
    <w:unhideWhenUsed/>
    <w:qFormat/>
    <w:uiPriority w:val="0"/>
    <w:rPr>
      <w:b/>
      <w:bCs/>
    </w:rPr>
  </w:style>
  <w:style w:type="character" w:styleId="11">
    <w:name w:val="annotation reference"/>
    <w:basedOn w:val="10"/>
    <w:semiHidden/>
    <w:unhideWhenUsed/>
    <w:qFormat/>
    <w:uiPriority w:val="0"/>
    <w:rPr>
      <w:sz w:val="21"/>
      <w:szCs w:val="21"/>
    </w:rPr>
  </w:style>
  <w:style w:type="character" w:customStyle="1" w:styleId="12">
    <w:name w:val="页眉 Char"/>
    <w:basedOn w:val="10"/>
    <w:link w:val="5"/>
    <w:qFormat/>
    <w:uiPriority w:val="0"/>
    <w:rPr>
      <w:rFonts w:ascii="Times New Roman" w:hAnsi="Times New Roman" w:eastAsia="宋体" w:cs="Times New Roman"/>
      <w:sz w:val="18"/>
      <w:szCs w:val="18"/>
    </w:rPr>
  </w:style>
  <w:style w:type="character" w:customStyle="1" w:styleId="13">
    <w:name w:val="页脚 Char"/>
    <w:basedOn w:val="10"/>
    <w:link w:val="4"/>
    <w:qFormat/>
    <w:uiPriority w:val="0"/>
    <w:rPr>
      <w:rFonts w:ascii="Times New Roman" w:hAnsi="Times New Roman" w:eastAsia="宋体" w:cs="Times New Roman"/>
      <w:sz w:val="18"/>
      <w:szCs w:val="18"/>
    </w:rPr>
  </w:style>
  <w:style w:type="character" w:customStyle="1" w:styleId="14">
    <w:name w:val="批注文字 Char"/>
    <w:basedOn w:val="10"/>
    <w:link w:val="2"/>
    <w:semiHidden/>
    <w:qFormat/>
    <w:uiPriority w:val="0"/>
    <w:rPr>
      <w:rFonts w:ascii="Calibri" w:hAnsi="Calibri" w:cs="黑体"/>
      <w:kern w:val="2"/>
      <w:sz w:val="21"/>
      <w:szCs w:val="22"/>
    </w:rPr>
  </w:style>
  <w:style w:type="character" w:customStyle="1" w:styleId="15">
    <w:name w:val="批注主题 Char"/>
    <w:basedOn w:val="14"/>
    <w:link w:val="8"/>
    <w:semiHidden/>
    <w:qFormat/>
    <w:uiPriority w:val="0"/>
    <w:rPr>
      <w:rFonts w:ascii="Calibri" w:hAnsi="Calibri" w:cs="黑体"/>
      <w:b/>
      <w:bCs/>
      <w:kern w:val="2"/>
      <w:sz w:val="21"/>
      <w:szCs w:val="22"/>
    </w:rPr>
  </w:style>
  <w:style w:type="character" w:customStyle="1" w:styleId="16">
    <w:name w:val="批注框文本 Char"/>
    <w:basedOn w:val="10"/>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D80B1-62AA-498F-A2AF-185703D5EF4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1153</Words>
  <Characters>6575</Characters>
  <Lines>54</Lines>
  <Paragraphs>15</Paragraphs>
  <TotalTime>0</TotalTime>
  <ScaleCrop>false</ScaleCrop>
  <LinksUpToDate>false</LinksUpToDate>
  <CharactersWithSpaces>7713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2017-05-02T02:48:00Z</dcterms:created>
  <dc:creator>guest</dc:creator>
  <cp:lastModifiedBy>Administrator</cp:lastModifiedBy>
  <cp:lastPrinted>2017-05-04T01:20:00Z</cp:lastPrinted>
  <dcterms:modified xsi:type="dcterms:W3CDTF">2021-05-20T02:10:12Z</dcterms:modified>
  <dc:title>河北省2017年部门预算信息公开</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