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ascii="Times New Roman" w:hAnsi="Times New Roman" w:eastAsia="宋体" w:cs="宋体"/>
          <w:sz w:val="44"/>
          <w:szCs w:val="44"/>
        </w:rPr>
        <w:t>秦皇岛北戴河新区团林管理处</w:t>
      </w:r>
    </w:p>
    <w:p>
      <w:pPr>
        <w:jc w:val="center"/>
        <w:rPr>
          <w:sz w:val="44"/>
          <w:szCs w:val="44"/>
        </w:rPr>
      </w:pPr>
      <w:r>
        <w:rPr>
          <w:rFonts w:ascii="Times New Roman" w:hAnsi="Times New Roman" w:eastAsia="宋体" w:cs="Times New Roman"/>
          <w:sz w:val="44"/>
          <w:szCs w:val="44"/>
        </w:rPr>
        <w:t>201</w:t>
      </w:r>
      <w:r>
        <w:rPr>
          <w:rFonts w:hint="eastAsia" w:ascii="Times New Roman" w:hAnsi="Times New Roman" w:eastAsia="宋体" w:cs="Times New Roman"/>
          <w:sz w:val="44"/>
          <w:szCs w:val="44"/>
        </w:rPr>
        <w:t>9</w:t>
      </w:r>
      <w:r>
        <w:rPr>
          <w:rFonts w:hint="eastAsia" w:ascii="Times New Roman" w:hAnsi="Times New Roman" w:eastAsia="宋体" w:cs="宋体"/>
          <w:sz w:val="44"/>
          <w:szCs w:val="44"/>
        </w:rPr>
        <w:t>年部门预算信息公开</w:t>
      </w:r>
    </w:p>
    <w:p>
      <w:pPr>
        <w:jc w:val="center"/>
        <w:rPr>
          <w:sz w:val="44"/>
          <w:szCs w:val="44"/>
        </w:rPr>
      </w:pP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秦皇岛北戴河新区财政局关于进一步做好2019年部门预算公开工作的通知》（秦北新财【2019】15号）文件精神，现将经秦皇岛北戴河新区财政局批复的秦皇岛北戴河新区团林管理处2019年部门预算相关信息公开如下：</w:t>
      </w:r>
    </w:p>
    <w:p>
      <w:pPr>
        <w:numPr>
          <w:ilvl w:val="0"/>
          <w:numId w:val="1"/>
        </w:numPr>
        <w:rPr>
          <w:rFonts w:hint="eastAsia" w:ascii="黑体" w:hAnsi="黑体" w:eastAsia="黑体" w:cs="黑体"/>
          <w:sz w:val="32"/>
          <w:szCs w:val="32"/>
        </w:rPr>
      </w:pPr>
      <w:r>
        <w:rPr>
          <w:rFonts w:hint="eastAsia" w:ascii="黑体" w:hAnsi="黑体" w:eastAsia="黑体" w:cs="黑体"/>
          <w:sz w:val="32"/>
          <w:szCs w:val="32"/>
        </w:rPr>
        <w:t>部门职责及机构设置情况</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部门职责：负责本区域社会管理、综合治理、普法宣传、信访调解等工作；负责本区域农业、林业、水利、畜牧、渔业管理及统计工作；负责本区域基层建设、群众社区文化、娱乐、体育、教育、科普等工作；负责配合有关部门做好防汛、防火、防灾和抢险工作；负责贯彻落实国家、省、市方针、政策和法律法规；负责承办新区党工委、管委会交办的其他工作任务。</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内设综合科、农业科、财务管理科、城乡建设科等</w:t>
      </w:r>
      <w:r>
        <w:rPr>
          <w:rFonts w:hint="default" w:ascii="Times New Roman" w:hAnsi="Times New Roman" w:eastAsia="方正仿宋简体" w:cs="Times New Roman"/>
          <w:sz w:val="32"/>
          <w:szCs w:val="32"/>
        </w:rPr>
        <w:t>9</w:t>
      </w:r>
      <w:r>
        <w:rPr>
          <w:rFonts w:hint="eastAsia" w:ascii="Times New Roman" w:hAnsi="Times New Roman" w:eastAsia="方正仿宋简体" w:cs="Times New Roman"/>
          <w:sz w:val="32"/>
          <w:szCs w:val="32"/>
        </w:rPr>
        <w:t>个科室，编制37人。</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机构设置：</w:t>
      </w:r>
    </w:p>
    <w:p>
      <w:pPr>
        <w:ind w:firstLine="640" w:firstLineChars="200"/>
        <w:jc w:val="center"/>
        <w:rPr>
          <w:sz w:val="32"/>
          <w:szCs w:val="32"/>
        </w:rPr>
      </w:pPr>
    </w:p>
    <w:p>
      <w:pPr>
        <w:ind w:firstLine="640" w:firstLineChars="200"/>
        <w:jc w:val="center"/>
        <w:rPr>
          <w:sz w:val="32"/>
          <w:szCs w:val="32"/>
        </w:rPr>
      </w:pPr>
    </w:p>
    <w:p>
      <w:pPr>
        <w:ind w:firstLine="640" w:firstLineChars="200"/>
        <w:jc w:val="center"/>
        <w:rPr>
          <w:sz w:val="32"/>
          <w:szCs w:val="32"/>
        </w:rPr>
      </w:pPr>
      <w:r>
        <w:rPr>
          <w:rFonts w:hint="eastAsia" w:ascii="Times New Roman" w:hAnsi="Times New Roman" w:eastAsia="宋体" w:cs="宋体"/>
          <w:sz w:val="32"/>
          <w:szCs w:val="32"/>
        </w:rPr>
        <w:t>部门机构设置情况</w:t>
      </w:r>
    </w:p>
    <w:tbl>
      <w:tblPr>
        <w:tblStyle w:val="4"/>
        <w:tblpPr w:leftFromText="180" w:rightFromText="180" w:vertAnchor="text" w:horzAnchor="page" w:tblpX="1988" w:tblpY="723"/>
        <w:tblOverlap w:val="never"/>
        <w:tblW w:w="91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97"/>
        <w:gridCol w:w="1135"/>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379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eastAsia="方正书宋_GBK"/>
                <w:b/>
              </w:rPr>
            </w:pPr>
            <w:r>
              <w:rPr>
                <w:rFonts w:hint="eastAsia" w:ascii="Times New Roman" w:hAnsi="方正书宋_GBK" w:eastAsia="方正书宋_GBK" w:cs="方正书宋_GBK"/>
                <w:b/>
              </w:rPr>
              <w:t>单位名称</w:t>
            </w:r>
          </w:p>
        </w:tc>
        <w:tc>
          <w:tcPr>
            <w:tcW w:w="113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eastAsia="方正书宋_GBK"/>
                <w:b/>
              </w:rPr>
            </w:pPr>
            <w:r>
              <w:rPr>
                <w:rFonts w:hint="eastAsia" w:ascii="Times New Roman" w:hAnsi="方正书宋_GBK" w:eastAsia="方正书宋_GBK" w:cs="方正书宋_GBK"/>
                <w:b/>
              </w:rPr>
              <w:t>单位性质</w:t>
            </w:r>
          </w:p>
        </w:tc>
        <w:tc>
          <w:tcPr>
            <w:tcW w:w="12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eastAsia="方正书宋_GBK"/>
                <w:b/>
              </w:rPr>
            </w:pPr>
            <w:r>
              <w:rPr>
                <w:rFonts w:hint="eastAsia" w:ascii="Times New Roman" w:hAnsi="方正书宋_GBK" w:eastAsia="方正书宋_GBK" w:cs="方正书宋_GBK"/>
                <w:b/>
              </w:rPr>
              <w:t>单位规格</w:t>
            </w:r>
          </w:p>
        </w:tc>
        <w:tc>
          <w:tcPr>
            <w:tcW w:w="290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eastAsia="方正书宋_GBK"/>
                <w:b/>
              </w:rPr>
            </w:pPr>
            <w:r>
              <w:rPr>
                <w:rFonts w:hint="eastAsia" w:ascii="Times New Roman" w:hAnsi="方正书宋_GBK" w:eastAsia="方正书宋_GBK" w:cs="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trPr>
        <w:tc>
          <w:tcPr>
            <w:tcW w:w="379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290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37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eastAsia="方正书宋_GBK"/>
              </w:rPr>
            </w:pPr>
            <w:r>
              <w:rPr>
                <w:rFonts w:hint="eastAsia" w:ascii="Times New Roman" w:hAnsi="方正书宋_GBK" w:eastAsia="方正书宋_GBK" w:cs="方正书宋_GBK"/>
              </w:rPr>
              <w:t>秦皇岛北戴河新区团林管理处</w:t>
            </w:r>
          </w:p>
        </w:tc>
        <w:tc>
          <w:tcPr>
            <w:tcW w:w="113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eastAsia="方正书宋_GBK"/>
              </w:rPr>
            </w:pPr>
            <w:r>
              <w:rPr>
                <w:rFonts w:hint="eastAsia" w:ascii="方正书宋_GBK" w:hAnsi="方正书宋_GBK" w:eastAsia="方正书宋_GBK" w:cs="方正书宋_GBK"/>
              </w:rPr>
              <w:t>事业</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eastAsia="方正书宋_GBK"/>
              </w:rPr>
            </w:pPr>
            <w:r>
              <w:rPr>
                <w:rFonts w:hint="eastAsia" w:ascii="方正书宋_GBK" w:hAnsi="方正书宋_GBK" w:eastAsia="方正书宋_GBK" w:cs="方正书宋_GBK"/>
              </w:rPr>
              <w:t>正科级</w:t>
            </w:r>
          </w:p>
        </w:tc>
        <w:tc>
          <w:tcPr>
            <w:tcW w:w="290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eastAsia="方正书宋_GBK"/>
              </w:rPr>
            </w:pPr>
            <w:r>
              <w:rPr>
                <w:rFonts w:hint="eastAsia" w:ascii="方正书宋_GBK" w:hAnsi="方正书宋_GBK" w:eastAsia="方正书宋_GBK" w:cs="方正书宋_GBK"/>
              </w:rPr>
              <w:t>财政拨款</w:t>
            </w:r>
          </w:p>
        </w:tc>
      </w:tr>
    </w:tbl>
    <w:p>
      <w:pPr>
        <w:ind w:firstLine="640" w:firstLineChars="200"/>
        <w:jc w:val="center"/>
        <w:rPr>
          <w:sz w:val="32"/>
          <w:szCs w:val="32"/>
        </w:rPr>
      </w:pPr>
    </w:p>
    <w:p>
      <w:pPr>
        <w:ind w:left="126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r>
        <w:rPr>
          <w:rFonts w:hint="eastAsia" w:ascii="Times New Roman" w:hAnsi="Times New Roman" w:eastAsia="宋体" w:cs="宋体"/>
          <w:sz w:val="32"/>
          <w:szCs w:val="32"/>
        </w:rPr>
        <w:t>二、部门预算安排的总体情况</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按照预算管理有关规定，目前我区部门预算的编制实行综合预算制度，即全部收入和支出都反映在预算中。</w:t>
      </w:r>
    </w:p>
    <w:p>
      <w:pPr>
        <w:ind w:firstLine="643" w:firstLineChars="20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rPr>
        <w:t>收入说明</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反映本部门当年全部收入。</w:t>
      </w:r>
      <w:r>
        <w:rPr>
          <w:rFonts w:hint="default" w:ascii="Times New Roman" w:hAnsi="Times New Roman" w:eastAsia="方正仿宋简体" w:cs="Times New Roman"/>
          <w:sz w:val="32"/>
          <w:szCs w:val="32"/>
        </w:rPr>
        <w:t>201</w:t>
      </w:r>
      <w:r>
        <w:rPr>
          <w:rFonts w:hint="eastAsia" w:ascii="Times New Roman" w:hAnsi="Times New Roman" w:eastAsia="方正仿宋简体" w:cs="Times New Roman"/>
          <w:sz w:val="32"/>
          <w:szCs w:val="32"/>
        </w:rPr>
        <w:t>9年预算收入628.85万元，即一般公共预算收入628.85万元。</w:t>
      </w:r>
    </w:p>
    <w:p>
      <w:pPr>
        <w:ind w:firstLine="643" w:firstLineChars="20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rPr>
        <w:t>支出说明</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收支预算总表支出栏、基本支出表、项目支出表按经济分类和支出功能分类科目编制，反映秦皇岛北戴河新区团林街道办事处年度部门预算中支出预算的总体情况。</w:t>
      </w:r>
      <w:r>
        <w:rPr>
          <w:rFonts w:hint="default" w:ascii="Times New Roman" w:hAnsi="Times New Roman" w:eastAsia="方正仿宋简体" w:cs="Times New Roman"/>
          <w:sz w:val="32"/>
          <w:szCs w:val="32"/>
        </w:rPr>
        <w:t>201</w:t>
      </w:r>
      <w:r>
        <w:rPr>
          <w:rFonts w:hint="eastAsia" w:ascii="Times New Roman" w:hAnsi="Times New Roman" w:eastAsia="方正仿宋简体" w:cs="Times New Roman"/>
          <w:sz w:val="32"/>
          <w:szCs w:val="32"/>
        </w:rPr>
        <w:t>9年支出预算628.85万元，其中：基本支出：473.85万元，包括人员经费411.89万元；日常公用经费61.96万元；项目支出155万元，主要为机关服务支出（办公用房租赁费）</w:t>
      </w:r>
      <w:r>
        <w:rPr>
          <w:rFonts w:hint="default" w:ascii="Times New Roman" w:hAnsi="Times New Roman" w:eastAsia="方正仿宋简体" w:cs="Times New Roman"/>
          <w:sz w:val="32"/>
          <w:szCs w:val="32"/>
        </w:rPr>
        <w:t>34</w:t>
      </w:r>
      <w:r>
        <w:rPr>
          <w:rFonts w:hint="eastAsia" w:ascii="Times New Roman" w:hAnsi="Times New Roman" w:eastAsia="方正仿宋简体" w:cs="Times New Roman"/>
          <w:sz w:val="32"/>
          <w:szCs w:val="32"/>
        </w:rPr>
        <w:t>万元；其他农业支出（农村事务经费）</w:t>
      </w:r>
      <w:r>
        <w:rPr>
          <w:rFonts w:hint="default" w:ascii="Times New Roman" w:hAnsi="Times New Roman" w:eastAsia="方正仿宋简体" w:cs="Times New Roman"/>
          <w:sz w:val="32"/>
          <w:szCs w:val="32"/>
        </w:rPr>
        <w:t>100</w:t>
      </w:r>
      <w:r>
        <w:rPr>
          <w:rFonts w:hint="eastAsia" w:ascii="Times New Roman" w:hAnsi="Times New Roman" w:eastAsia="方正仿宋简体" w:cs="Times New Roman"/>
          <w:sz w:val="32"/>
          <w:szCs w:val="32"/>
        </w:rPr>
        <w:t>万元；其他民政管理事务支出（墓地日常管理经费）</w:t>
      </w:r>
      <w:r>
        <w:rPr>
          <w:rFonts w:hint="default" w:ascii="Times New Roman" w:hAnsi="Times New Roman" w:eastAsia="方正仿宋简体" w:cs="Times New Roman"/>
          <w:sz w:val="32"/>
          <w:szCs w:val="32"/>
        </w:rPr>
        <w:t>8</w:t>
      </w:r>
      <w:r>
        <w:rPr>
          <w:rFonts w:hint="eastAsia" w:ascii="Times New Roman" w:hAnsi="Times New Roman" w:eastAsia="方正仿宋简体" w:cs="Times New Roman"/>
          <w:sz w:val="32"/>
          <w:szCs w:val="32"/>
        </w:rPr>
        <w:t>万元；信访稳定经费</w:t>
      </w:r>
      <w:r>
        <w:rPr>
          <w:rFonts w:hint="default" w:ascii="Times New Roman" w:hAnsi="Times New Roman" w:eastAsia="方正仿宋简体" w:cs="Times New Roman"/>
          <w:sz w:val="32"/>
          <w:szCs w:val="32"/>
        </w:rPr>
        <w:t>13</w:t>
      </w:r>
      <w:r>
        <w:rPr>
          <w:rFonts w:hint="eastAsia" w:ascii="Times New Roman" w:hAnsi="Times New Roman" w:eastAsia="方正仿宋简体" w:cs="Times New Roman"/>
          <w:sz w:val="32"/>
          <w:szCs w:val="32"/>
        </w:rPr>
        <w:t>万元。</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比上年增减情况</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w:t>
      </w:r>
      <w:r>
        <w:rPr>
          <w:rFonts w:hint="eastAsia" w:ascii="Times New Roman" w:hAnsi="Times New Roman" w:eastAsia="方正仿宋简体" w:cs="Times New Roman"/>
          <w:sz w:val="32"/>
          <w:szCs w:val="32"/>
        </w:rPr>
        <w:t>9年预算收支安排628.85万元，较</w:t>
      </w:r>
      <w:r>
        <w:rPr>
          <w:rFonts w:hint="default" w:ascii="Times New Roman" w:hAnsi="Times New Roman" w:eastAsia="方正仿宋简体" w:cs="Times New Roman"/>
          <w:sz w:val="32"/>
          <w:szCs w:val="32"/>
        </w:rPr>
        <w:t>201</w:t>
      </w:r>
      <w:r>
        <w:rPr>
          <w:rFonts w:hint="eastAsia" w:ascii="Times New Roman" w:hAnsi="Times New Roman" w:eastAsia="方正仿宋简体" w:cs="Times New Roman"/>
          <w:sz w:val="32"/>
          <w:szCs w:val="32"/>
        </w:rPr>
        <w:t>8年预算支出减少131.31万元，其中：基本支出无增加，项目支出减少131.31万元。</w:t>
      </w:r>
    </w:p>
    <w:p>
      <w:pPr>
        <w:ind w:firstLine="64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机关运行经费共计安排61.96万元，主要用于办公费、取暖费、差旅费、会议费、招待费、办公设备购置、公务交通费、印刷费、福利费、培训费等日常运行支出。</w:t>
      </w:r>
    </w:p>
    <w:p>
      <w:pPr>
        <w:ind w:firstLine="64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w:t>
      </w:r>
      <w:r>
        <w:rPr>
          <w:rFonts w:hint="eastAsia" w:ascii="Times New Roman" w:hAnsi="Times New Roman" w:eastAsia="方正仿宋简体" w:cs="Times New Roman"/>
          <w:sz w:val="32"/>
          <w:szCs w:val="32"/>
        </w:rPr>
        <w:t>9年我单位“三公”经费预算安排</w:t>
      </w:r>
      <w:r>
        <w:rPr>
          <w:rFonts w:hint="default" w:ascii="Times New Roman" w:hAnsi="Times New Roman" w:eastAsia="方正仿宋简体" w:cs="Times New Roman"/>
          <w:sz w:val="32"/>
          <w:szCs w:val="32"/>
        </w:rPr>
        <w:t>0.</w:t>
      </w:r>
      <w:r>
        <w:rPr>
          <w:rFonts w:hint="eastAsia" w:ascii="Times New Roman" w:hAnsi="Times New Roman" w:eastAsia="方正仿宋简体" w:cs="Times New Roman"/>
          <w:sz w:val="32"/>
          <w:szCs w:val="32"/>
        </w:rPr>
        <w:t>81万元，无因公出国费及公务用车购置及运行维护费，公务接待费</w:t>
      </w:r>
      <w:r>
        <w:rPr>
          <w:rFonts w:hint="default" w:ascii="Times New Roman" w:hAnsi="Times New Roman" w:eastAsia="方正仿宋简体" w:cs="Times New Roman"/>
          <w:sz w:val="32"/>
          <w:szCs w:val="32"/>
        </w:rPr>
        <w:t>0.</w:t>
      </w:r>
      <w:r>
        <w:rPr>
          <w:rFonts w:hint="eastAsia" w:ascii="Times New Roman" w:hAnsi="Times New Roman" w:eastAsia="方正仿宋简体" w:cs="Times New Roman"/>
          <w:sz w:val="32"/>
          <w:szCs w:val="32"/>
        </w:rPr>
        <w:t>81万元。“三公”经费较2018年的0.93万元下降12.9%，主要原因是，今年对“三公”经费等一般性支出进行压减</w:t>
      </w:r>
    </w:p>
    <w:p>
      <w:pPr>
        <w:pStyle w:val="9"/>
        <w:numPr>
          <w:numId w:val="0"/>
        </w:numPr>
        <w:ind w:left="630" w:leftChars="0"/>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五、绩效预算信息</w:t>
      </w:r>
    </w:p>
    <w:p>
      <w:pPr>
        <w:ind w:firstLine="640" w:firstLineChars="200"/>
        <w:jc w:val="left"/>
        <w:outlineLvl w:val="1"/>
        <w:rPr>
          <w:rFonts w:ascii="方正楷体简体" w:hAnsi="黑体" w:eastAsia="方正楷体简体"/>
          <w:sz w:val="32"/>
          <w:szCs w:val="32"/>
        </w:rPr>
      </w:pPr>
      <w:r>
        <w:rPr>
          <w:rFonts w:hint="eastAsia" w:ascii="方正楷体简体" w:hAnsi="黑体" w:eastAsia="方正楷体简体"/>
          <w:sz w:val="32"/>
          <w:szCs w:val="32"/>
        </w:rPr>
        <w:t>（一）总体绩效目标</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一、发展农村经济，强化农业基础地位。</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农业的发展以生态建设为中心，以产业结构调整为关键，以科技进步和市场机制培育为动力，以优质高效为目标。 产业结构调整的方向和重点是：按照“切实加强第一产业，调整和提高第二产业，加快发展第三产业”的总体要求，重点加强生态农业建设，不断扩大和提高旅游、商业服务等第三产业，实现产业的协调发展。种植业以优势互补、协调发展、形成良性循环的战略思路，种植业内部结构的调整，满足农民消费需要和市场需求。养殖业今后养殖业的发展将生猪和珍惜动物产业的发展与生态环境建设统一起来，改革传统的饲养生产经营方式，进一步完善“公司+专业协会+专业大户+农户”的生产经模式，充分发挥好公司的服务职能，协会的协调作用，大户的带头作用，努力使养殖业再上一个新的台阶。水利与水保方面积极推广先进适用节水灌溉技术及抗旱措施，要继续加大水利的建设力度，解决人畜用水问题。积极向上争取资金，认真落实“一事一议”政策、逐步改善农业基础条件。管理处财政认真落实新区财政局财政支付中心支付政策，积极培植税源，努力做到平稳增收。进一步强化基础设施和新农村（文明生态村）建设，加强道路、环保、通信等基础设施建设，结合文明生态村建设加强群众文化场所施建设，强化文化市场建设和管理，促进文化产业健康发展。形成与新区发展相适应的农业基础设施体系，构筑与产业发展相适应的、综合配套的交通格局。</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二、人民生活与社会事业</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健全和完善社会保障制度，加强和完善最低生活保障制度。积极发展社会福利、社会救济、优抚安置和社会互助等社会保障事业。保障妇女、未成年人、老年人和残疾人的合法权益。 加快发展医疗卫生事业，认真制定和实施区域卫生发展规划，搞好卫生资源的优化配置和宏观管理，强化基本卫生服务，形成医疗、预防、保健、卫生监督执法和计划生育育龄妇女免费服务的卫生服务体系，积极稳妥地发展和完善农村合作医疗制度。认真抓好人口与计划生育工作 督促落实计生执法工作，进一步落实好独生子女奖励扶助政策，严格控制人口增长。</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三、精神文明与民主法制</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加强社会主义精神文明建设 以马列主义、毛泽东思想、邓小平理论和“三个代表”重要思想为指导，弘扬爱国主义和集体主义。反对迷信，倡导科学、文明、健康的生活方式。坚持依法治镇、以德治人相结合，加强社会公德、家庭美德、职业道德教育，特别是加强对青少年的思想政治和道德品质教育。着力培养和宣传体现时代精神的先进典型，使全民形成文明健康、奋发向上的社会风气。</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实行民主选举、民主决策、民主管理、民主监督，保证人民依法享有广泛的权利和自由。完善村民自治，进一步完善政务、村社财务公开。深入开展普法宣传教育，增强全镇人民的法律意识和依法自我保护的能力。坚持依靠改革发展促稳定，积极探索新形势下从根本上维护社会稳定的办法，保持社会稳定。妥善处理各种社会矛盾，及时消除社会不安定因素。高度重视安全工作，加强安全生产管理。</w:t>
      </w:r>
    </w:p>
    <w:p>
      <w:pPr>
        <w:ind w:firstLine="627" w:firstLineChars="196"/>
        <w:jc w:val="left"/>
        <w:outlineLvl w:val="1"/>
        <w:rPr>
          <w:rFonts w:ascii="方正楷体简体" w:hAnsi="黑体" w:eastAsia="方正楷体简体"/>
          <w:sz w:val="32"/>
          <w:szCs w:val="32"/>
        </w:rPr>
      </w:pPr>
      <w:r>
        <w:rPr>
          <w:rFonts w:hint="eastAsia" w:ascii="方正楷体简体" w:hAnsi="黑体" w:eastAsia="方正楷体简体"/>
          <w:sz w:val="32"/>
          <w:szCs w:val="32"/>
        </w:rPr>
        <w:t>（</w:t>
      </w:r>
      <w:r>
        <w:rPr>
          <w:rFonts w:ascii="方正楷体简体" w:hAnsi="黑体" w:eastAsia="方正楷体简体"/>
          <w:sz w:val="32"/>
          <w:szCs w:val="32"/>
        </w:rPr>
        <w:t>二</w:t>
      </w:r>
      <w:r>
        <w:rPr>
          <w:rFonts w:hint="eastAsia" w:ascii="方正楷体简体" w:hAnsi="黑体" w:eastAsia="方正楷体简体"/>
          <w:sz w:val="32"/>
          <w:szCs w:val="32"/>
        </w:rPr>
        <w:t>）</w:t>
      </w:r>
      <w:r>
        <w:rPr>
          <w:rFonts w:ascii="方正楷体简体" w:hAnsi="黑体" w:eastAsia="方正楷体简体"/>
          <w:sz w:val="32"/>
          <w:szCs w:val="32"/>
        </w:rPr>
        <w:t>分项绩效目标</w:t>
      </w:r>
      <w:r>
        <w:fldChar w:fldCharType="begin"/>
      </w:r>
      <w:r>
        <w:rPr>
          <w:rFonts w:ascii="方正楷体简体" w:hAnsi="黑体" w:eastAsia="方正楷体简体"/>
          <w:sz w:val="32"/>
          <w:szCs w:val="32"/>
        </w:rPr>
        <w:instrText xml:space="preserve"> TC </w:instrText>
      </w:r>
      <w:bookmarkStart w:id="0" w:name="_Toc28866445"/>
      <w:r>
        <w:rPr>
          <w:rFonts w:ascii="方正楷体简体" w:hAnsi="黑体" w:eastAsia="方正楷体简体"/>
          <w:sz w:val="32"/>
          <w:szCs w:val="32"/>
        </w:rPr>
        <w:instrText xml:space="preserve">分项绩效目标</w:instrText>
      </w:r>
      <w:bookmarkEnd w:id="0"/>
      <w:r>
        <w:rPr>
          <w:rFonts w:ascii="方正楷体简体" w:hAnsi="黑体" w:eastAsia="方正楷体简体"/>
          <w:sz w:val="32"/>
          <w:szCs w:val="32"/>
        </w:rPr>
        <w:instrText xml:space="preserve"> \f A \l 1 </w:instrText>
      </w:r>
      <w:r>
        <w:rPr>
          <w:rFonts w:ascii="方正楷体简体" w:hAnsi="黑体" w:eastAsia="方正楷体简体"/>
          <w:sz w:val="32"/>
          <w:szCs w:val="32"/>
        </w:rPr>
        <w:fldChar w:fldCharType="end"/>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负责本区域社会管理、综合治理、普法宣传、信访调解等工作。</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hint="default" w:ascii="Times New Roman" w:hAnsi="Times New Roman" w:eastAsia="方正仿宋简体" w:cs="Times New Roman"/>
          <w:sz w:val="32"/>
          <w:szCs w:val="32"/>
        </w:rPr>
        <w:t>负责本区域农业、林业、水利、畜牧、渔业管理及统计工作。</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hint="default" w:ascii="Times New Roman" w:hAnsi="Times New Roman" w:eastAsia="方正仿宋简体" w:cs="Times New Roman"/>
          <w:sz w:val="32"/>
          <w:szCs w:val="32"/>
        </w:rPr>
        <w:t>负责本区域劳动和社会保障、医疗、卫生、卫计、环卫、安全生产等工作。</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4、</w:t>
      </w:r>
      <w:r>
        <w:rPr>
          <w:rFonts w:hint="default" w:ascii="Times New Roman" w:hAnsi="Times New Roman" w:eastAsia="方正仿宋简体" w:cs="Times New Roman"/>
          <w:sz w:val="32"/>
          <w:szCs w:val="32"/>
        </w:rPr>
        <w:t>负责本区域基层建设、群众社区文化、娱乐、体育、教育、科普等工作。</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5、</w:t>
      </w:r>
      <w:r>
        <w:rPr>
          <w:rFonts w:hint="default" w:ascii="Times New Roman" w:hAnsi="Times New Roman" w:eastAsia="方正仿宋简体" w:cs="Times New Roman"/>
          <w:sz w:val="32"/>
          <w:szCs w:val="32"/>
        </w:rPr>
        <w:t>负责配合有关部门做好防汛、防火、防灾和抢险工作。</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6、</w:t>
      </w:r>
      <w:r>
        <w:rPr>
          <w:rFonts w:hint="default" w:ascii="Times New Roman" w:hAnsi="Times New Roman" w:eastAsia="方正仿宋简体" w:cs="Times New Roman"/>
          <w:sz w:val="32"/>
          <w:szCs w:val="32"/>
        </w:rPr>
        <w:t>负责贯彻落实国家、省、市方针、政策和法律法规。</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7、</w:t>
      </w:r>
      <w:r>
        <w:rPr>
          <w:rFonts w:hint="default" w:ascii="Times New Roman" w:hAnsi="Times New Roman" w:eastAsia="方正仿宋简体" w:cs="Times New Roman"/>
          <w:sz w:val="32"/>
          <w:szCs w:val="32"/>
        </w:rPr>
        <w:t>负责承办新区党工委、管委会交办的其他工作任务。</w:t>
      </w:r>
    </w:p>
    <w:p>
      <w:pPr>
        <w:spacing w:line="500" w:lineRule="exact"/>
        <w:ind w:firstLine="640" w:firstLineChars="200"/>
        <w:jc w:val="left"/>
        <w:outlineLvl w:val="1"/>
        <w:rPr>
          <w:rFonts w:ascii="方正楷体简体" w:hAnsi="黑体" w:eastAsia="方正楷体简体"/>
          <w:sz w:val="32"/>
          <w:szCs w:val="32"/>
        </w:rPr>
      </w:pPr>
      <w:r>
        <w:rPr>
          <w:rFonts w:hint="eastAsia" w:ascii="方正楷体简体" w:hAnsi="黑体" w:eastAsia="方正楷体简体"/>
          <w:sz w:val="32"/>
          <w:szCs w:val="32"/>
        </w:rPr>
        <w:t>（</w:t>
      </w:r>
      <w:r>
        <w:rPr>
          <w:rFonts w:ascii="方正楷体简体" w:hAnsi="黑体" w:eastAsia="方正楷体简体"/>
          <w:sz w:val="32"/>
          <w:szCs w:val="32"/>
        </w:rPr>
        <w:t>三</w:t>
      </w:r>
      <w:r>
        <w:rPr>
          <w:rFonts w:hint="eastAsia" w:ascii="方正楷体简体" w:hAnsi="黑体" w:eastAsia="方正楷体简体"/>
          <w:sz w:val="32"/>
          <w:szCs w:val="32"/>
        </w:rPr>
        <w:t>）</w:t>
      </w:r>
      <w:r>
        <w:rPr>
          <w:rFonts w:ascii="方正楷体简体" w:hAnsi="黑体" w:eastAsia="方正楷体简体"/>
          <w:sz w:val="32"/>
          <w:szCs w:val="32"/>
        </w:rPr>
        <w:t>工作保障措施</w:t>
      </w:r>
      <w:r>
        <w:fldChar w:fldCharType="begin"/>
      </w:r>
      <w:r>
        <w:rPr>
          <w:rFonts w:ascii="方正楷体简体" w:hAnsi="黑体" w:eastAsia="方正楷体简体"/>
          <w:sz w:val="32"/>
          <w:szCs w:val="32"/>
        </w:rPr>
        <w:instrText xml:space="preserve"> TC </w:instrText>
      </w:r>
      <w:bookmarkStart w:id="1" w:name="_Toc28866446"/>
      <w:r>
        <w:rPr>
          <w:rFonts w:ascii="方正楷体简体" w:hAnsi="黑体" w:eastAsia="方正楷体简体"/>
          <w:sz w:val="32"/>
          <w:szCs w:val="32"/>
        </w:rPr>
        <w:instrText xml:space="preserve">工作保障措施</w:instrText>
      </w:r>
      <w:bookmarkEnd w:id="1"/>
      <w:r>
        <w:rPr>
          <w:rFonts w:ascii="方正楷体简体" w:hAnsi="黑体" w:eastAsia="方正楷体简体"/>
          <w:sz w:val="32"/>
          <w:szCs w:val="32"/>
        </w:rPr>
        <w:instrText xml:space="preserve"> \f A \l 1 </w:instrText>
      </w:r>
      <w:r>
        <w:rPr>
          <w:rFonts w:ascii="方正楷体简体" w:hAnsi="黑体" w:eastAsia="方正楷体简体"/>
          <w:sz w:val="32"/>
          <w:szCs w:val="32"/>
        </w:rPr>
        <w:fldChar w:fldCharType="end"/>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全面贯彻执行党在农村的各项方针、政策和法律法规，做好农业、农村和农民工作；负责本区域经济发展、社会管理、公共服务和维护农村稳定工作；组织协调本区域社会事业和社会公益基础设施建设。</w:t>
      </w:r>
    </w:p>
    <w:p>
      <w:pPr>
        <w:pStyle w:val="9"/>
        <w:numPr>
          <w:ilvl w:val="0"/>
          <w:numId w:val="0"/>
        </w:numPr>
        <w:rPr>
          <w:sz w:val="32"/>
          <w:szCs w:val="32"/>
        </w:rPr>
      </w:pPr>
    </w:p>
    <w:p>
      <w:pPr>
        <w:ind w:left="630"/>
        <w:rPr>
          <w:rFonts w:hint="eastAsia" w:ascii="Times New Roman" w:hAnsi="Times New Roman" w:eastAsia="宋体" w:cs="宋体"/>
          <w:sz w:val="32"/>
          <w:szCs w:val="32"/>
        </w:rPr>
      </w:pPr>
    </w:p>
    <w:p>
      <w:pPr>
        <w:jc w:val="center"/>
        <w:outlineLvl w:val="0"/>
        <w:rPr>
          <w:rFonts w:ascii="方正小标宋_GBK" w:hAnsi="方正小标宋_GBK" w:eastAsia="方正小标宋_GBK" w:cs="方正小标宋_GBK"/>
          <w:sz w:val="32"/>
        </w:rPr>
      </w:pPr>
      <w:r>
        <w:rPr>
          <w:rFonts w:hint="eastAsia" w:ascii="方正小标宋_GBK" w:hAnsi="方正小标宋_GBK" w:eastAsia="方正小标宋_GBK" w:cs="方正小标宋_GBK"/>
          <w:sz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397"/>
        <w:gridCol w:w="75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66" w:type="dxa"/>
            <w:gridSpan w:val="5"/>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left"/>
              <w:rPr>
                <w:rFonts w:ascii="方正小标宋_GBK" w:hAnsi="方正小标宋_GBK" w:eastAsia="方正小标宋_GBK" w:cs="方正小标宋_GBK"/>
                <w:sz w:val="24"/>
              </w:rPr>
            </w:pPr>
            <w:r>
              <w:rPr>
                <w:rFonts w:hint="eastAsia" w:ascii="方正小标宋_GBK" w:hAnsi="方正小标宋_GBK" w:eastAsia="方正小标宋_GBK" w:cs="方正小标宋_GBK"/>
                <w:sz w:val="24"/>
              </w:rPr>
              <w:t>338秦皇岛北戴河新区团林管理处</w:t>
            </w:r>
          </w:p>
        </w:tc>
        <w:tc>
          <w:tcPr>
            <w:tcW w:w="2968" w:type="dxa"/>
            <w:gridSpan w:val="4"/>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right"/>
              <w:rPr>
                <w:rFonts w:ascii="方正书宋_GBK" w:hAnsi="方正书宋_GBK" w:eastAsia="方正书宋_GBK" w:cs="方正书宋_GBK"/>
                <w:sz w:val="24"/>
              </w:rPr>
            </w:pPr>
            <w:r>
              <w:rPr>
                <w:rFonts w:hint="eastAsia" w:ascii="方正书宋_GBK" w:hAnsi="方正书宋_GBK" w:eastAsia="方正书宋_GBK"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职责活动</w:t>
            </w:r>
          </w:p>
        </w:tc>
        <w:tc>
          <w:tcPr>
            <w:tcW w:w="12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年度预算数</w:t>
            </w:r>
          </w:p>
        </w:tc>
        <w:tc>
          <w:tcPr>
            <w:tcW w:w="29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内容描述</w:t>
            </w:r>
          </w:p>
        </w:tc>
        <w:tc>
          <w:tcPr>
            <w:tcW w:w="29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139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绩效指标</w:t>
            </w:r>
          </w:p>
        </w:tc>
        <w:tc>
          <w:tcPr>
            <w:tcW w:w="2968"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139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75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优</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良</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中</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一、日常工作</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全面贯彻执行上级党委、政府方针政策，做好政务、组织、宣传工作。</w:t>
            </w: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完成上级下达的各项工作任务，做好党务、政务工作，向基层做好各项方针政策的贯彻、宣传工作。</w:t>
            </w: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75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　1.　综合事务管理</w:t>
            </w:r>
          </w:p>
        </w:tc>
        <w:tc>
          <w:tcPr>
            <w:tcW w:w="12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负责管理处的文秘、组织、宣传、纪检、统战民族宗教、工会共青团妇联等工作，负责行文、档案管理、草拟各类上报材料等文秘工作和做好保密工作，公章管理、办公采购、机关及食堂后勤保障工作，办理人事工作，汇总单位信息，上报宣传部，订阅党报党刊。</w:t>
            </w:r>
          </w:p>
        </w:tc>
        <w:tc>
          <w:tcPr>
            <w:tcW w:w="29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积极配合上级部门完成组织、宣传、纪检、统战、宗教、工青妇工作；依规开展行文、档案管理、公章管理等文秘工作；规范办公采购，后勤保障及时。</w:t>
            </w: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ascii="宋体" w:hAnsi="宋体" w:eastAsia="宋体" w:cs="宋体"/>
                <w:color w:val="000000"/>
                <w:sz w:val="18"/>
                <w:szCs w:val="18"/>
              </w:rPr>
            </w:pPr>
            <w:r>
              <w:rPr>
                <w:rFonts w:hint="eastAsia"/>
                <w:color w:val="000000"/>
                <w:sz w:val="18"/>
                <w:szCs w:val="18"/>
              </w:rPr>
              <w:t>对接上级工作</w:t>
            </w:r>
          </w:p>
          <w:p>
            <w:pPr>
              <w:spacing w:line="300" w:lineRule="exact"/>
              <w:jc w:val="left"/>
              <w:rPr>
                <w:rFonts w:ascii="方正书宋_GBK" w:hAnsi="方正书宋_GBK" w:eastAsia="方正书宋_GBK" w:cs="方正书宋_GBK"/>
              </w:rPr>
            </w:pPr>
          </w:p>
        </w:tc>
        <w:tc>
          <w:tcPr>
            <w:tcW w:w="75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ascii="宋体" w:hAnsi="宋体" w:eastAsia="宋体" w:cs="宋体"/>
                <w:color w:val="000000"/>
                <w:sz w:val="18"/>
                <w:szCs w:val="18"/>
              </w:rPr>
            </w:pPr>
            <w:r>
              <w:rPr>
                <w:rFonts w:hint="eastAsia"/>
                <w:color w:val="000000"/>
                <w:sz w:val="18"/>
                <w:szCs w:val="18"/>
              </w:rPr>
              <w:t>保障机关运转</w:t>
            </w:r>
          </w:p>
          <w:p>
            <w:pPr>
              <w:spacing w:line="300" w:lineRule="exact"/>
              <w:jc w:val="left"/>
              <w:rPr>
                <w:rFonts w:ascii="方正书宋_GBK" w:hAnsi="方正书宋_GBK" w:eastAsia="方正书宋_GBK" w:cs="方正书宋_GBK"/>
              </w:rPr>
            </w:pPr>
          </w:p>
        </w:tc>
        <w:tc>
          <w:tcPr>
            <w:tcW w:w="75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ascii="宋体" w:hAnsi="宋体" w:eastAsia="宋体" w:cs="宋体"/>
                <w:color w:val="000000"/>
                <w:sz w:val="18"/>
                <w:szCs w:val="18"/>
              </w:rPr>
            </w:pPr>
            <w:r>
              <w:rPr>
                <w:rFonts w:hint="eastAsia"/>
                <w:color w:val="000000"/>
                <w:sz w:val="18"/>
                <w:szCs w:val="18"/>
              </w:rPr>
              <w:t>认真管理，积极配合，高效快捷</w:t>
            </w:r>
          </w:p>
          <w:p>
            <w:pPr>
              <w:spacing w:line="300" w:lineRule="exact"/>
              <w:jc w:val="left"/>
              <w:rPr>
                <w:rFonts w:ascii="方正书宋_GBK" w:hAnsi="方正书宋_GBK" w:eastAsia="方正书宋_GBK" w:cs="方正书宋_GBK"/>
              </w:rPr>
            </w:pPr>
          </w:p>
        </w:tc>
        <w:tc>
          <w:tcPr>
            <w:tcW w:w="75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二、涉农事务管理</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 xml:space="preserve">   强化三资管理，实施农村经济统计、普查工作，做好防火、防汛工作。</w:t>
            </w: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 xml:space="preserve">      强化三资管理，实施农村经济统计、普查工作，做好防火、防汛工作。</w:t>
            </w: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75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41"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　　1.财政、农经管理</w:t>
            </w:r>
          </w:p>
        </w:tc>
        <w:tc>
          <w:tcPr>
            <w:tcW w:w="1276"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贯彻执行上级文件精神，及时领拨资金，保运行；加强对村级财务工作管理，加强财务监督力度，严格执行管理制度。</w:t>
            </w:r>
          </w:p>
        </w:tc>
        <w:tc>
          <w:tcPr>
            <w:tcW w:w="2976"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执行上级文件，规范资金管理；加强财务管理及监管力度。</w:t>
            </w: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ascii="宋体" w:hAnsi="宋体" w:eastAsia="宋体" w:cs="宋体"/>
                <w:color w:val="000000"/>
                <w:sz w:val="18"/>
                <w:szCs w:val="18"/>
              </w:rPr>
            </w:pPr>
            <w:r>
              <w:rPr>
                <w:rFonts w:hint="eastAsia"/>
                <w:color w:val="000000"/>
                <w:sz w:val="18"/>
                <w:szCs w:val="18"/>
              </w:rPr>
              <w:t>适时领拨资金</w:t>
            </w:r>
          </w:p>
          <w:p>
            <w:pPr>
              <w:spacing w:line="300" w:lineRule="exact"/>
              <w:jc w:val="left"/>
              <w:rPr>
                <w:rFonts w:ascii="方正书宋_GBK" w:hAnsi="方正书宋_GBK" w:eastAsia="方正书宋_GBK" w:cs="方正书宋_GBK"/>
              </w:rPr>
            </w:pPr>
          </w:p>
        </w:tc>
        <w:tc>
          <w:tcPr>
            <w:tcW w:w="75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41"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2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ascii="宋体" w:hAnsi="宋体" w:eastAsia="宋体" w:cs="宋体"/>
                <w:color w:val="000000"/>
                <w:sz w:val="18"/>
                <w:szCs w:val="18"/>
              </w:rPr>
            </w:pPr>
            <w:r>
              <w:rPr>
                <w:rFonts w:hint="eastAsia"/>
                <w:color w:val="000000"/>
                <w:sz w:val="18"/>
                <w:szCs w:val="18"/>
              </w:rPr>
              <w:t>强化三资管理</w:t>
            </w:r>
          </w:p>
          <w:p>
            <w:pPr>
              <w:spacing w:line="300" w:lineRule="exact"/>
              <w:jc w:val="left"/>
              <w:rPr>
                <w:rFonts w:ascii="方正书宋_GBK" w:hAnsi="方正书宋_GBK" w:eastAsia="方正书宋_GBK" w:cs="方正书宋_GBK"/>
              </w:rPr>
            </w:pPr>
          </w:p>
        </w:tc>
        <w:tc>
          <w:tcPr>
            <w:tcW w:w="75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41" w:type="dxa"/>
            <w:vMerge w:val="continue"/>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276" w:type="dxa"/>
            <w:vMerge w:val="continue"/>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ascii="宋体" w:hAnsi="宋体" w:eastAsia="宋体" w:cs="宋体"/>
                <w:color w:val="000000"/>
                <w:sz w:val="18"/>
                <w:szCs w:val="18"/>
              </w:rPr>
            </w:pPr>
            <w:r>
              <w:rPr>
                <w:rFonts w:hint="eastAsia"/>
                <w:color w:val="000000"/>
                <w:sz w:val="18"/>
                <w:szCs w:val="18"/>
              </w:rPr>
              <w:t>提高农经管理效果</w:t>
            </w:r>
          </w:p>
          <w:p>
            <w:pPr>
              <w:spacing w:line="300" w:lineRule="exact"/>
              <w:jc w:val="left"/>
              <w:rPr>
                <w:rFonts w:ascii="方正书宋_GBK" w:hAnsi="方正书宋_GBK" w:eastAsia="方正书宋_GBK" w:cs="方正书宋_GBK"/>
              </w:rPr>
            </w:pPr>
          </w:p>
        </w:tc>
        <w:tc>
          <w:tcPr>
            <w:tcW w:w="75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0" w:hRule="atLeast"/>
          <w:jc w:val="center"/>
        </w:trPr>
        <w:tc>
          <w:tcPr>
            <w:tcW w:w="2341"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　　2、农业</w:t>
            </w:r>
          </w:p>
        </w:tc>
        <w:tc>
          <w:tcPr>
            <w:tcW w:w="1276"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贯彻执行党和国家的各项农业方针政策，认真落实各项农业发展计划，促进农村农业的全面发展。贯彻执行上级文件精神，配合林业局做好森林防火工作。依法开展国民经济统计，认真做好经济普查工作。落实好涉水工程汛前隐患排查整改，汛中应急抢险、灾情核查等工作。遇干旱灾害积极参与水资源调度、水事纠纷调处、抗旱服务等工作。</w:t>
            </w:r>
          </w:p>
        </w:tc>
        <w:tc>
          <w:tcPr>
            <w:tcW w:w="2976"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落实农业政策，促进发展，及时发放各项涉农资金；做好防火、抗旱防汛工作；开展国民经济统计。</w:t>
            </w: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落实宣传政策及时率（%）</w:t>
            </w:r>
          </w:p>
        </w:tc>
        <w:tc>
          <w:tcPr>
            <w:tcW w:w="75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0" w:hRule="atLeast"/>
          <w:jc w:val="center"/>
        </w:trPr>
        <w:tc>
          <w:tcPr>
            <w:tcW w:w="2341"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2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落实计划进度（%）</w:t>
            </w:r>
          </w:p>
        </w:tc>
        <w:tc>
          <w:tcPr>
            <w:tcW w:w="75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0" w:hRule="atLeast"/>
          <w:jc w:val="center"/>
        </w:trPr>
        <w:tc>
          <w:tcPr>
            <w:tcW w:w="2341" w:type="dxa"/>
            <w:vMerge w:val="continue"/>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276" w:type="dxa"/>
            <w:vMerge w:val="continue"/>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农业支持保护补贴资金发放率（%）</w:t>
            </w:r>
          </w:p>
        </w:tc>
        <w:tc>
          <w:tcPr>
            <w:tcW w:w="75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三、社会事务管理</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做好计生、民生工作</w:t>
            </w: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贯彻执行国家计划生育政策。解决计生、民生各类问题。</w:t>
            </w: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75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0" w:hRule="atLeast"/>
          <w:jc w:val="center"/>
        </w:trPr>
        <w:tc>
          <w:tcPr>
            <w:tcW w:w="2341"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　　1.计生事务管理</w:t>
            </w:r>
          </w:p>
        </w:tc>
        <w:tc>
          <w:tcPr>
            <w:tcW w:w="1276"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相关证件审核、办理，落实计划生育奖励优待政策,计生统计、流动人口服务管理，生殖健康检查及孕前优生健康检查，避孕药具管理发放，计划生育宣传教育，计生协会工作，协助社会抚养费征收。接受区级卫生计生行政部门指导，指导开展农村爱国卫生运动，协助做好辖区内免疫规划实施、共公卫生监督检查等工作。</w:t>
            </w:r>
          </w:p>
        </w:tc>
        <w:tc>
          <w:tcPr>
            <w:tcW w:w="2976"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计生工作按照政策法规办理，按时间完成；卫生按期指导，按时完成。开展农村爱国卫生运动，协助做好辖区内免疫规划实施、共公卫生监督检查等工作。</w:t>
            </w: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ascii="宋体" w:hAnsi="宋体" w:eastAsia="宋体" w:cs="宋体"/>
                <w:color w:val="000000"/>
                <w:sz w:val="18"/>
                <w:szCs w:val="18"/>
              </w:rPr>
            </w:pPr>
            <w:r>
              <w:rPr>
                <w:rFonts w:hint="eastAsia"/>
                <w:color w:val="000000"/>
                <w:sz w:val="18"/>
                <w:szCs w:val="18"/>
              </w:rPr>
              <w:t>执行政策，做好人口管理</w:t>
            </w:r>
          </w:p>
          <w:p>
            <w:pPr>
              <w:spacing w:line="300" w:lineRule="exact"/>
              <w:jc w:val="left"/>
              <w:rPr>
                <w:rFonts w:ascii="方正书宋_GBK" w:hAnsi="方正书宋_GBK" w:eastAsia="方正书宋_GBK" w:cs="方正书宋_GBK"/>
              </w:rPr>
            </w:pPr>
          </w:p>
        </w:tc>
        <w:tc>
          <w:tcPr>
            <w:tcW w:w="75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0" w:hRule="atLeast"/>
          <w:jc w:val="center"/>
        </w:trPr>
        <w:tc>
          <w:tcPr>
            <w:tcW w:w="2341"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2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ascii="宋体" w:hAnsi="宋体" w:eastAsia="宋体" w:cs="宋体"/>
                <w:color w:val="000000"/>
                <w:sz w:val="18"/>
                <w:szCs w:val="18"/>
              </w:rPr>
            </w:pPr>
            <w:r>
              <w:rPr>
                <w:rFonts w:hint="eastAsia"/>
                <w:color w:val="000000"/>
                <w:sz w:val="18"/>
                <w:szCs w:val="18"/>
              </w:rPr>
              <w:t>深入开展爱国卫生运动</w:t>
            </w:r>
          </w:p>
          <w:p>
            <w:pPr>
              <w:spacing w:line="300" w:lineRule="exact"/>
              <w:jc w:val="left"/>
              <w:rPr>
                <w:rFonts w:ascii="方正书宋_GBK" w:hAnsi="方正书宋_GBK" w:eastAsia="方正书宋_GBK" w:cs="方正书宋_GBK"/>
              </w:rPr>
            </w:pPr>
          </w:p>
        </w:tc>
        <w:tc>
          <w:tcPr>
            <w:tcW w:w="75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0" w:hRule="atLeast"/>
          <w:jc w:val="center"/>
        </w:trPr>
        <w:tc>
          <w:tcPr>
            <w:tcW w:w="2341"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2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ascii="宋体" w:hAnsi="宋体" w:eastAsia="宋体" w:cs="宋体"/>
                <w:color w:val="000000"/>
                <w:sz w:val="18"/>
                <w:szCs w:val="18"/>
              </w:rPr>
            </w:pPr>
            <w:r>
              <w:rPr>
                <w:rFonts w:hint="eastAsia"/>
                <w:color w:val="000000"/>
                <w:sz w:val="18"/>
                <w:szCs w:val="18"/>
              </w:rPr>
              <w:t>卫生计生监督覆盖率（%）</w:t>
            </w:r>
          </w:p>
          <w:p>
            <w:pPr>
              <w:spacing w:line="300" w:lineRule="exact"/>
              <w:jc w:val="left"/>
              <w:rPr>
                <w:rFonts w:ascii="方正书宋_GBK" w:hAnsi="方正书宋_GBK" w:eastAsia="方正书宋_GBK" w:cs="方正书宋_GBK"/>
              </w:rPr>
            </w:pPr>
          </w:p>
        </w:tc>
        <w:tc>
          <w:tcPr>
            <w:tcW w:w="75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0" w:hRule="atLeast"/>
          <w:jc w:val="center"/>
        </w:trPr>
        <w:tc>
          <w:tcPr>
            <w:tcW w:w="2341"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　　2.民生事务管理</w:t>
            </w:r>
          </w:p>
        </w:tc>
        <w:tc>
          <w:tcPr>
            <w:tcW w:w="1276"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查灾、核灾、记灾、上报灾情，协助主管局分发救灾款物，指导灾民开展生产自救；收缴城乡居民养老保险金，医疗保险，按月发放60岁以上人员的养老保险金；核实80岁以上人员信息，适时发放高龄补贴；开展移民管理服务工作，核实移民信息，做好移民生产生活补贴的发放；低保、五保、医疗救助的申报，做好残疾人扶贫资金、托养资金的发放；开展辖区内低保、五保、困难户等危房改造管理工作；开展拥军优属工作；开展文化活动建设。</w:t>
            </w:r>
          </w:p>
        </w:tc>
        <w:tc>
          <w:tcPr>
            <w:tcW w:w="2976"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民生事务按时落实。及时审核、发放各项民生资金，开展拥军优属，危房改造。</w:t>
            </w: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核查统计工作完成率</w:t>
            </w:r>
          </w:p>
        </w:tc>
        <w:tc>
          <w:tcPr>
            <w:tcW w:w="75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0" w:hRule="atLeast"/>
          <w:jc w:val="center"/>
        </w:trPr>
        <w:tc>
          <w:tcPr>
            <w:tcW w:w="2341"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2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困难残疾人生活补贴发放</w:t>
            </w:r>
          </w:p>
        </w:tc>
        <w:tc>
          <w:tcPr>
            <w:tcW w:w="75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0" w:hRule="atLeast"/>
          <w:jc w:val="center"/>
        </w:trPr>
        <w:tc>
          <w:tcPr>
            <w:tcW w:w="2341"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2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优抚对象抚恤和生活补助兑现率</w:t>
            </w:r>
          </w:p>
        </w:tc>
        <w:tc>
          <w:tcPr>
            <w:tcW w:w="75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8" w:hRule="atLeast"/>
          <w:jc w:val="center"/>
        </w:trPr>
        <w:tc>
          <w:tcPr>
            <w:tcW w:w="2341" w:type="dxa"/>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四、土地规划管理工作</w:t>
            </w:r>
          </w:p>
          <w:p>
            <w:pPr>
              <w:spacing w:line="300" w:lineRule="exact"/>
              <w:jc w:val="left"/>
              <w:rPr>
                <w:rFonts w:ascii="方正书宋_GBK" w:hAnsi="方正书宋_GBK" w:eastAsia="方正书宋_GBK" w:cs="方正书宋_GBK"/>
                <w:b/>
              </w:rPr>
            </w:pPr>
          </w:p>
        </w:tc>
        <w:tc>
          <w:tcPr>
            <w:tcW w:w="1276" w:type="dxa"/>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管理处范围内土地规划管理</w:t>
            </w:r>
          </w:p>
          <w:p>
            <w:pPr>
              <w:spacing w:line="300" w:lineRule="exact"/>
              <w:jc w:val="left"/>
              <w:rPr>
                <w:rFonts w:ascii="方正书宋_GBK" w:hAnsi="方正书宋_GBK" w:eastAsia="方正书宋_GBK" w:cs="方正书宋_GBK"/>
              </w:rPr>
            </w:pPr>
          </w:p>
        </w:tc>
        <w:tc>
          <w:tcPr>
            <w:tcW w:w="2976" w:type="dxa"/>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做好辖区内土地规划、危房改造、大气污染治理工作</w:t>
            </w:r>
          </w:p>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75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0" w:hRule="atLeast"/>
          <w:jc w:val="center"/>
        </w:trPr>
        <w:tc>
          <w:tcPr>
            <w:tcW w:w="2341" w:type="dxa"/>
            <w:vMerge w:val="restart"/>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p>
            <w:pPr>
              <w:spacing w:line="300" w:lineRule="exact"/>
              <w:jc w:val="left"/>
              <w:rPr>
                <w:rFonts w:ascii="方正书宋_GBK" w:hAnsi="方正书宋_GBK" w:eastAsia="方正书宋_GBK" w:cs="方正书宋_GBK"/>
                <w:b/>
              </w:rPr>
            </w:pPr>
          </w:p>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　　1.辖区15个行政村的土地管理、美丽乡村建设。</w:t>
            </w:r>
          </w:p>
        </w:tc>
        <w:tc>
          <w:tcPr>
            <w:tcW w:w="1276" w:type="dxa"/>
            <w:vMerge w:val="restart"/>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tc>
        <w:tc>
          <w:tcPr>
            <w:tcW w:w="2976" w:type="dxa"/>
            <w:vMerge w:val="restart"/>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负责本辖区内农用地转用，土地征用报批的前期准备工作。负责土地收购储备的前期核查工作。积极配合新型城镇化办公室，推进美丽乡村建设，加大农村环境综合整治，切实改善居住环境。</w:t>
            </w:r>
          </w:p>
        </w:tc>
        <w:tc>
          <w:tcPr>
            <w:tcW w:w="2976" w:type="dxa"/>
            <w:vMerge w:val="restart"/>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土地征收、收储工作，协调农民在土地收储工作中存在的问题及矛盾。积极配合，加强整治推进美丽乡村建设，加大农村环境综合整治，切实改善居住环境。</w:t>
            </w: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严格按要求完成</w:t>
            </w:r>
          </w:p>
        </w:tc>
        <w:tc>
          <w:tcPr>
            <w:tcW w:w="75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p>
            <w:pPr>
              <w:spacing w:line="300" w:lineRule="exact"/>
              <w:jc w:val="center"/>
              <w:rPr>
                <w:rFonts w:ascii="方正书宋_GBK" w:hAnsi="方正书宋_GBK" w:eastAsia="方正书宋_GBK" w:cs="方正书宋_GBK"/>
              </w:rPr>
            </w:pPr>
          </w:p>
        </w:tc>
        <w:tc>
          <w:tcPr>
            <w:tcW w:w="73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p>
            <w:pPr>
              <w:spacing w:line="300" w:lineRule="exact"/>
              <w:jc w:val="center"/>
              <w:rPr>
                <w:rFonts w:ascii="方正书宋_GBK" w:hAnsi="方正书宋_GBK" w:eastAsia="方正书宋_GBK" w:cs="方正书宋_GBK"/>
              </w:rPr>
            </w:pPr>
          </w:p>
        </w:tc>
        <w:tc>
          <w:tcPr>
            <w:tcW w:w="73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tc>
        <w:tc>
          <w:tcPr>
            <w:tcW w:w="73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0" w:hRule="atLeast"/>
          <w:jc w:val="center"/>
        </w:trPr>
        <w:tc>
          <w:tcPr>
            <w:tcW w:w="234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项目建设完成进度</w:t>
            </w:r>
          </w:p>
        </w:tc>
        <w:tc>
          <w:tcPr>
            <w:tcW w:w="75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0" w:hRule="atLeast"/>
          <w:jc w:val="center"/>
        </w:trPr>
        <w:tc>
          <w:tcPr>
            <w:tcW w:w="234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规划编制完整</w:t>
            </w:r>
          </w:p>
        </w:tc>
        <w:tc>
          <w:tcPr>
            <w:tcW w:w="75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0" w:hRule="atLeast"/>
          <w:jc w:val="center"/>
        </w:trPr>
        <w:tc>
          <w:tcPr>
            <w:tcW w:w="2341" w:type="dxa"/>
            <w:vMerge w:val="restart"/>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　2.　环保</w:t>
            </w:r>
          </w:p>
        </w:tc>
        <w:tc>
          <w:tcPr>
            <w:tcW w:w="1276" w:type="dxa"/>
            <w:vMerge w:val="restart"/>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tc>
        <w:tc>
          <w:tcPr>
            <w:tcW w:w="2976" w:type="dxa"/>
            <w:vMerge w:val="restart"/>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加强环保法宣传，健全环保三级网格化监管机制，建立环保档案，协助上级环保部门防治水、噪声和大气污染工作。</w:t>
            </w:r>
          </w:p>
        </w:tc>
        <w:tc>
          <w:tcPr>
            <w:tcW w:w="2976" w:type="dxa"/>
            <w:vMerge w:val="restart"/>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加强宣传、规范档案、做好辖区15个行政村的环境卫生工作。</w:t>
            </w: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政策宣传率（%）</w:t>
            </w:r>
          </w:p>
        </w:tc>
        <w:tc>
          <w:tcPr>
            <w:tcW w:w="75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p>
            <w:pPr>
              <w:spacing w:line="300" w:lineRule="exact"/>
              <w:jc w:val="center"/>
              <w:rPr>
                <w:rFonts w:ascii="方正书宋_GBK" w:hAnsi="方正书宋_GBK" w:eastAsia="方正书宋_GBK" w:cs="方正书宋_GBK"/>
              </w:rPr>
            </w:pP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0" w:hRule="atLeast"/>
          <w:jc w:val="center"/>
        </w:trPr>
        <w:tc>
          <w:tcPr>
            <w:tcW w:w="2341" w:type="dxa"/>
            <w:vMerge w:val="continue"/>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276" w:type="dxa"/>
            <w:vMerge w:val="continue"/>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环保检查管理</w:t>
            </w:r>
          </w:p>
        </w:tc>
        <w:tc>
          <w:tcPr>
            <w:tcW w:w="75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p>
            <w:pPr>
              <w:spacing w:line="300" w:lineRule="exact"/>
              <w:jc w:val="center"/>
              <w:rPr>
                <w:rFonts w:ascii="方正书宋_GBK" w:hAnsi="方正书宋_GBK" w:eastAsia="方正书宋_GBK" w:cs="方正书宋_GBK"/>
              </w:rPr>
            </w:pPr>
          </w:p>
        </w:tc>
        <w:tc>
          <w:tcPr>
            <w:tcW w:w="73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0" w:hRule="atLeast"/>
          <w:jc w:val="center"/>
        </w:trPr>
        <w:tc>
          <w:tcPr>
            <w:tcW w:w="234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密切配合、协助上级工作</w:t>
            </w:r>
          </w:p>
        </w:tc>
        <w:tc>
          <w:tcPr>
            <w:tcW w:w="75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tc>
        <w:tc>
          <w:tcPr>
            <w:tcW w:w="73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p>
            <w:pPr>
              <w:spacing w:line="300" w:lineRule="exact"/>
              <w:jc w:val="left"/>
              <w:rPr>
                <w:rFonts w:ascii="方正书宋_GBK" w:hAnsi="方正书宋_GBK" w:eastAsia="方正书宋_GBK" w:cs="方正书宋_GBK"/>
                <w:b/>
              </w:rPr>
            </w:pPr>
          </w:p>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五、综合治理工作</w:t>
            </w:r>
          </w:p>
          <w:p>
            <w:pPr>
              <w:spacing w:line="300" w:lineRule="exact"/>
              <w:jc w:val="left"/>
              <w:rPr>
                <w:rFonts w:ascii="方正书宋_GBK" w:hAnsi="方正书宋_GBK" w:eastAsia="方正书宋_GBK" w:cs="方正书宋_GBK"/>
                <w:b/>
              </w:rPr>
            </w:pPr>
          </w:p>
        </w:tc>
        <w:tc>
          <w:tcPr>
            <w:tcW w:w="1276" w:type="dxa"/>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tc>
        <w:tc>
          <w:tcPr>
            <w:tcW w:w="2976" w:type="dxa"/>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安全生产、司法、信访维稳</w:t>
            </w:r>
          </w:p>
          <w:p>
            <w:pPr>
              <w:spacing w:line="300" w:lineRule="exact"/>
              <w:jc w:val="left"/>
              <w:rPr>
                <w:rFonts w:ascii="方正书宋_GBK" w:hAnsi="方正书宋_GBK" w:eastAsia="方正书宋_GBK" w:cs="方正书宋_GBK"/>
              </w:rPr>
            </w:pPr>
          </w:p>
        </w:tc>
        <w:tc>
          <w:tcPr>
            <w:tcW w:w="2976" w:type="dxa"/>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做好安全生产和社区矫正、信访稳定工作</w:t>
            </w:r>
          </w:p>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75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2341"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p>
            <w:pPr>
              <w:spacing w:line="300" w:lineRule="exact"/>
              <w:jc w:val="left"/>
              <w:rPr>
                <w:rFonts w:ascii="方正书宋_GBK" w:hAnsi="方正书宋_GBK" w:eastAsia="方正书宋_GBK" w:cs="方正书宋_GBK"/>
                <w:b/>
              </w:rPr>
            </w:pPr>
          </w:p>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　　1.社区矫正</w:t>
            </w:r>
          </w:p>
          <w:p>
            <w:pPr>
              <w:spacing w:line="300" w:lineRule="exact"/>
              <w:jc w:val="left"/>
              <w:rPr>
                <w:rFonts w:ascii="方正书宋_GBK" w:hAnsi="方正书宋_GBK" w:eastAsia="方正书宋_GBK" w:cs="方正书宋_GBK"/>
                <w:b/>
              </w:rPr>
            </w:pPr>
          </w:p>
        </w:tc>
        <w:tc>
          <w:tcPr>
            <w:tcW w:w="1276"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tc>
        <w:tc>
          <w:tcPr>
            <w:tcW w:w="2976"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协助管理社区矫正人员，宣传普及法律知识。</w:t>
            </w:r>
          </w:p>
          <w:p>
            <w:pPr>
              <w:spacing w:line="300" w:lineRule="exact"/>
              <w:jc w:val="left"/>
              <w:rPr>
                <w:rFonts w:ascii="方正书宋_GBK" w:hAnsi="方正书宋_GBK" w:eastAsia="方正书宋_GBK" w:cs="方正书宋_GBK"/>
              </w:rPr>
            </w:pPr>
          </w:p>
        </w:tc>
        <w:tc>
          <w:tcPr>
            <w:tcW w:w="2976" w:type="dxa"/>
            <w:vMerge w:val="restart"/>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做好社区矫正人员的思想工作，宣传法律知识。</w:t>
            </w:r>
          </w:p>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加强管理，减少犯罪</w:t>
            </w:r>
          </w:p>
        </w:tc>
        <w:tc>
          <w:tcPr>
            <w:tcW w:w="75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2341"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2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开展法律援助工作</w:t>
            </w:r>
          </w:p>
        </w:tc>
        <w:tc>
          <w:tcPr>
            <w:tcW w:w="75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p>
            <w:pPr>
              <w:spacing w:line="300" w:lineRule="exact"/>
              <w:jc w:val="center"/>
              <w:rPr>
                <w:rFonts w:ascii="方正书宋_GBK" w:hAnsi="方正书宋_GBK" w:eastAsia="方正书宋_GBK" w:cs="方正书宋_GBK"/>
              </w:rPr>
            </w:pP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2341" w:type="dxa"/>
            <w:vMerge w:val="continue"/>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276" w:type="dxa"/>
            <w:vMerge w:val="continue"/>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按时组织矫正人员培训</w:t>
            </w:r>
          </w:p>
        </w:tc>
        <w:tc>
          <w:tcPr>
            <w:tcW w:w="75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p>
            <w:pPr>
              <w:spacing w:line="300" w:lineRule="exact"/>
              <w:jc w:val="center"/>
              <w:rPr>
                <w:rFonts w:ascii="方正书宋_GBK" w:hAnsi="方正书宋_GBK" w:eastAsia="方正书宋_GBK" w:cs="方正书宋_GBK"/>
              </w:rPr>
            </w:pPr>
          </w:p>
        </w:tc>
        <w:tc>
          <w:tcPr>
            <w:tcW w:w="73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tc>
        <w:tc>
          <w:tcPr>
            <w:tcW w:w="737" w:type="dxa"/>
            <w:tcBorders>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0" w:hRule="atLeast"/>
          <w:jc w:val="center"/>
        </w:trPr>
        <w:tc>
          <w:tcPr>
            <w:tcW w:w="234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　2.综治、安全生产、食品安全、信访稳定、应急</w:t>
            </w:r>
          </w:p>
        </w:tc>
        <w:tc>
          <w:tcPr>
            <w:tcW w:w="12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tc>
        <w:tc>
          <w:tcPr>
            <w:tcW w:w="29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开展社会治安综合治理工作；宣传、贯彻、执行安全生产法律法规，定期向上级报告安全生产工作情况；协助新区食药监科做好食品安全工作；依法治访、信访稳控、解决矛盾纠纷；做好突发事件的应急处置工作</w:t>
            </w:r>
          </w:p>
        </w:tc>
        <w:tc>
          <w:tcPr>
            <w:tcW w:w="29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做好辖区内的综合治理工作，创建平安、和谐氛围；协助上级安检部门做好辖区内安全生产宣传检查工作，增强安全生产意识； 协助新区食药监科做好食品安全工作；依法、依归解决辖区内存在的信访矛盾；规范管理，做好突发事件的应急处置工作</w:t>
            </w: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ascii="宋体" w:hAnsi="宋体" w:eastAsia="宋体" w:cs="宋体"/>
                <w:sz w:val="18"/>
                <w:szCs w:val="18"/>
              </w:rPr>
            </w:pPr>
            <w:r>
              <w:rPr>
                <w:rFonts w:hint="eastAsia"/>
                <w:sz w:val="18"/>
                <w:szCs w:val="18"/>
              </w:rPr>
              <w:t>加强综合治理，规范信访行为</w:t>
            </w:r>
          </w:p>
          <w:p>
            <w:pPr>
              <w:spacing w:line="300" w:lineRule="exact"/>
              <w:jc w:val="left"/>
              <w:rPr>
                <w:rFonts w:ascii="方正书宋_GBK" w:hAnsi="方正书宋_GBK" w:eastAsia="方正书宋_GBK" w:cs="方正书宋_GBK"/>
              </w:rPr>
            </w:pPr>
          </w:p>
        </w:tc>
        <w:tc>
          <w:tcPr>
            <w:tcW w:w="75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0" w:hRule="atLeast"/>
          <w:jc w:val="center"/>
        </w:trPr>
        <w:tc>
          <w:tcPr>
            <w:tcW w:w="2341" w:type="dxa"/>
            <w:vMerge w:val="continue"/>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276" w:type="dxa"/>
            <w:vMerge w:val="continue"/>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top w:val="single" w:color="000000" w:sz="6" w:space="0"/>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left"/>
              <w:rPr>
                <w:rFonts w:ascii="宋体" w:hAnsi="宋体" w:eastAsia="宋体" w:cs="宋体"/>
                <w:sz w:val="18"/>
                <w:szCs w:val="18"/>
              </w:rPr>
            </w:pPr>
            <w:r>
              <w:rPr>
                <w:rFonts w:hint="eastAsia"/>
                <w:sz w:val="18"/>
                <w:szCs w:val="18"/>
              </w:rPr>
              <w:t>开展安全生产，处理突发事件</w:t>
            </w:r>
          </w:p>
          <w:p>
            <w:pPr>
              <w:spacing w:line="300" w:lineRule="exact"/>
              <w:jc w:val="left"/>
              <w:rPr>
                <w:rFonts w:ascii="方正书宋_GBK" w:hAnsi="方正书宋_GBK" w:eastAsia="方正书宋_GBK" w:cs="方正书宋_GBK"/>
              </w:rPr>
            </w:pPr>
          </w:p>
        </w:tc>
        <w:tc>
          <w:tcPr>
            <w:tcW w:w="75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95%</w:t>
            </w: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tc>
        <w:tc>
          <w:tcPr>
            <w:tcW w:w="737" w:type="dxa"/>
            <w:tcBorders>
              <w:top w:val="single" w:color="000000" w:sz="6" w:space="0"/>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p>
          <w:p>
            <w:pPr>
              <w:spacing w:line="300" w:lineRule="exact"/>
              <w:jc w:val="center"/>
              <w:rPr>
                <w:rFonts w:ascii="方正书宋_GBK" w:hAnsi="方正书宋_GBK" w:eastAsia="方正书宋_GBK" w:cs="方正书宋_GBK"/>
              </w:rPr>
            </w:pPr>
            <w:r>
              <w:rPr>
                <w:rFonts w:hint="eastAsia" w:ascii="宋体" w:hAnsi="宋体" w:eastAsia="宋体" w:cs="宋体"/>
              </w:rPr>
              <w:t>≦</w:t>
            </w:r>
            <w:r>
              <w:rPr>
                <w:rFonts w:hint="eastAsia" w:ascii="方正书宋_GBK" w:hAnsi="方正书宋_GBK" w:eastAsia="方正书宋_GBK" w:cs="方正书宋_GBK"/>
              </w:rPr>
              <w:t>90%</w:t>
            </w:r>
          </w:p>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4" w:hRule="atLeast"/>
          <w:jc w:val="center"/>
        </w:trPr>
        <w:tc>
          <w:tcPr>
            <w:tcW w:w="2341"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p>
        </w:tc>
        <w:tc>
          <w:tcPr>
            <w:tcW w:w="12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vMerge w:val="continue"/>
            <w:tcBorders>
              <w:left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1397" w:type="dxa"/>
            <w:tcBorders>
              <w:top w:val="single" w:color="000000" w:sz="6" w:space="0"/>
              <w:left w:val="single" w:color="000000" w:sz="6" w:space="0"/>
              <w:right w:val="single" w:color="000000" w:sz="6" w:space="0"/>
            </w:tcBorders>
            <w:shd w:val="clear" w:color="auto" w:fill="auto"/>
            <w:vAlign w:val="center"/>
          </w:tcPr>
          <w:p>
            <w:pPr>
              <w:jc w:val="left"/>
              <w:rPr>
                <w:rFonts w:ascii="宋体" w:hAnsi="宋体" w:eastAsia="宋体" w:cs="宋体"/>
                <w:sz w:val="18"/>
                <w:szCs w:val="18"/>
              </w:rPr>
            </w:pPr>
            <w:r>
              <w:rPr>
                <w:rFonts w:hint="eastAsia"/>
                <w:sz w:val="18"/>
                <w:szCs w:val="18"/>
              </w:rPr>
              <w:t>越级非访率</w:t>
            </w:r>
          </w:p>
          <w:p>
            <w:pPr>
              <w:spacing w:line="300" w:lineRule="exact"/>
              <w:jc w:val="left"/>
              <w:rPr>
                <w:rFonts w:ascii="方正书宋_GBK" w:hAnsi="方正书宋_GBK" w:eastAsia="方正书宋_GBK" w:cs="方正书宋_GBK"/>
              </w:rPr>
            </w:pPr>
          </w:p>
        </w:tc>
        <w:tc>
          <w:tcPr>
            <w:tcW w:w="75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left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r>
    </w:tbl>
    <w:p>
      <w:pPr>
        <w:rPr>
          <w:rFonts w:ascii="Times New Roman" w:hAnsi="Times New Roman" w:eastAsia="宋体" w:cs="Times New Roman"/>
        </w:rPr>
        <w:sectPr>
          <w:pgSz w:w="16839" w:h="11915" w:orient="landscape"/>
          <w:pgMar w:top="1020" w:right="1361" w:bottom="1020" w:left="1361" w:header="851" w:footer="992" w:gutter="0"/>
          <w:cols w:space="425" w:num="1"/>
          <w:docGrid w:type="lines" w:linePitch="312" w:charSpace="0"/>
        </w:sectPr>
      </w:pPr>
    </w:p>
    <w:p>
      <w:pPr>
        <w:ind w:firstLine="640" w:firstLineChars="200"/>
        <w:jc w:val="center"/>
        <w:rPr>
          <w:sz w:val="32"/>
          <w:szCs w:val="32"/>
        </w:rPr>
      </w:pPr>
    </w:p>
    <w:p>
      <w:pPr>
        <w:pStyle w:val="9"/>
        <w:numPr>
          <w:numId w:val="0"/>
        </w:numPr>
        <w:ind w:left="630" w:leftChars="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政府采购预算情况</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w:t>
      </w:r>
      <w:r>
        <w:rPr>
          <w:rFonts w:hint="eastAsia" w:ascii="Times New Roman" w:hAnsi="Times New Roman" w:eastAsia="方正仿宋简体" w:cs="Times New Roman"/>
          <w:sz w:val="32"/>
          <w:szCs w:val="32"/>
        </w:rPr>
        <w:t>9年我单位政府采购预算3.6万元，系城乡计算机、打印机设备。</w:t>
      </w:r>
    </w:p>
    <w:p>
      <w:r>
        <w:rPr>
          <w:rFonts w:hint="eastAsia"/>
        </w:rPr>
        <w:t>338秦皇岛北戴河新区团林管理处                                                                                         单位：万元</w:t>
      </w:r>
    </w:p>
    <w:tbl>
      <w:tblPr>
        <w:tblStyle w:val="5"/>
        <w:tblpPr w:leftFromText="180" w:rightFromText="180" w:vertAnchor="page" w:horzAnchor="page" w:tblpX="1476" w:tblpY="3233"/>
        <w:tblOverlap w:val="never"/>
        <w:tblW w:w="13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155"/>
        <w:gridCol w:w="978"/>
        <w:gridCol w:w="837"/>
        <w:gridCol w:w="660"/>
        <w:gridCol w:w="720"/>
        <w:gridCol w:w="945"/>
        <w:gridCol w:w="1005"/>
        <w:gridCol w:w="870"/>
        <w:gridCol w:w="930"/>
        <w:gridCol w:w="975"/>
        <w:gridCol w:w="855"/>
        <w:gridCol w:w="90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5" w:type="dxa"/>
            <w:gridSpan w:val="2"/>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政府采购项目来源</w:t>
            </w:r>
          </w:p>
        </w:tc>
        <w:tc>
          <w:tcPr>
            <w:tcW w:w="978" w:type="dxa"/>
            <w:vMerge w:val="restart"/>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采购物品名称</w:t>
            </w:r>
          </w:p>
        </w:tc>
        <w:tc>
          <w:tcPr>
            <w:tcW w:w="837" w:type="dxa"/>
            <w:vMerge w:val="restart"/>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政府采购目录序号</w:t>
            </w:r>
          </w:p>
        </w:tc>
        <w:tc>
          <w:tcPr>
            <w:tcW w:w="660" w:type="dxa"/>
            <w:vMerge w:val="restart"/>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数量单位</w:t>
            </w:r>
          </w:p>
        </w:tc>
        <w:tc>
          <w:tcPr>
            <w:tcW w:w="720" w:type="dxa"/>
            <w:vMerge w:val="restart"/>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w:t>
            </w:r>
          </w:p>
        </w:tc>
        <w:tc>
          <w:tcPr>
            <w:tcW w:w="945" w:type="dxa"/>
            <w:vMerge w:val="restart"/>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单价</w:t>
            </w:r>
          </w:p>
        </w:tc>
        <w:tc>
          <w:tcPr>
            <w:tcW w:w="6285" w:type="dxa"/>
            <w:gridSpan w:val="7"/>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政府采购金额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Merge w:val="restart"/>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1155" w:type="dxa"/>
            <w:vMerge w:val="restart"/>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预算资金</w:t>
            </w:r>
          </w:p>
        </w:tc>
        <w:tc>
          <w:tcPr>
            <w:tcW w:w="978" w:type="dxa"/>
            <w:vMerge w:val="continue"/>
            <w:vAlign w:val="center"/>
          </w:tcPr>
          <w:p>
            <w:pPr>
              <w:spacing w:line="300" w:lineRule="exact"/>
              <w:jc w:val="left"/>
              <w:rPr>
                <w:rFonts w:ascii="方正书宋_GBK" w:hAnsi="方正书宋_GBK" w:eastAsia="方正书宋_GBK" w:cs="方正书宋_GBK"/>
                <w:b/>
              </w:rPr>
            </w:pPr>
          </w:p>
        </w:tc>
        <w:tc>
          <w:tcPr>
            <w:tcW w:w="837" w:type="dxa"/>
            <w:vMerge w:val="continue"/>
            <w:vAlign w:val="center"/>
          </w:tcPr>
          <w:p>
            <w:pPr>
              <w:spacing w:line="300" w:lineRule="exact"/>
              <w:jc w:val="left"/>
              <w:rPr>
                <w:rFonts w:ascii="方正书宋_GBK" w:hAnsi="方正书宋_GBK" w:eastAsia="方正书宋_GBK" w:cs="方正书宋_GBK"/>
                <w:b/>
              </w:rPr>
            </w:pPr>
          </w:p>
        </w:tc>
        <w:tc>
          <w:tcPr>
            <w:tcW w:w="660" w:type="dxa"/>
            <w:vMerge w:val="continue"/>
            <w:vAlign w:val="center"/>
          </w:tcPr>
          <w:p>
            <w:pPr>
              <w:spacing w:line="300" w:lineRule="exact"/>
              <w:jc w:val="left"/>
              <w:rPr>
                <w:rFonts w:ascii="方正书宋_GBK" w:hAnsi="方正书宋_GBK" w:eastAsia="方正书宋_GBK" w:cs="方正书宋_GBK"/>
                <w:b/>
              </w:rPr>
            </w:pPr>
          </w:p>
        </w:tc>
        <w:tc>
          <w:tcPr>
            <w:tcW w:w="720" w:type="dxa"/>
            <w:vMerge w:val="continue"/>
            <w:vAlign w:val="center"/>
          </w:tcPr>
          <w:p>
            <w:pPr>
              <w:spacing w:line="300" w:lineRule="exact"/>
              <w:jc w:val="left"/>
              <w:rPr>
                <w:rFonts w:ascii="方正书宋_GBK" w:hAnsi="方正书宋_GBK" w:eastAsia="方正书宋_GBK" w:cs="方正书宋_GBK"/>
                <w:b/>
              </w:rPr>
            </w:pPr>
          </w:p>
        </w:tc>
        <w:tc>
          <w:tcPr>
            <w:tcW w:w="945" w:type="dxa"/>
            <w:vMerge w:val="continue"/>
            <w:vAlign w:val="center"/>
          </w:tcPr>
          <w:p>
            <w:pPr>
              <w:spacing w:line="300" w:lineRule="exact"/>
              <w:jc w:val="left"/>
              <w:rPr>
                <w:rFonts w:ascii="方正书宋_GBK" w:hAnsi="方正书宋_GBK" w:eastAsia="方正书宋_GBK" w:cs="方正书宋_GBK"/>
                <w:b/>
              </w:rPr>
            </w:pPr>
          </w:p>
        </w:tc>
        <w:tc>
          <w:tcPr>
            <w:tcW w:w="1005" w:type="dxa"/>
            <w:vMerge w:val="restart"/>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总计</w:t>
            </w:r>
          </w:p>
        </w:tc>
        <w:tc>
          <w:tcPr>
            <w:tcW w:w="4530" w:type="dxa"/>
            <w:gridSpan w:val="5"/>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当年部门预算安排资金</w:t>
            </w:r>
          </w:p>
        </w:tc>
        <w:tc>
          <w:tcPr>
            <w:tcW w:w="750" w:type="dxa"/>
            <w:vMerge w:val="restart"/>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其他渠道资金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Merge w:val="continue"/>
            <w:vAlign w:val="center"/>
          </w:tcPr>
          <w:p>
            <w:pPr>
              <w:spacing w:line="300" w:lineRule="exact"/>
              <w:jc w:val="left"/>
              <w:rPr>
                <w:rFonts w:ascii="方正书宋_GBK" w:hAnsi="方正书宋_GBK" w:eastAsia="方正书宋_GBK" w:cs="方正书宋_GBK"/>
                <w:b/>
              </w:rPr>
            </w:pPr>
          </w:p>
        </w:tc>
        <w:tc>
          <w:tcPr>
            <w:tcW w:w="1155" w:type="dxa"/>
            <w:vMerge w:val="continue"/>
            <w:vAlign w:val="center"/>
          </w:tcPr>
          <w:p>
            <w:pPr>
              <w:spacing w:line="300" w:lineRule="exact"/>
              <w:jc w:val="left"/>
              <w:rPr>
                <w:rFonts w:ascii="方正书宋_GBK" w:hAnsi="方正书宋_GBK" w:eastAsia="方正书宋_GBK" w:cs="方正书宋_GBK"/>
                <w:b/>
              </w:rPr>
            </w:pPr>
          </w:p>
        </w:tc>
        <w:tc>
          <w:tcPr>
            <w:tcW w:w="978" w:type="dxa"/>
            <w:vMerge w:val="continue"/>
            <w:vAlign w:val="center"/>
          </w:tcPr>
          <w:p>
            <w:pPr>
              <w:spacing w:line="300" w:lineRule="exact"/>
              <w:jc w:val="left"/>
              <w:rPr>
                <w:rFonts w:ascii="方正书宋_GBK" w:hAnsi="方正书宋_GBK" w:eastAsia="方正书宋_GBK" w:cs="方正书宋_GBK"/>
                <w:b/>
              </w:rPr>
            </w:pPr>
          </w:p>
        </w:tc>
        <w:tc>
          <w:tcPr>
            <w:tcW w:w="837" w:type="dxa"/>
            <w:vMerge w:val="continue"/>
            <w:vAlign w:val="center"/>
          </w:tcPr>
          <w:p>
            <w:pPr>
              <w:spacing w:line="300" w:lineRule="exact"/>
              <w:jc w:val="left"/>
              <w:rPr>
                <w:rFonts w:ascii="方正书宋_GBK" w:hAnsi="方正书宋_GBK" w:eastAsia="方正书宋_GBK" w:cs="方正书宋_GBK"/>
                <w:b/>
              </w:rPr>
            </w:pPr>
          </w:p>
        </w:tc>
        <w:tc>
          <w:tcPr>
            <w:tcW w:w="660" w:type="dxa"/>
            <w:vMerge w:val="continue"/>
            <w:vAlign w:val="center"/>
          </w:tcPr>
          <w:p>
            <w:pPr>
              <w:spacing w:line="300" w:lineRule="exact"/>
              <w:jc w:val="left"/>
              <w:rPr>
                <w:rFonts w:ascii="方正书宋_GBK" w:hAnsi="方正书宋_GBK" w:eastAsia="方正书宋_GBK" w:cs="方正书宋_GBK"/>
                <w:b/>
              </w:rPr>
            </w:pPr>
          </w:p>
        </w:tc>
        <w:tc>
          <w:tcPr>
            <w:tcW w:w="720" w:type="dxa"/>
            <w:vMerge w:val="continue"/>
            <w:vAlign w:val="center"/>
          </w:tcPr>
          <w:p>
            <w:pPr>
              <w:spacing w:line="300" w:lineRule="exact"/>
              <w:jc w:val="left"/>
              <w:rPr>
                <w:rFonts w:ascii="方正书宋_GBK" w:hAnsi="方正书宋_GBK" w:eastAsia="方正书宋_GBK" w:cs="方正书宋_GBK"/>
                <w:b/>
              </w:rPr>
            </w:pPr>
          </w:p>
        </w:tc>
        <w:tc>
          <w:tcPr>
            <w:tcW w:w="945" w:type="dxa"/>
            <w:vMerge w:val="continue"/>
            <w:vAlign w:val="center"/>
          </w:tcPr>
          <w:p>
            <w:pPr>
              <w:spacing w:line="300" w:lineRule="exact"/>
              <w:jc w:val="left"/>
              <w:rPr>
                <w:rFonts w:ascii="方正书宋_GBK" w:hAnsi="方正书宋_GBK" w:eastAsia="方正书宋_GBK" w:cs="方正书宋_GBK"/>
                <w:b/>
              </w:rPr>
            </w:pPr>
          </w:p>
        </w:tc>
        <w:tc>
          <w:tcPr>
            <w:tcW w:w="1005" w:type="dxa"/>
            <w:vMerge w:val="continue"/>
            <w:vAlign w:val="center"/>
          </w:tcPr>
          <w:p>
            <w:pPr>
              <w:spacing w:line="300" w:lineRule="exact"/>
              <w:jc w:val="left"/>
              <w:rPr>
                <w:rFonts w:ascii="方正书宋_GBK" w:hAnsi="方正书宋_GBK" w:eastAsia="方正书宋_GBK" w:cs="方正书宋_GBK"/>
                <w:b/>
              </w:rPr>
            </w:pPr>
          </w:p>
        </w:tc>
        <w:tc>
          <w:tcPr>
            <w:tcW w:w="870"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合计</w:t>
            </w:r>
          </w:p>
        </w:tc>
        <w:tc>
          <w:tcPr>
            <w:tcW w:w="930"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一般公共预算拨款</w:t>
            </w:r>
          </w:p>
        </w:tc>
        <w:tc>
          <w:tcPr>
            <w:tcW w:w="975"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基金预算拨款</w:t>
            </w:r>
          </w:p>
        </w:tc>
        <w:tc>
          <w:tcPr>
            <w:tcW w:w="855"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政府专户核拨</w:t>
            </w:r>
          </w:p>
        </w:tc>
        <w:tc>
          <w:tcPr>
            <w:tcW w:w="900"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其他来源收入</w:t>
            </w:r>
          </w:p>
        </w:tc>
        <w:tc>
          <w:tcPr>
            <w:tcW w:w="750" w:type="dxa"/>
            <w:vMerge w:val="continue"/>
            <w:vAlign w:val="center"/>
          </w:tcPr>
          <w:p>
            <w:pPr>
              <w:spacing w:line="300" w:lineRule="exact"/>
              <w:jc w:val="left"/>
              <w:rPr>
                <w:rFonts w:ascii="方正书宋_GBK" w:hAnsi="方正书宋_GBK" w:eastAsia="方正书宋_GBK" w:cs="方正书宋_GBK"/>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合计</w:t>
            </w:r>
          </w:p>
        </w:tc>
        <w:tc>
          <w:tcPr>
            <w:tcW w:w="1155" w:type="dxa"/>
            <w:vAlign w:val="center"/>
          </w:tcPr>
          <w:p/>
        </w:tc>
        <w:tc>
          <w:tcPr>
            <w:tcW w:w="978" w:type="dxa"/>
            <w:vAlign w:val="center"/>
          </w:tcPr>
          <w:p/>
        </w:tc>
        <w:tc>
          <w:tcPr>
            <w:tcW w:w="837" w:type="dxa"/>
            <w:vAlign w:val="center"/>
          </w:tcPr>
          <w:p/>
        </w:tc>
        <w:tc>
          <w:tcPr>
            <w:tcW w:w="660" w:type="dxa"/>
            <w:vAlign w:val="center"/>
          </w:tcPr>
          <w:p/>
        </w:tc>
        <w:tc>
          <w:tcPr>
            <w:tcW w:w="720" w:type="dxa"/>
            <w:vAlign w:val="center"/>
          </w:tcPr>
          <w:p/>
        </w:tc>
        <w:tc>
          <w:tcPr>
            <w:tcW w:w="945" w:type="dxa"/>
            <w:vAlign w:val="center"/>
          </w:tcPr>
          <w:p/>
        </w:tc>
        <w:tc>
          <w:tcPr>
            <w:tcW w:w="1005" w:type="dxa"/>
            <w:vAlign w:val="center"/>
          </w:tcPr>
          <w:p>
            <w:r>
              <w:rPr>
                <w:rFonts w:hint="eastAsia"/>
              </w:rPr>
              <w:t>3.60</w:t>
            </w:r>
          </w:p>
        </w:tc>
        <w:tc>
          <w:tcPr>
            <w:tcW w:w="870" w:type="dxa"/>
            <w:vAlign w:val="center"/>
          </w:tcPr>
          <w:p>
            <w:r>
              <w:rPr>
                <w:rFonts w:hint="eastAsia"/>
              </w:rPr>
              <w:t>3.60</w:t>
            </w:r>
          </w:p>
        </w:tc>
        <w:tc>
          <w:tcPr>
            <w:tcW w:w="930" w:type="dxa"/>
            <w:vAlign w:val="center"/>
          </w:tcPr>
          <w:p>
            <w:r>
              <w:rPr>
                <w:rFonts w:hint="eastAsia"/>
              </w:rPr>
              <w:t>3.60</w:t>
            </w:r>
          </w:p>
        </w:tc>
        <w:tc>
          <w:tcPr>
            <w:tcW w:w="975" w:type="dxa"/>
            <w:vAlign w:val="center"/>
          </w:tcPr>
          <w:p/>
        </w:tc>
        <w:tc>
          <w:tcPr>
            <w:tcW w:w="855" w:type="dxa"/>
            <w:vAlign w:val="center"/>
          </w:tcPr>
          <w:p/>
        </w:tc>
        <w:tc>
          <w:tcPr>
            <w:tcW w:w="900" w:type="dxa"/>
            <w:vAlign w:val="center"/>
          </w:tcPr>
          <w:p/>
        </w:tc>
        <w:tc>
          <w:tcPr>
            <w:tcW w:w="7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秦皇岛北戴河新区团林街道办事处小计</w:t>
            </w:r>
          </w:p>
        </w:tc>
        <w:tc>
          <w:tcPr>
            <w:tcW w:w="1155" w:type="dxa"/>
            <w:vAlign w:val="center"/>
          </w:tcPr>
          <w:p/>
        </w:tc>
        <w:tc>
          <w:tcPr>
            <w:tcW w:w="978" w:type="dxa"/>
            <w:vAlign w:val="center"/>
          </w:tcPr>
          <w:p/>
        </w:tc>
        <w:tc>
          <w:tcPr>
            <w:tcW w:w="837" w:type="dxa"/>
            <w:vAlign w:val="center"/>
          </w:tcPr>
          <w:p/>
        </w:tc>
        <w:tc>
          <w:tcPr>
            <w:tcW w:w="660" w:type="dxa"/>
            <w:vAlign w:val="center"/>
          </w:tcPr>
          <w:p/>
        </w:tc>
        <w:tc>
          <w:tcPr>
            <w:tcW w:w="720" w:type="dxa"/>
            <w:vAlign w:val="center"/>
          </w:tcPr>
          <w:p/>
        </w:tc>
        <w:tc>
          <w:tcPr>
            <w:tcW w:w="945" w:type="dxa"/>
            <w:vAlign w:val="center"/>
          </w:tcPr>
          <w:p/>
        </w:tc>
        <w:tc>
          <w:tcPr>
            <w:tcW w:w="1005" w:type="dxa"/>
            <w:vAlign w:val="center"/>
          </w:tcPr>
          <w:p>
            <w:r>
              <w:rPr>
                <w:rFonts w:hint="eastAsia"/>
              </w:rPr>
              <w:t>3.60</w:t>
            </w:r>
          </w:p>
        </w:tc>
        <w:tc>
          <w:tcPr>
            <w:tcW w:w="870" w:type="dxa"/>
            <w:vAlign w:val="center"/>
          </w:tcPr>
          <w:p>
            <w:r>
              <w:rPr>
                <w:rFonts w:hint="eastAsia"/>
              </w:rPr>
              <w:t>3.60</w:t>
            </w:r>
          </w:p>
        </w:tc>
        <w:tc>
          <w:tcPr>
            <w:tcW w:w="930" w:type="dxa"/>
            <w:vAlign w:val="center"/>
          </w:tcPr>
          <w:p>
            <w:r>
              <w:rPr>
                <w:rFonts w:hint="eastAsia"/>
              </w:rPr>
              <w:t>3.60</w:t>
            </w:r>
          </w:p>
        </w:tc>
        <w:tc>
          <w:tcPr>
            <w:tcW w:w="975" w:type="dxa"/>
            <w:vAlign w:val="center"/>
          </w:tcPr>
          <w:p/>
        </w:tc>
        <w:tc>
          <w:tcPr>
            <w:tcW w:w="855" w:type="dxa"/>
            <w:vAlign w:val="center"/>
          </w:tcPr>
          <w:p/>
        </w:tc>
        <w:tc>
          <w:tcPr>
            <w:tcW w:w="900" w:type="dxa"/>
            <w:vAlign w:val="center"/>
          </w:tcPr>
          <w:p/>
        </w:tc>
        <w:tc>
          <w:tcPr>
            <w:tcW w:w="7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370"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日常公用经费</w:t>
            </w:r>
          </w:p>
        </w:tc>
        <w:tc>
          <w:tcPr>
            <w:tcW w:w="1155" w:type="dxa"/>
            <w:vAlign w:val="center"/>
          </w:tcPr>
          <w:p>
            <w:r>
              <w:rPr>
                <w:rFonts w:hint="eastAsia"/>
              </w:rPr>
              <w:t>61.96</w:t>
            </w:r>
          </w:p>
        </w:tc>
        <w:tc>
          <w:tcPr>
            <w:tcW w:w="978" w:type="dxa"/>
            <w:vAlign w:val="center"/>
          </w:tcPr>
          <w:p>
            <w:r>
              <w:rPr>
                <w:rFonts w:hint="eastAsia"/>
              </w:rPr>
              <w:t>计算机设备</w:t>
            </w:r>
          </w:p>
        </w:tc>
        <w:tc>
          <w:tcPr>
            <w:tcW w:w="837" w:type="dxa"/>
            <w:vAlign w:val="center"/>
          </w:tcPr>
          <w:p>
            <w:r>
              <w:rPr>
                <w:rFonts w:hint="eastAsia"/>
              </w:rPr>
              <w:t>A020101</w:t>
            </w:r>
          </w:p>
        </w:tc>
        <w:tc>
          <w:tcPr>
            <w:tcW w:w="660" w:type="dxa"/>
            <w:vAlign w:val="center"/>
          </w:tcPr>
          <w:p/>
        </w:tc>
        <w:tc>
          <w:tcPr>
            <w:tcW w:w="720" w:type="dxa"/>
            <w:vAlign w:val="center"/>
          </w:tcPr>
          <w:p>
            <w:r>
              <w:rPr>
                <w:rFonts w:hint="eastAsia"/>
              </w:rPr>
              <w:t>2.00</w:t>
            </w:r>
          </w:p>
        </w:tc>
        <w:tc>
          <w:tcPr>
            <w:tcW w:w="945" w:type="dxa"/>
            <w:vAlign w:val="center"/>
          </w:tcPr>
          <w:p>
            <w:r>
              <w:rPr>
                <w:rFonts w:hint="eastAsia"/>
              </w:rPr>
              <w:t>0.50</w:t>
            </w:r>
          </w:p>
        </w:tc>
        <w:tc>
          <w:tcPr>
            <w:tcW w:w="1005" w:type="dxa"/>
            <w:vAlign w:val="center"/>
          </w:tcPr>
          <w:p>
            <w:r>
              <w:rPr>
                <w:rFonts w:hint="eastAsia"/>
              </w:rPr>
              <w:t>1.00</w:t>
            </w:r>
          </w:p>
        </w:tc>
        <w:tc>
          <w:tcPr>
            <w:tcW w:w="870" w:type="dxa"/>
            <w:vAlign w:val="center"/>
          </w:tcPr>
          <w:p>
            <w:r>
              <w:rPr>
                <w:rFonts w:hint="eastAsia"/>
              </w:rPr>
              <w:t>1.00</w:t>
            </w:r>
          </w:p>
        </w:tc>
        <w:tc>
          <w:tcPr>
            <w:tcW w:w="930" w:type="dxa"/>
            <w:vAlign w:val="center"/>
          </w:tcPr>
          <w:p>
            <w:r>
              <w:rPr>
                <w:rFonts w:hint="eastAsia"/>
              </w:rPr>
              <w:t>1.00</w:t>
            </w:r>
          </w:p>
        </w:tc>
        <w:tc>
          <w:tcPr>
            <w:tcW w:w="975" w:type="dxa"/>
            <w:vAlign w:val="center"/>
          </w:tcPr>
          <w:p/>
        </w:tc>
        <w:tc>
          <w:tcPr>
            <w:tcW w:w="855" w:type="dxa"/>
            <w:vAlign w:val="center"/>
          </w:tcPr>
          <w:p/>
        </w:tc>
        <w:tc>
          <w:tcPr>
            <w:tcW w:w="900" w:type="dxa"/>
            <w:vAlign w:val="center"/>
          </w:tcPr>
          <w:p/>
        </w:tc>
        <w:tc>
          <w:tcPr>
            <w:tcW w:w="7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70"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日常公用经费</w:t>
            </w:r>
          </w:p>
        </w:tc>
        <w:tc>
          <w:tcPr>
            <w:tcW w:w="1155" w:type="dxa"/>
            <w:vAlign w:val="center"/>
          </w:tcPr>
          <w:p>
            <w:r>
              <w:rPr>
                <w:rFonts w:hint="eastAsia"/>
              </w:rPr>
              <w:t>61.96</w:t>
            </w:r>
          </w:p>
        </w:tc>
        <w:tc>
          <w:tcPr>
            <w:tcW w:w="978" w:type="dxa"/>
            <w:vAlign w:val="center"/>
          </w:tcPr>
          <w:p>
            <w:r>
              <w:rPr>
                <w:rFonts w:hint="eastAsia"/>
              </w:rPr>
              <w:t>打印设备</w:t>
            </w:r>
          </w:p>
        </w:tc>
        <w:tc>
          <w:tcPr>
            <w:tcW w:w="837" w:type="dxa"/>
            <w:vAlign w:val="center"/>
          </w:tcPr>
          <w:p>
            <w:r>
              <w:rPr>
                <w:rFonts w:hint="eastAsia"/>
              </w:rPr>
              <w:t>A02010601</w:t>
            </w:r>
          </w:p>
        </w:tc>
        <w:tc>
          <w:tcPr>
            <w:tcW w:w="660" w:type="dxa"/>
            <w:vAlign w:val="center"/>
          </w:tcPr>
          <w:p/>
        </w:tc>
        <w:tc>
          <w:tcPr>
            <w:tcW w:w="720" w:type="dxa"/>
            <w:vAlign w:val="center"/>
          </w:tcPr>
          <w:p>
            <w:r>
              <w:rPr>
                <w:rFonts w:hint="eastAsia"/>
              </w:rPr>
              <w:t>3.00</w:t>
            </w:r>
          </w:p>
        </w:tc>
        <w:tc>
          <w:tcPr>
            <w:tcW w:w="945" w:type="dxa"/>
            <w:vAlign w:val="center"/>
          </w:tcPr>
          <w:p>
            <w:r>
              <w:rPr>
                <w:rFonts w:hint="eastAsia"/>
              </w:rPr>
              <w:t>0.20</w:t>
            </w:r>
          </w:p>
        </w:tc>
        <w:tc>
          <w:tcPr>
            <w:tcW w:w="1005" w:type="dxa"/>
            <w:vAlign w:val="center"/>
          </w:tcPr>
          <w:p>
            <w:r>
              <w:rPr>
                <w:rFonts w:hint="eastAsia"/>
              </w:rPr>
              <w:t>0.60</w:t>
            </w:r>
          </w:p>
        </w:tc>
        <w:tc>
          <w:tcPr>
            <w:tcW w:w="870" w:type="dxa"/>
            <w:vAlign w:val="center"/>
          </w:tcPr>
          <w:p>
            <w:r>
              <w:rPr>
                <w:rFonts w:hint="eastAsia"/>
              </w:rPr>
              <w:t>0.60</w:t>
            </w:r>
          </w:p>
        </w:tc>
        <w:tc>
          <w:tcPr>
            <w:tcW w:w="930" w:type="dxa"/>
            <w:vAlign w:val="center"/>
          </w:tcPr>
          <w:p>
            <w:r>
              <w:rPr>
                <w:rFonts w:hint="eastAsia"/>
              </w:rPr>
              <w:t>0.60</w:t>
            </w:r>
          </w:p>
        </w:tc>
        <w:tc>
          <w:tcPr>
            <w:tcW w:w="975" w:type="dxa"/>
            <w:vAlign w:val="center"/>
          </w:tcPr>
          <w:p/>
        </w:tc>
        <w:tc>
          <w:tcPr>
            <w:tcW w:w="855" w:type="dxa"/>
            <w:vAlign w:val="center"/>
          </w:tcPr>
          <w:p/>
        </w:tc>
        <w:tc>
          <w:tcPr>
            <w:tcW w:w="900" w:type="dxa"/>
            <w:vAlign w:val="center"/>
          </w:tcPr>
          <w:p/>
        </w:tc>
        <w:tc>
          <w:tcPr>
            <w:tcW w:w="7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70"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农村事物经费</w:t>
            </w:r>
          </w:p>
        </w:tc>
        <w:tc>
          <w:tcPr>
            <w:tcW w:w="1155" w:type="dxa"/>
            <w:vAlign w:val="center"/>
          </w:tcPr>
          <w:p>
            <w:r>
              <w:rPr>
                <w:rFonts w:hint="eastAsia"/>
              </w:rPr>
              <w:t>100.00</w:t>
            </w:r>
          </w:p>
        </w:tc>
        <w:tc>
          <w:tcPr>
            <w:tcW w:w="978" w:type="dxa"/>
            <w:vAlign w:val="center"/>
          </w:tcPr>
          <w:p>
            <w:r>
              <w:rPr>
                <w:rFonts w:hint="eastAsia"/>
              </w:rPr>
              <w:t>计算机设备</w:t>
            </w:r>
          </w:p>
        </w:tc>
        <w:tc>
          <w:tcPr>
            <w:tcW w:w="837" w:type="dxa"/>
            <w:vAlign w:val="center"/>
          </w:tcPr>
          <w:p>
            <w:r>
              <w:rPr>
                <w:rFonts w:hint="eastAsia"/>
              </w:rPr>
              <w:t>A020101</w:t>
            </w:r>
          </w:p>
        </w:tc>
        <w:tc>
          <w:tcPr>
            <w:tcW w:w="660" w:type="dxa"/>
            <w:vAlign w:val="center"/>
          </w:tcPr>
          <w:p/>
        </w:tc>
        <w:tc>
          <w:tcPr>
            <w:tcW w:w="720" w:type="dxa"/>
            <w:vAlign w:val="center"/>
          </w:tcPr>
          <w:p>
            <w:r>
              <w:rPr>
                <w:rFonts w:hint="eastAsia"/>
              </w:rPr>
              <w:t>3.00</w:t>
            </w:r>
          </w:p>
        </w:tc>
        <w:tc>
          <w:tcPr>
            <w:tcW w:w="945" w:type="dxa"/>
            <w:vAlign w:val="center"/>
          </w:tcPr>
          <w:p>
            <w:r>
              <w:rPr>
                <w:rFonts w:hint="eastAsia"/>
              </w:rPr>
              <w:t>0.50</w:t>
            </w:r>
          </w:p>
        </w:tc>
        <w:tc>
          <w:tcPr>
            <w:tcW w:w="1005" w:type="dxa"/>
            <w:vAlign w:val="center"/>
          </w:tcPr>
          <w:p>
            <w:r>
              <w:rPr>
                <w:rFonts w:hint="eastAsia"/>
              </w:rPr>
              <w:t>1.50</w:t>
            </w:r>
          </w:p>
        </w:tc>
        <w:tc>
          <w:tcPr>
            <w:tcW w:w="870" w:type="dxa"/>
            <w:vAlign w:val="center"/>
          </w:tcPr>
          <w:p>
            <w:r>
              <w:rPr>
                <w:rFonts w:hint="eastAsia"/>
              </w:rPr>
              <w:t>1.50</w:t>
            </w:r>
          </w:p>
        </w:tc>
        <w:tc>
          <w:tcPr>
            <w:tcW w:w="930" w:type="dxa"/>
            <w:vAlign w:val="center"/>
          </w:tcPr>
          <w:p>
            <w:r>
              <w:rPr>
                <w:rFonts w:hint="eastAsia"/>
              </w:rPr>
              <w:t>1.50</w:t>
            </w:r>
          </w:p>
        </w:tc>
        <w:tc>
          <w:tcPr>
            <w:tcW w:w="975" w:type="dxa"/>
            <w:vAlign w:val="center"/>
          </w:tcPr>
          <w:p/>
        </w:tc>
        <w:tc>
          <w:tcPr>
            <w:tcW w:w="855" w:type="dxa"/>
            <w:vAlign w:val="center"/>
          </w:tcPr>
          <w:p/>
        </w:tc>
        <w:tc>
          <w:tcPr>
            <w:tcW w:w="900" w:type="dxa"/>
            <w:vAlign w:val="center"/>
          </w:tcPr>
          <w:p/>
        </w:tc>
        <w:tc>
          <w:tcPr>
            <w:tcW w:w="7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70"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农村事物经费</w:t>
            </w:r>
          </w:p>
        </w:tc>
        <w:tc>
          <w:tcPr>
            <w:tcW w:w="1155" w:type="dxa"/>
            <w:vAlign w:val="center"/>
          </w:tcPr>
          <w:p>
            <w:r>
              <w:rPr>
                <w:rFonts w:hint="eastAsia"/>
              </w:rPr>
              <w:t>100.00</w:t>
            </w:r>
          </w:p>
        </w:tc>
        <w:tc>
          <w:tcPr>
            <w:tcW w:w="978" w:type="dxa"/>
            <w:vAlign w:val="center"/>
          </w:tcPr>
          <w:p>
            <w:r>
              <w:rPr>
                <w:rFonts w:hint="eastAsia"/>
              </w:rPr>
              <w:t>打印设备</w:t>
            </w:r>
          </w:p>
        </w:tc>
        <w:tc>
          <w:tcPr>
            <w:tcW w:w="837" w:type="dxa"/>
            <w:vAlign w:val="center"/>
          </w:tcPr>
          <w:p>
            <w:r>
              <w:rPr>
                <w:rFonts w:hint="eastAsia"/>
              </w:rPr>
              <w:t>A02010601</w:t>
            </w:r>
          </w:p>
        </w:tc>
        <w:tc>
          <w:tcPr>
            <w:tcW w:w="660" w:type="dxa"/>
            <w:vAlign w:val="center"/>
          </w:tcPr>
          <w:p/>
        </w:tc>
        <w:tc>
          <w:tcPr>
            <w:tcW w:w="720" w:type="dxa"/>
            <w:vAlign w:val="center"/>
          </w:tcPr>
          <w:p>
            <w:r>
              <w:rPr>
                <w:rFonts w:hint="eastAsia"/>
              </w:rPr>
              <w:t>2.00</w:t>
            </w:r>
          </w:p>
        </w:tc>
        <w:tc>
          <w:tcPr>
            <w:tcW w:w="945" w:type="dxa"/>
            <w:vAlign w:val="center"/>
          </w:tcPr>
          <w:p>
            <w:r>
              <w:rPr>
                <w:rFonts w:hint="eastAsia"/>
              </w:rPr>
              <w:t>0.25</w:t>
            </w:r>
          </w:p>
        </w:tc>
        <w:tc>
          <w:tcPr>
            <w:tcW w:w="1005" w:type="dxa"/>
            <w:vAlign w:val="center"/>
          </w:tcPr>
          <w:p>
            <w:r>
              <w:rPr>
                <w:rFonts w:hint="eastAsia"/>
              </w:rPr>
              <w:t>0.50</w:t>
            </w:r>
          </w:p>
        </w:tc>
        <w:tc>
          <w:tcPr>
            <w:tcW w:w="870" w:type="dxa"/>
            <w:vAlign w:val="center"/>
          </w:tcPr>
          <w:p>
            <w:r>
              <w:rPr>
                <w:rFonts w:hint="eastAsia"/>
              </w:rPr>
              <w:t>0.50</w:t>
            </w:r>
          </w:p>
        </w:tc>
        <w:tc>
          <w:tcPr>
            <w:tcW w:w="930" w:type="dxa"/>
            <w:vAlign w:val="center"/>
          </w:tcPr>
          <w:p>
            <w:r>
              <w:rPr>
                <w:rFonts w:hint="eastAsia"/>
              </w:rPr>
              <w:t>0.50</w:t>
            </w:r>
          </w:p>
        </w:tc>
        <w:tc>
          <w:tcPr>
            <w:tcW w:w="975" w:type="dxa"/>
            <w:vAlign w:val="center"/>
          </w:tcPr>
          <w:p/>
        </w:tc>
        <w:tc>
          <w:tcPr>
            <w:tcW w:w="855" w:type="dxa"/>
            <w:vAlign w:val="center"/>
          </w:tcPr>
          <w:p/>
        </w:tc>
        <w:tc>
          <w:tcPr>
            <w:tcW w:w="900" w:type="dxa"/>
            <w:vAlign w:val="center"/>
          </w:tcPr>
          <w:p/>
        </w:tc>
        <w:tc>
          <w:tcPr>
            <w:tcW w:w="750" w:type="dxa"/>
            <w:vAlign w:val="center"/>
          </w:tcPr>
          <w:p/>
        </w:tc>
      </w:tr>
    </w:tbl>
    <w:p>
      <w:pPr>
        <w:rPr>
          <w:rFonts w:ascii="Times New Roman" w:hAnsi="Times New Roman" w:eastAsia="宋体" w:cs="Times New Roman"/>
        </w:rPr>
        <w:sectPr>
          <w:pgSz w:w="16839" w:h="11915" w:orient="landscape"/>
          <w:pgMar w:top="1020" w:right="1361" w:bottom="1020" w:left="1361" w:header="851" w:footer="992" w:gutter="0"/>
          <w:cols w:space="425" w:num="1"/>
          <w:docGrid w:type="lines" w:linePitch="312" w:charSpace="0"/>
        </w:sectPr>
      </w:pPr>
      <w:bookmarkStart w:id="2" w:name="_GoBack"/>
      <w:bookmarkEnd w:id="2"/>
    </w:p>
    <w:p>
      <w:pPr>
        <w:rPr>
          <w:rFonts w:ascii="Times New Roman" w:hAnsi="Times New Roman" w:eastAsia="宋体" w:cs="宋体"/>
          <w:sz w:val="32"/>
          <w:szCs w:val="32"/>
        </w:rPr>
      </w:pPr>
    </w:p>
    <w:p>
      <w:pPr>
        <w:numPr>
          <w:numId w:val="0"/>
        </w:numPr>
        <w:ind w:left="630" w:leftChars="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国有资产信息</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北戴河新区团林管理处上年末固定资产金额为71.37328万元。</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北戴河新区团林管理处固定资产占用情况表</w:t>
      </w:r>
    </w:p>
    <w:tbl>
      <w:tblPr>
        <w:tblStyle w:val="4"/>
        <w:tblW w:w="8612" w:type="dxa"/>
        <w:tblInd w:w="93" w:type="dxa"/>
        <w:tblLayout w:type="fixed"/>
        <w:tblCellMar>
          <w:top w:w="0" w:type="dxa"/>
          <w:left w:w="108" w:type="dxa"/>
          <w:bottom w:w="0" w:type="dxa"/>
          <w:right w:w="108" w:type="dxa"/>
        </w:tblCellMar>
      </w:tblPr>
      <w:tblGrid>
        <w:gridCol w:w="4246"/>
        <w:gridCol w:w="1019"/>
        <w:gridCol w:w="1141"/>
        <w:gridCol w:w="2116"/>
        <w:gridCol w:w="90"/>
      </w:tblGrid>
      <w:tr>
        <w:tblPrEx>
          <w:tblCellMar>
            <w:top w:w="0" w:type="dxa"/>
            <w:left w:w="108" w:type="dxa"/>
            <w:bottom w:w="0" w:type="dxa"/>
            <w:right w:w="108" w:type="dxa"/>
          </w:tblCellMar>
        </w:tblPrEx>
        <w:trPr>
          <w:trHeight w:val="510" w:hRule="atLeast"/>
        </w:trPr>
        <w:tc>
          <w:tcPr>
            <w:tcW w:w="5265" w:type="dxa"/>
            <w:gridSpan w:val="2"/>
            <w:shd w:val="clear" w:color="auto" w:fill="auto"/>
            <w:vAlign w:val="center"/>
          </w:tcPr>
          <w:p>
            <w:pPr>
              <w:widowControl/>
              <w:jc w:val="left"/>
              <w:rPr>
                <w:rFonts w:ascii="宋体" w:hAnsi="Times New Roman" w:eastAsia="宋体" w:cs="宋体"/>
                <w:kern w:val="0"/>
                <w:sz w:val="22"/>
              </w:rPr>
            </w:pPr>
            <w:r>
              <w:rPr>
                <w:rFonts w:hint="eastAsia" w:ascii="宋体" w:hAnsi="宋体" w:eastAsia="宋体" w:cs="宋体"/>
                <w:kern w:val="0"/>
                <w:sz w:val="22"/>
              </w:rPr>
              <w:t>编制部门：</w:t>
            </w:r>
            <w:r>
              <w:rPr>
                <w:rFonts w:hint="eastAsia" w:ascii="Times New Roman" w:hAnsi="Times New Roman" w:eastAsia="宋体" w:cs="宋体"/>
                <w:sz w:val="24"/>
              </w:rPr>
              <w:t>北戴河新区团林管理处</w:t>
            </w:r>
          </w:p>
        </w:tc>
        <w:tc>
          <w:tcPr>
            <w:tcW w:w="3347" w:type="dxa"/>
            <w:gridSpan w:val="3"/>
            <w:shd w:val="clear" w:color="auto" w:fill="auto"/>
            <w:vAlign w:val="center"/>
          </w:tcPr>
          <w:p>
            <w:pPr>
              <w:widowControl/>
              <w:jc w:val="left"/>
              <w:rPr>
                <w:rFonts w:ascii="宋体" w:hAnsi="Times New Roman" w:eastAsia="宋体" w:cs="宋体"/>
                <w:kern w:val="0"/>
                <w:sz w:val="22"/>
              </w:rPr>
            </w:pPr>
            <w:r>
              <w:rPr>
                <w:rFonts w:hint="eastAsia" w:ascii="宋体" w:hAnsi="宋体" w:eastAsia="宋体" w:cs="宋体"/>
                <w:kern w:val="0"/>
                <w:sz w:val="22"/>
              </w:rPr>
              <w:t xml:space="preserve">截止时间：2018年12月31日  </w:t>
            </w:r>
          </w:p>
        </w:tc>
      </w:tr>
      <w:tr>
        <w:tblPrEx>
          <w:tblCellMar>
            <w:top w:w="0" w:type="dxa"/>
            <w:left w:w="108" w:type="dxa"/>
            <w:bottom w:w="0" w:type="dxa"/>
            <w:right w:w="108" w:type="dxa"/>
          </w:tblCellMar>
        </w:tblPrEx>
        <w:trPr>
          <w:gridAfter w:val="1"/>
          <w:wAfter w:w="90" w:type="dxa"/>
        </w:trPr>
        <w:tc>
          <w:tcPr>
            <w:tcW w:w="4246"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hint="eastAsia" w:ascii="宋体" w:hAnsi="宋体" w:eastAsia="宋体" w:cs="宋体"/>
                <w:b/>
                <w:kern w:val="0"/>
                <w:sz w:val="22"/>
              </w:rPr>
              <w:t>项   目</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hint="eastAsia" w:ascii="宋体" w:hAnsi="宋体" w:eastAsia="宋体" w:cs="宋体"/>
                <w:b/>
                <w:kern w:val="0"/>
                <w:sz w:val="22"/>
              </w:rPr>
              <w:t>数量</w:t>
            </w:r>
          </w:p>
        </w:tc>
        <w:tc>
          <w:tcPr>
            <w:tcW w:w="2116"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hint="eastAsia" w:ascii="宋体" w:hAnsi="宋体" w:eastAsia="宋体" w:cs="宋体"/>
                <w:b/>
                <w:kern w:val="0"/>
                <w:sz w:val="22"/>
              </w:rPr>
              <w:t>价值（金额单位：万元）</w:t>
            </w:r>
          </w:p>
        </w:tc>
      </w:tr>
      <w:tr>
        <w:tblPrEx>
          <w:tblCellMar>
            <w:top w:w="0" w:type="dxa"/>
            <w:left w:w="108" w:type="dxa"/>
            <w:bottom w:w="0" w:type="dxa"/>
            <w:right w:w="108" w:type="dxa"/>
          </w:tblCellMar>
        </w:tblPrEx>
        <w:trPr>
          <w:gridAfter w:val="1"/>
          <w:wAfter w:w="90" w:type="dxa"/>
          <w:trHeight w:val="210" w:hRule="atLeast"/>
        </w:trPr>
        <w:tc>
          <w:tcPr>
            <w:tcW w:w="4246"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hint="eastAsia" w:ascii="宋体" w:hAnsi="宋体" w:eastAsia="宋体" w:cs="宋体"/>
                <w:kern w:val="0"/>
                <w:sz w:val="22"/>
              </w:rPr>
              <w:t>资产总额</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kern w:val="0"/>
                <w:sz w:val="22"/>
              </w:rPr>
            </w:pPr>
            <w:r>
              <w:rPr>
                <w:rFonts w:hint="eastAsia" w:ascii="宋体" w:hAnsi="宋体" w:eastAsia="宋体" w:cs="宋体"/>
                <w:kern w:val="0"/>
                <w:sz w:val="22"/>
              </w:rPr>
              <w:t>——</w:t>
            </w:r>
          </w:p>
        </w:tc>
        <w:tc>
          <w:tcPr>
            <w:tcW w:w="2116"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hint="eastAsia"/>
                <w:sz w:val="28"/>
                <w:szCs w:val="28"/>
              </w:rPr>
              <w:t>71.37328</w:t>
            </w:r>
          </w:p>
        </w:tc>
      </w:tr>
      <w:tr>
        <w:tblPrEx>
          <w:tblCellMar>
            <w:top w:w="0" w:type="dxa"/>
            <w:left w:w="108" w:type="dxa"/>
            <w:bottom w:w="0" w:type="dxa"/>
            <w:right w:w="108" w:type="dxa"/>
          </w:tblCellMar>
        </w:tblPrEx>
        <w:trPr>
          <w:gridAfter w:val="1"/>
          <w:wAfter w:w="90" w:type="dxa"/>
          <w:trHeight w:val="210" w:hRule="atLeast"/>
        </w:trPr>
        <w:tc>
          <w:tcPr>
            <w:tcW w:w="4246"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宋体" w:hAnsi="宋体" w:eastAsia="宋体" w:cs="宋体"/>
                <w:kern w:val="0"/>
                <w:sz w:val="22"/>
              </w:rPr>
              <w:t>1、房屋（平方米）</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kern w:val="0"/>
                <w:sz w:val="22"/>
              </w:rPr>
            </w:pPr>
            <w:r>
              <w:rPr>
                <w:rFonts w:hint="eastAsia" w:ascii="宋体" w:hAnsi="宋体" w:eastAsia="宋体" w:cs="宋体"/>
                <w:kern w:val="0"/>
                <w:sz w:val="22"/>
              </w:rPr>
              <w:t>——</w:t>
            </w:r>
          </w:p>
        </w:tc>
        <w:tc>
          <w:tcPr>
            <w:tcW w:w="2116"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p>
        </w:tc>
      </w:tr>
      <w:tr>
        <w:tblPrEx>
          <w:tblCellMar>
            <w:top w:w="0" w:type="dxa"/>
            <w:left w:w="108" w:type="dxa"/>
            <w:bottom w:w="0" w:type="dxa"/>
            <w:right w:w="108" w:type="dxa"/>
          </w:tblCellMar>
        </w:tblPrEx>
        <w:trPr>
          <w:gridAfter w:val="1"/>
          <w:wAfter w:w="90" w:type="dxa"/>
          <w:trHeight w:val="210" w:hRule="atLeast"/>
        </w:trPr>
        <w:tc>
          <w:tcPr>
            <w:tcW w:w="4246"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宋体" w:hAnsi="宋体" w:eastAsia="宋体" w:cs="宋体"/>
                <w:kern w:val="0"/>
                <w:sz w:val="22"/>
              </w:rPr>
              <w:t>其中：办公用房（平方米）</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kern w:val="0"/>
                <w:sz w:val="22"/>
              </w:rPr>
            </w:pPr>
            <w:r>
              <w:rPr>
                <w:rFonts w:hint="eastAsia" w:ascii="宋体" w:hAnsi="宋体" w:eastAsia="宋体" w:cs="宋体"/>
                <w:kern w:val="0"/>
                <w:sz w:val="22"/>
              </w:rPr>
              <w:t>——</w:t>
            </w:r>
          </w:p>
        </w:tc>
        <w:tc>
          <w:tcPr>
            <w:tcW w:w="2116"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p>
        </w:tc>
      </w:tr>
      <w:tr>
        <w:tblPrEx>
          <w:tblCellMar>
            <w:top w:w="0" w:type="dxa"/>
            <w:left w:w="108" w:type="dxa"/>
            <w:bottom w:w="0" w:type="dxa"/>
            <w:right w:w="108" w:type="dxa"/>
          </w:tblCellMar>
        </w:tblPrEx>
        <w:trPr>
          <w:gridAfter w:val="1"/>
          <w:wAfter w:w="90" w:type="dxa"/>
          <w:trHeight w:val="315" w:hRule="atLeast"/>
        </w:trPr>
        <w:tc>
          <w:tcPr>
            <w:tcW w:w="4246"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宋体" w:hAnsi="宋体" w:eastAsia="宋体" w:cs="宋体"/>
                <w:kern w:val="0"/>
                <w:sz w:val="22"/>
              </w:rPr>
              <w:t>2、车辆（台、辆）</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kern w:val="0"/>
                <w:sz w:val="22"/>
              </w:rPr>
            </w:pPr>
            <w:r>
              <w:rPr>
                <w:rFonts w:hint="eastAsia" w:ascii="宋体" w:hAnsi="宋体" w:eastAsia="宋体" w:cs="宋体"/>
                <w:kern w:val="0"/>
                <w:sz w:val="22"/>
              </w:rPr>
              <w:t>——</w:t>
            </w:r>
          </w:p>
        </w:tc>
        <w:tc>
          <w:tcPr>
            <w:tcW w:w="2116"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p>
        </w:tc>
      </w:tr>
      <w:tr>
        <w:tblPrEx>
          <w:tblCellMar>
            <w:top w:w="0" w:type="dxa"/>
            <w:left w:w="108" w:type="dxa"/>
            <w:bottom w:w="0" w:type="dxa"/>
            <w:right w:w="108" w:type="dxa"/>
          </w:tblCellMar>
        </w:tblPrEx>
        <w:trPr>
          <w:gridAfter w:val="1"/>
          <w:wAfter w:w="90" w:type="dxa"/>
          <w:trHeight w:val="315" w:hRule="atLeast"/>
        </w:trPr>
        <w:tc>
          <w:tcPr>
            <w:tcW w:w="4246"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宋体" w:hAnsi="宋体" w:eastAsia="宋体" w:cs="宋体"/>
                <w:kern w:val="0"/>
                <w:sz w:val="22"/>
              </w:rPr>
              <w:t>3、单价在20万元以上设备</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kern w:val="0"/>
                <w:sz w:val="22"/>
              </w:rPr>
            </w:pPr>
            <w:r>
              <w:rPr>
                <w:rFonts w:hint="eastAsia" w:ascii="宋体" w:hAnsi="宋体" w:eastAsia="宋体" w:cs="宋体"/>
                <w:kern w:val="0"/>
                <w:sz w:val="22"/>
              </w:rPr>
              <w:t>——</w:t>
            </w:r>
          </w:p>
        </w:tc>
        <w:tc>
          <w:tcPr>
            <w:tcW w:w="2116"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p>
        </w:tc>
      </w:tr>
      <w:tr>
        <w:tblPrEx>
          <w:tblCellMar>
            <w:top w:w="0" w:type="dxa"/>
            <w:left w:w="108" w:type="dxa"/>
            <w:bottom w:w="0" w:type="dxa"/>
            <w:right w:w="108" w:type="dxa"/>
          </w:tblCellMar>
        </w:tblPrEx>
        <w:trPr>
          <w:gridAfter w:val="1"/>
          <w:wAfter w:w="90" w:type="dxa"/>
          <w:trHeight w:val="495" w:hRule="atLeast"/>
        </w:trPr>
        <w:tc>
          <w:tcPr>
            <w:tcW w:w="4246" w:type="dxa"/>
            <w:tcBorders>
              <w:top w:val="single" w:color="auto" w:sz="4" w:space="0"/>
              <w:left w:val="single" w:color="auto" w:sz="4" w:space="0"/>
              <w:bottom w:val="single" w:color="auto" w:sz="4" w:space="0"/>
              <w:right w:val="single" w:color="auto" w:sz="4" w:space="0"/>
            </w:tcBorders>
            <w:shd w:val="clear" w:color="auto" w:fill="auto"/>
          </w:tcPr>
          <w:p>
            <w:pPr>
              <w:ind w:left="108"/>
              <w:rPr>
                <w:sz w:val="28"/>
                <w:szCs w:val="28"/>
              </w:rPr>
            </w:pPr>
            <w:r>
              <w:rPr>
                <w:rFonts w:hint="eastAsia" w:ascii="宋体" w:hAnsi="宋体" w:eastAsia="宋体" w:cs="宋体"/>
                <w:kern w:val="0"/>
                <w:sz w:val="22"/>
              </w:rPr>
              <w:t>4、其他固定资产</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Times New Roman" w:eastAsia="宋体" w:cs="宋体"/>
                <w:kern w:val="0"/>
                <w:sz w:val="22"/>
              </w:rPr>
            </w:pPr>
            <w:r>
              <w:rPr>
                <w:rFonts w:hint="eastAsia" w:ascii="宋体" w:hAnsi="Times New Roman" w:eastAsia="宋体" w:cs="宋体"/>
                <w:kern w:val="0"/>
                <w:sz w:val="22"/>
              </w:rPr>
              <w:t>381</w:t>
            </w:r>
          </w:p>
        </w:tc>
        <w:tc>
          <w:tcPr>
            <w:tcW w:w="2116" w:type="dxa"/>
            <w:tcBorders>
              <w:top w:val="single" w:color="auto" w:sz="4" w:space="0"/>
              <w:left w:val="single" w:color="auto" w:sz="4" w:space="0"/>
              <w:bottom w:val="single" w:color="auto" w:sz="4" w:space="0"/>
              <w:right w:val="single" w:color="auto" w:sz="4" w:space="0"/>
            </w:tcBorders>
            <w:shd w:val="clear" w:color="auto" w:fill="auto"/>
          </w:tcPr>
          <w:p>
            <w:pPr>
              <w:ind w:left="108"/>
              <w:jc w:val="center"/>
              <w:rPr>
                <w:sz w:val="28"/>
                <w:szCs w:val="28"/>
              </w:rPr>
            </w:pPr>
            <w:r>
              <w:rPr>
                <w:rFonts w:hint="eastAsia"/>
                <w:sz w:val="28"/>
                <w:szCs w:val="28"/>
              </w:rPr>
              <w:t>71.37328</w:t>
            </w:r>
          </w:p>
        </w:tc>
      </w:tr>
    </w:tbl>
    <w:p>
      <w:pPr>
        <w:numPr>
          <w:ilvl w:val="0"/>
          <w:numId w:val="0"/>
        </w:numPr>
        <w:ind w:left="63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八、名词解释</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一般公共预算拨款收入：财政当年拨付资金</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、基本支出：指为保障机构正常运转、完成日常工作任务而发生的人员支出和公用支出。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、项目支出：指在基本支出之外为完成特定行政任务和事业发展目标所发生的支出。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、“三公”经费：用财政拨款安排的因公出国（境）费、公务用车购置及运行费、公务接待费。公务接待费反映单位按规定开支的各类公务接待费。</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、机关运行经费：为保障行政单位（含参照公务员法管理的事业单位）运行用于购买货物和服务的各项资金，包括办公费、印刷费、差旅费、会议费、福利费、公务交通补贴等费用。</w:t>
      </w:r>
    </w:p>
    <w:p>
      <w:pPr>
        <w:numPr>
          <w:ilvl w:val="0"/>
          <w:numId w:val="0"/>
        </w:numPr>
        <w:ind w:left="63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九、其他需要说明的事项</w:t>
      </w:r>
    </w:p>
    <w:p>
      <w:pPr>
        <w:ind w:firstLine="480" w:firstLineChars="150"/>
        <w:rPr>
          <w:sz w:val="32"/>
          <w:szCs w:val="32"/>
        </w:rPr>
      </w:pPr>
      <w:r>
        <w:rPr>
          <w:rFonts w:hint="eastAsia" w:ascii="Times New Roman" w:hAnsi="Times New Roman" w:eastAsia="宋体" w:cs="宋体"/>
          <w:sz w:val="32"/>
          <w:szCs w:val="32"/>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仿宋繁体">
    <w:panose1 w:val="02010601030101010101"/>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961E"/>
    <w:multiLevelType w:val="multilevel"/>
    <w:tmpl w:val="105E961E"/>
    <w:lvl w:ilvl="0" w:tentative="0">
      <w:start w:val="1"/>
      <w:numFmt w:val="japaneseCounting"/>
      <w:lvlText w:val="%1、"/>
      <w:lvlJc w:val="left"/>
      <w:pPr>
        <w:tabs>
          <w:tab w:val="left" w:pos="1260"/>
        </w:tabs>
        <w:ind w:left="1260" w:hanging="720"/>
      </w:p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1B2"/>
    <w:rsid w:val="000C5E89"/>
    <w:rsid w:val="000E12FF"/>
    <w:rsid w:val="001701BE"/>
    <w:rsid w:val="004610A6"/>
    <w:rsid w:val="00626C26"/>
    <w:rsid w:val="008E5C10"/>
    <w:rsid w:val="009921B2"/>
    <w:rsid w:val="00A57DB3"/>
    <w:rsid w:val="00C704C8"/>
    <w:rsid w:val="00CB0A64"/>
    <w:rsid w:val="00D50F87"/>
    <w:rsid w:val="00F867BA"/>
    <w:rsid w:val="228B4D31"/>
    <w:rsid w:val="4CB624E9"/>
    <w:rsid w:val="63CC117E"/>
    <w:rsid w:val="6E8120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ACCB5-19D7-411C-9BAA-F8A0E0BCF1F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767</Words>
  <Characters>4374</Characters>
  <Lines>36</Lines>
  <Paragraphs>10</Paragraphs>
  <TotalTime>1</TotalTime>
  <ScaleCrop>false</ScaleCrop>
  <LinksUpToDate>false</LinksUpToDate>
  <CharactersWithSpaces>5131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2021-05-20T07:26:25Z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