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Times New Roman" w:hAnsi="Times New Roman" w:eastAsia="宋体" w:cs="宋体"/>
          <w:sz w:val="44"/>
          <w:szCs w:val="44"/>
        </w:rPr>
        <w:t>秦皇岛北戴河新区团林管理处</w:t>
      </w:r>
    </w:p>
    <w:p>
      <w:pPr>
        <w:jc w:val="center"/>
        <w:rPr>
          <w:sz w:val="44"/>
          <w:szCs w:val="44"/>
        </w:rPr>
      </w:pPr>
      <w:r>
        <w:rPr>
          <w:rFonts w:ascii="Times New Roman" w:hAnsi="Times New Roman" w:eastAsia="宋体" w:cs="Times New Roman"/>
          <w:sz w:val="44"/>
          <w:szCs w:val="44"/>
        </w:rPr>
        <w:t>201</w:t>
      </w:r>
      <w:r>
        <w:rPr>
          <w:rFonts w:hint="eastAsia" w:ascii="Times New Roman" w:hAnsi="Times New Roman" w:eastAsia="宋体" w:cs="Times New Roman"/>
          <w:sz w:val="44"/>
          <w:szCs w:val="44"/>
        </w:rPr>
        <w:t>9</w:t>
      </w:r>
      <w:r>
        <w:rPr>
          <w:rFonts w:hint="eastAsia" w:ascii="Times New Roman" w:hAnsi="Times New Roman" w:eastAsia="宋体" w:cs="宋体"/>
          <w:sz w:val="44"/>
          <w:szCs w:val="44"/>
        </w:rPr>
        <w:t>年部门预算信息公开</w:t>
      </w:r>
    </w:p>
    <w:p>
      <w:pPr>
        <w:jc w:val="center"/>
        <w:rPr>
          <w:sz w:val="44"/>
          <w:szCs w:val="44"/>
        </w:rPr>
      </w:pP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秦皇岛北戴河新区财政局关于进一步做好2019年部门预算公开工作的通知》（秦北新财【2019】15号）文件精神，现将经秦皇岛北戴河新区财政局批复的秦皇岛北戴河新区团林管理处2019年部门预算相关信息公开如下：</w:t>
      </w:r>
    </w:p>
    <w:p>
      <w:pPr>
        <w:numPr>
          <w:ilvl w:val="0"/>
          <w:numId w:val="1"/>
        </w:numPr>
        <w:rPr>
          <w:rFonts w:hint="eastAsia" w:ascii="黑体" w:hAnsi="黑体" w:eastAsia="黑体" w:cs="黑体"/>
          <w:sz w:val="32"/>
          <w:szCs w:val="32"/>
        </w:rPr>
      </w:pPr>
      <w:r>
        <w:rPr>
          <w:rFonts w:hint="eastAsia" w:ascii="黑体" w:hAnsi="黑体" w:eastAsia="黑体" w:cs="黑体"/>
          <w:sz w:val="32"/>
          <w:szCs w:val="32"/>
        </w:rPr>
        <w:t>部门职责及机构设置情况</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部门职责：负责本区域社会管理、综合治理、普法宣传、信访调解等工作；负责本区域农业、林业、水利、畜牧、渔业管理及统计工作；负责本区域基层建设、群众社区文化、娱乐、体育、教育、科普等工作；负责配合有关部门做好防汛、防火、防灾和抢险工作；负责贯彻落实国家、省、市方针、政策和法律法规；负责承办新区党工委、管委会交办的其他工作任务。</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内设综合科、农业科、财务管理科、城乡建设科等</w:t>
      </w:r>
      <w:r>
        <w:rPr>
          <w:rFonts w:hint="default" w:ascii="Times New Roman" w:hAnsi="Times New Roman" w:eastAsia="方正仿宋简体" w:cs="Times New Roman"/>
          <w:sz w:val="32"/>
          <w:szCs w:val="32"/>
        </w:rPr>
        <w:t>9</w:t>
      </w:r>
      <w:r>
        <w:rPr>
          <w:rFonts w:hint="eastAsia" w:ascii="Times New Roman" w:hAnsi="Times New Roman" w:eastAsia="方正仿宋简体" w:cs="Times New Roman"/>
          <w:sz w:val="32"/>
          <w:szCs w:val="32"/>
        </w:rPr>
        <w:t>个科室，编制37人。</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机构设置：</w:t>
      </w:r>
    </w:p>
    <w:p>
      <w:pPr>
        <w:ind w:firstLine="640" w:firstLineChars="200"/>
        <w:jc w:val="center"/>
        <w:rPr>
          <w:sz w:val="32"/>
          <w:szCs w:val="32"/>
        </w:rPr>
      </w:pPr>
    </w:p>
    <w:p>
      <w:pPr>
        <w:ind w:firstLine="640" w:firstLineChars="200"/>
        <w:jc w:val="center"/>
        <w:rPr>
          <w:sz w:val="32"/>
          <w:szCs w:val="32"/>
        </w:rPr>
      </w:pPr>
    </w:p>
    <w:p>
      <w:pPr>
        <w:ind w:firstLine="640" w:firstLineChars="200"/>
        <w:jc w:val="center"/>
        <w:rPr>
          <w:sz w:val="32"/>
          <w:szCs w:val="32"/>
        </w:rPr>
      </w:pPr>
      <w:r>
        <w:rPr>
          <w:rFonts w:hint="eastAsia" w:ascii="Times New Roman" w:hAnsi="Times New Roman" w:eastAsia="宋体" w:cs="宋体"/>
          <w:sz w:val="32"/>
          <w:szCs w:val="32"/>
        </w:rPr>
        <w:t>部门机构设置情况</w:t>
      </w:r>
    </w:p>
    <w:tbl>
      <w:tblPr>
        <w:tblStyle w:val="4"/>
        <w:tblpPr w:leftFromText="180" w:rightFromText="180" w:vertAnchor="text" w:horzAnchor="page" w:tblpX="1988" w:tblpY="723"/>
        <w:tblOverlap w:val="never"/>
        <w:tblW w:w="91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7"/>
        <w:gridCol w:w="1135"/>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trPr>
        <w:tc>
          <w:tcPr>
            <w:tcW w:w="379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b/>
              </w:rPr>
            </w:pPr>
            <w:r>
              <w:rPr>
                <w:rFonts w:hint="eastAsia" w:ascii="Times New Roman" w:hAnsi="方正书宋_GBK" w:eastAsia="方正书宋_GBK" w:cs="方正书宋_GBK"/>
                <w:b/>
              </w:rPr>
              <w:t>单位名称</w:t>
            </w:r>
          </w:p>
        </w:tc>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b/>
              </w:rPr>
            </w:pPr>
            <w:r>
              <w:rPr>
                <w:rFonts w:hint="eastAsia" w:ascii="Times New Roman" w:hAnsi="方正书宋_GBK" w:eastAsia="方正书宋_GBK" w:cs="方正书宋_GBK"/>
                <w:b/>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b/>
              </w:rPr>
            </w:pPr>
            <w:r>
              <w:rPr>
                <w:rFonts w:hint="eastAsia" w:ascii="Times New Roman" w:hAnsi="方正书宋_GBK" w:eastAsia="方正书宋_GBK" w:cs="方正书宋_GBK"/>
                <w:b/>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b/>
              </w:rPr>
            </w:pPr>
            <w:r>
              <w:rPr>
                <w:rFonts w:hint="eastAsia" w:ascii="Times New Roman" w:hAnsi="方正书宋_GBK" w:eastAsia="方正书宋_GBK" w:cs="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379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trPr>
        <w:tc>
          <w:tcPr>
            <w:tcW w:w="37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eastAsia="方正书宋_GBK"/>
              </w:rPr>
            </w:pPr>
            <w:r>
              <w:rPr>
                <w:rFonts w:hint="eastAsia" w:ascii="Times New Roman" w:hAnsi="方正书宋_GBK" w:eastAsia="方正书宋_GBK" w:cs="方正书宋_GBK"/>
              </w:rPr>
              <w:t>秦皇岛北戴河新区团林管理处</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rPr>
            </w:pPr>
            <w:r>
              <w:rPr>
                <w:rFonts w:hint="eastAsia" w:ascii="方正书宋_GBK" w:hAnsi="方正书宋_GBK" w:eastAsia="方正书宋_GBK" w:cs="方正书宋_GBK"/>
              </w:rPr>
              <w:t>事业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rPr>
            </w:pPr>
            <w:r>
              <w:rPr>
                <w:rFonts w:hint="eastAsia" w:ascii="方正书宋_GBK" w:hAnsi="方正书宋_GBK" w:eastAsia="方正书宋_GBK" w:cs="方正书宋_GBK"/>
              </w:rPr>
              <w:t>正科级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eastAsia="方正书宋_GBK"/>
              </w:rPr>
            </w:pPr>
            <w:r>
              <w:rPr>
                <w:rFonts w:hint="eastAsia" w:ascii="方正书宋_GBK" w:hAnsi="方正书宋_GBK" w:eastAsia="方正书宋_GBK" w:cs="方正书宋_GBK"/>
              </w:rPr>
              <w:t>财政拨款</w:t>
            </w:r>
          </w:p>
        </w:tc>
      </w:tr>
    </w:tbl>
    <w:p>
      <w:pPr>
        <w:ind w:firstLine="640" w:firstLineChars="200"/>
        <w:jc w:val="center"/>
        <w:rPr>
          <w:sz w:val="32"/>
          <w:szCs w:val="32"/>
        </w:rPr>
      </w:pPr>
    </w:p>
    <w:p>
      <w:pPr>
        <w:ind w:left="126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r>
        <w:rPr>
          <w:rFonts w:hint="eastAsia" w:ascii="Times New Roman" w:hAnsi="Times New Roman" w:eastAsia="宋体" w:cs="宋体"/>
          <w:sz w:val="32"/>
          <w:szCs w:val="32"/>
        </w:rPr>
        <w:t>二、部门预算安排的总体情况</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按照预算管理有关规定，目前我区部门预算的编制实行综合预算制度，即全部收入和支出都反映在预算中。</w:t>
      </w:r>
    </w:p>
    <w:p>
      <w:pPr>
        <w:ind w:firstLine="643" w:firstLineChars="200"/>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val="en-US" w:eastAsia="zh-CN"/>
        </w:rPr>
        <w:t>1、</w:t>
      </w:r>
      <w:r>
        <w:rPr>
          <w:rFonts w:hint="eastAsia" w:ascii="Times New Roman" w:hAnsi="Times New Roman" w:eastAsia="方正仿宋简体" w:cs="Times New Roman"/>
          <w:b/>
          <w:bCs/>
          <w:sz w:val="32"/>
          <w:szCs w:val="32"/>
        </w:rPr>
        <w:t>收入说明</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反映本部门当年全部收入。</w:t>
      </w: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9年预算收入628.85万元，即一般公共预算收入628.85万元。</w:t>
      </w:r>
    </w:p>
    <w:p>
      <w:pPr>
        <w:ind w:firstLine="643" w:firstLineChars="200"/>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val="en-US" w:eastAsia="zh-CN"/>
        </w:rPr>
        <w:t>2、</w:t>
      </w:r>
      <w:r>
        <w:rPr>
          <w:rFonts w:hint="eastAsia" w:ascii="Times New Roman" w:hAnsi="Times New Roman" w:eastAsia="方正仿宋简体" w:cs="Times New Roman"/>
          <w:b/>
          <w:bCs/>
          <w:sz w:val="32"/>
          <w:szCs w:val="32"/>
        </w:rPr>
        <w:t>支出说明</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收支预算总表支出栏、基本支出表、项目支出表按经济分类和支出功能分类科目编制，反映秦皇岛北戴河新区团林街道办事处年度部门预算中支出预算的总体情况。</w:t>
      </w: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9年支出预算628.85万元，其中：基本支出：473.85万元，包括人员经费411.89万元；日常公用经费61.96万元；项目支出155万元，主要为机关服务支出（办公用房租赁费）</w:t>
      </w:r>
      <w:r>
        <w:rPr>
          <w:rFonts w:hint="default" w:ascii="Times New Roman" w:hAnsi="Times New Roman" w:eastAsia="方正仿宋简体" w:cs="Times New Roman"/>
          <w:sz w:val="32"/>
          <w:szCs w:val="32"/>
        </w:rPr>
        <w:t>34</w:t>
      </w:r>
      <w:r>
        <w:rPr>
          <w:rFonts w:hint="eastAsia" w:ascii="Times New Roman" w:hAnsi="Times New Roman" w:eastAsia="方正仿宋简体" w:cs="Times New Roman"/>
          <w:sz w:val="32"/>
          <w:szCs w:val="32"/>
        </w:rPr>
        <w:t>万元；其他农业支出（农村事务经费）</w:t>
      </w:r>
      <w:r>
        <w:rPr>
          <w:rFonts w:hint="default"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万元；其他民政管理事务支出（墓地日常管理经费）</w:t>
      </w:r>
      <w:r>
        <w:rPr>
          <w:rFonts w:hint="default" w:ascii="Times New Roman" w:hAnsi="Times New Roman" w:eastAsia="方正仿宋简体" w:cs="Times New Roman"/>
          <w:sz w:val="32"/>
          <w:szCs w:val="32"/>
        </w:rPr>
        <w:t>8</w:t>
      </w:r>
      <w:r>
        <w:rPr>
          <w:rFonts w:hint="eastAsia" w:ascii="Times New Roman" w:hAnsi="Times New Roman" w:eastAsia="方正仿宋简体" w:cs="Times New Roman"/>
          <w:sz w:val="32"/>
          <w:szCs w:val="32"/>
        </w:rPr>
        <w:t>万元；信访稳定经费</w:t>
      </w:r>
      <w:r>
        <w:rPr>
          <w:rFonts w:hint="default" w:ascii="Times New Roman" w:hAnsi="Times New Roman" w:eastAsia="方正仿宋简体" w:cs="Times New Roman"/>
          <w:sz w:val="32"/>
          <w:szCs w:val="32"/>
        </w:rPr>
        <w:t>13</w:t>
      </w:r>
      <w:r>
        <w:rPr>
          <w:rFonts w:hint="eastAsia" w:ascii="Times New Roman" w:hAnsi="Times New Roman" w:eastAsia="方正仿宋简体" w:cs="Times New Roman"/>
          <w:sz w:val="32"/>
          <w:szCs w:val="32"/>
        </w:rPr>
        <w:t>万元。</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比上年增减情况</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9年预算收支安排628.85万元，较</w:t>
      </w: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8年预算支出减少131.31万元，其中：基本支出无增加，项目支出减少131.31万元。</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机关运行经费共计安排61.96万元，主要用于办公费、取暖费、差旅费、会议费、招待费、办公设备购置、公务交通费、印刷费、福利费、培训费等日常运行支出。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9年我单位“三公”经费预算安排</w:t>
      </w:r>
      <w:r>
        <w:rPr>
          <w:rFonts w:hint="default"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81万元，无因公出国费及公务用车购置及运行维护费，公务接待费</w:t>
      </w:r>
      <w:r>
        <w:rPr>
          <w:rFonts w:hint="default"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81万元。“三公”经费较2018年的0.93万元下降12.9%，主要原因是，今年对“三公”经费等一般性支出进行压减</w:t>
      </w:r>
    </w:p>
    <w:p>
      <w:pPr>
        <w:pStyle w:val="9"/>
        <w:numPr>
          <w:numId w:val="0"/>
        </w:numPr>
        <w:ind w:left="630" w:leftChars="0"/>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五、绩效预算信息</w:t>
      </w:r>
    </w:p>
    <w:p>
      <w:pPr>
        <w:ind w:firstLine="640" w:firstLineChars="200"/>
        <w:jc w:val="left"/>
        <w:outlineLvl w:val="1"/>
        <w:rPr>
          <w:rFonts w:ascii="方正楷体简体" w:hAnsi="黑体" w:eastAsia="方正楷体简体"/>
          <w:sz w:val="32"/>
          <w:szCs w:val="32"/>
        </w:rPr>
      </w:pPr>
      <w:r>
        <w:rPr>
          <w:rFonts w:hint="eastAsia" w:ascii="方正楷体简体" w:hAnsi="黑体" w:eastAsia="方正楷体简体"/>
          <w:sz w:val="32"/>
          <w:szCs w:val="32"/>
        </w:rPr>
        <w:t>（一）总体绩效目标</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一、发展农村经济，强化农业基础地位。</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农业的发展以生态建设为中心，以产业结构调整为关键，以科技进步和市场机制培育为动力，以优质高效为目标。 产业结构调整的方向和重点是：按照“切实加强第一产业，调整和提高第二产业，加快发展第三产业”的总体要求，重点加强生态农业建设，不断扩大和提高旅游、商业服务等第三产业，实现产业的协调发展。种植业以优势互补、协调发展、形成良性循环的战略思路，种植业内部结构的调整，满足农民消费需要和市场需求。养殖业今后养殖业的发展将生猪和珍惜动物产业的发展与生态环境建设统一起来，改革传统的饲养生产经营方式，进一步完善“公司+专业协会+专业大户+农户”的生产经模式，充分发挥好公司的服务职能，协会的协调作用，大户的带头作用，努力使养殖业再上一个新的台阶。水利与水保方面积极推广先进适用节水灌溉技术及抗旱措施，要继续加大水利的建设力度，解决人畜用水问题。积极向上争取资金，认真落实“一事一议”政策、逐步改善农业基础条件。管理处财政认真落实新区财政局财政支付中心支付政策，积极培植税源，努力做到平稳增收。进一步强化基础设施和新农村（文明生态村）建设，加强道路、环保、通信等基础设施建设，结合文明生态村建设加强群众文化场所施建设，强化文化市场建设和管理，促进文化产业健康发展。形成与新区发展相适应的农业基础设施体系，构筑与产业发展相适应的、综合配套的交通格局。</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二、人民生活与社会事业</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rPr>
        <w:t>     健全和完善社会保障制度，加强和完善最低生活保障制度。积极发展社会福利、社会救济、优抚安置和社会互助等社会保障事业。保障妇女、未成年人、老年人和残疾人的合法权益。 加快发展医疗卫生事业，认真制定和实施区域卫生发展规划，搞好卫生资源的优化配置和宏观管理，强化基本卫生服务，形成医疗、预防、保健、卫生监督执法和计划生育育龄妇女免费服务的卫生服务体系，积极稳妥地发展和完善农村合作医疗制度。认真抓好人口与计划生育工作 督促落实计生执法工作，进一步落实好独生子女奖励扶助政策，严格控制人口增长。</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三、精神文明与民主法制</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rPr>
        <w:t>    加强社会主义精神文明建设 以马列主义、毛泽东思想、邓小平理论和“三个代表”重要思想为指导，弘扬爱国主义和集体主义。反对迷信，倡导科学、文明、健康的生活方式。坚持依法治镇、以德治人相结合，加强社会公德、家庭美德、职业道德教育，特别是加强对青少年的思想政治和道德品质教育。着力培养和宣传体现时代精神的先进典型，使全民形成文明健康、奋发向上的社会风气。</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rPr>
        <w:t>      实行民主选举、民主决策、民主管理、民主监督，保证人民依法享有广泛的权利和自由。完善村民自治，进一步完善政务、村社财务公开。深入开展普法宣传教育，增强全镇人民的法律意识和依法自我保护的能力。坚持依靠改革发展促稳定，积极探索新形势下从根本上维护社会稳定的办法，保持社会稳定。妥善处理各种社会矛盾，及时消除社会不安定因素。高度重视安全工作，加强安全生产管理。</w:t>
      </w:r>
    </w:p>
    <w:p>
      <w:pPr>
        <w:ind w:firstLine="627" w:firstLineChars="196"/>
        <w:jc w:val="left"/>
        <w:outlineLvl w:val="1"/>
        <w:rPr>
          <w:rFonts w:ascii="方正楷体简体" w:hAnsi="黑体" w:eastAsia="方正楷体简体"/>
          <w:sz w:val="32"/>
          <w:szCs w:val="32"/>
        </w:rPr>
      </w:pPr>
      <w:r>
        <w:rPr>
          <w:rFonts w:hint="eastAsia" w:ascii="方正楷体简体" w:hAnsi="黑体" w:eastAsia="方正楷体简体"/>
          <w:sz w:val="32"/>
          <w:szCs w:val="32"/>
        </w:rPr>
        <w:t>（</w:t>
      </w:r>
      <w:r>
        <w:rPr>
          <w:rFonts w:ascii="方正楷体简体" w:hAnsi="黑体" w:eastAsia="方正楷体简体"/>
          <w:sz w:val="32"/>
          <w:szCs w:val="32"/>
        </w:rPr>
        <w:t>二</w:t>
      </w:r>
      <w:r>
        <w:rPr>
          <w:rFonts w:hint="eastAsia" w:ascii="方正楷体简体" w:hAnsi="黑体" w:eastAsia="方正楷体简体"/>
          <w:sz w:val="32"/>
          <w:szCs w:val="32"/>
        </w:rPr>
        <w:t>）</w:t>
      </w:r>
      <w:r>
        <w:rPr>
          <w:rFonts w:ascii="方正楷体简体" w:hAnsi="黑体" w:eastAsia="方正楷体简体"/>
          <w:sz w:val="32"/>
          <w:szCs w:val="32"/>
        </w:rPr>
        <w:t>分项绩效目标</w:t>
      </w:r>
      <w:r>
        <w:fldChar w:fldCharType="begin"/>
      </w:r>
      <w:r>
        <w:rPr>
          <w:rFonts w:ascii="方正楷体简体" w:hAnsi="黑体" w:eastAsia="方正楷体简体"/>
          <w:sz w:val="32"/>
          <w:szCs w:val="32"/>
        </w:rPr>
        <w:instrText xml:space="preserve"> TC </w:instrText>
      </w:r>
      <w:bookmarkStart w:id="0" w:name="_Toc28866445"/>
      <w:r>
        <w:rPr>
          <w:rFonts w:ascii="方正楷体简体" w:hAnsi="黑体" w:eastAsia="方正楷体简体"/>
          <w:sz w:val="32"/>
          <w:szCs w:val="32"/>
        </w:rPr>
        <w:instrText xml:space="preserve">分项绩效目标</w:instrText>
      </w:r>
      <w:bookmarkEnd w:id="0"/>
      <w:r>
        <w:rPr>
          <w:rFonts w:ascii="方正楷体简体" w:hAnsi="黑体" w:eastAsia="方正楷体简体"/>
          <w:sz w:val="32"/>
          <w:szCs w:val="32"/>
        </w:rPr>
        <w:instrText xml:space="preserve"> \f A \l 1 </w:instrText>
      </w:r>
      <w:r>
        <w:rPr>
          <w:rFonts w:ascii="方正楷体简体" w:hAnsi="黑体" w:eastAsia="方正楷体简体"/>
          <w:sz w:val="32"/>
          <w:szCs w:val="32"/>
        </w:rPr>
        <w:fldChar w:fldCharType="end"/>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负责本区域社会管理、综合治理、普法宣传、信访调解等工作。</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负责本区域农业、林业、水利、畜牧、渔业管理及统计工作。</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hint="default" w:ascii="Times New Roman" w:hAnsi="Times New Roman" w:eastAsia="方正仿宋简体" w:cs="Times New Roman"/>
          <w:sz w:val="32"/>
          <w:szCs w:val="32"/>
        </w:rPr>
        <w:t>负责本区域劳动和社会保障、医疗、卫生、卫计、环卫、安全生产等工作。</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hint="default" w:ascii="Times New Roman" w:hAnsi="Times New Roman" w:eastAsia="方正仿宋简体" w:cs="Times New Roman"/>
          <w:sz w:val="32"/>
          <w:szCs w:val="32"/>
        </w:rPr>
        <w:t>负责本区域基层建设、群众社区文化、娱乐、体育、教育、科普等工作。</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hint="default" w:ascii="Times New Roman" w:hAnsi="Times New Roman" w:eastAsia="方正仿宋简体" w:cs="Times New Roman"/>
          <w:sz w:val="32"/>
          <w:szCs w:val="32"/>
        </w:rPr>
        <w:t>负责配合有关部门做好防汛、防火、防灾和抢险工作。</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hint="default" w:ascii="Times New Roman" w:hAnsi="Times New Roman" w:eastAsia="方正仿宋简体" w:cs="Times New Roman"/>
          <w:sz w:val="32"/>
          <w:szCs w:val="32"/>
        </w:rPr>
        <w:t>负责贯彻落实国家、省、市方针、政策和法律法规。</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hint="default" w:ascii="Times New Roman" w:hAnsi="Times New Roman" w:eastAsia="方正仿宋简体" w:cs="Times New Roman"/>
          <w:sz w:val="32"/>
          <w:szCs w:val="32"/>
        </w:rPr>
        <w:t>负责承办新区党工委、管委会交办的其他工作任务。</w:t>
      </w:r>
    </w:p>
    <w:p>
      <w:pPr>
        <w:spacing w:line="500" w:lineRule="exact"/>
        <w:ind w:firstLine="640" w:firstLineChars="200"/>
        <w:jc w:val="left"/>
        <w:outlineLvl w:val="1"/>
        <w:rPr>
          <w:rFonts w:ascii="方正楷体简体" w:hAnsi="黑体" w:eastAsia="方正楷体简体"/>
          <w:sz w:val="32"/>
          <w:szCs w:val="32"/>
        </w:rPr>
      </w:pPr>
      <w:r>
        <w:rPr>
          <w:rFonts w:hint="eastAsia" w:ascii="方正楷体简体" w:hAnsi="黑体" w:eastAsia="方正楷体简体"/>
          <w:sz w:val="32"/>
          <w:szCs w:val="32"/>
        </w:rPr>
        <w:t>（</w:t>
      </w:r>
      <w:r>
        <w:rPr>
          <w:rFonts w:ascii="方正楷体简体" w:hAnsi="黑体" w:eastAsia="方正楷体简体"/>
          <w:sz w:val="32"/>
          <w:szCs w:val="32"/>
        </w:rPr>
        <w:t>三</w:t>
      </w:r>
      <w:r>
        <w:rPr>
          <w:rFonts w:hint="eastAsia" w:ascii="方正楷体简体" w:hAnsi="黑体" w:eastAsia="方正楷体简体"/>
          <w:sz w:val="32"/>
          <w:szCs w:val="32"/>
        </w:rPr>
        <w:t>）</w:t>
      </w:r>
      <w:r>
        <w:rPr>
          <w:rFonts w:ascii="方正楷体简体" w:hAnsi="黑体" w:eastAsia="方正楷体简体"/>
          <w:sz w:val="32"/>
          <w:szCs w:val="32"/>
        </w:rPr>
        <w:t>工作保障措施</w:t>
      </w:r>
      <w:r>
        <w:fldChar w:fldCharType="begin"/>
      </w:r>
      <w:r>
        <w:rPr>
          <w:rFonts w:ascii="方正楷体简体" w:hAnsi="黑体" w:eastAsia="方正楷体简体"/>
          <w:sz w:val="32"/>
          <w:szCs w:val="32"/>
        </w:rPr>
        <w:instrText xml:space="preserve"> TC </w:instrText>
      </w:r>
      <w:bookmarkStart w:id="1" w:name="_Toc28866446"/>
      <w:r>
        <w:rPr>
          <w:rFonts w:ascii="方正楷体简体" w:hAnsi="黑体" w:eastAsia="方正楷体简体"/>
          <w:sz w:val="32"/>
          <w:szCs w:val="32"/>
        </w:rPr>
        <w:instrText xml:space="preserve">工作保障措施</w:instrText>
      </w:r>
      <w:bookmarkEnd w:id="1"/>
      <w:r>
        <w:rPr>
          <w:rFonts w:ascii="方正楷体简体" w:hAnsi="黑体" w:eastAsia="方正楷体简体"/>
          <w:sz w:val="32"/>
          <w:szCs w:val="32"/>
        </w:rPr>
        <w:instrText xml:space="preserve"> \f A \l 1 </w:instrText>
      </w:r>
      <w:r>
        <w:rPr>
          <w:rFonts w:ascii="方正楷体简体" w:hAnsi="黑体" w:eastAsia="方正楷体简体"/>
          <w:sz w:val="32"/>
          <w:szCs w:val="32"/>
        </w:rPr>
        <w:fldChar w:fldCharType="end"/>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全面贯彻执行党在农村的各项方针、政策和法律法规，做好农业、农村和农民工作；负责本区域经济发展、社会管理、公共服务和维护农村稳定工作；组织协调本区域社会事业和社会公益基础设施建设。</w:t>
      </w:r>
    </w:p>
    <w:p>
      <w:pPr>
        <w:pStyle w:val="9"/>
        <w:numPr>
          <w:ilvl w:val="0"/>
          <w:numId w:val="0"/>
        </w:numPr>
        <w:rPr>
          <w:sz w:val="32"/>
          <w:szCs w:val="32"/>
        </w:rPr>
      </w:pPr>
    </w:p>
    <w:p>
      <w:pPr>
        <w:ind w:left="630"/>
        <w:rPr>
          <w:rFonts w:hint="eastAsia" w:ascii="Times New Roman" w:hAnsi="Times New Roman" w:eastAsia="宋体" w:cs="宋体"/>
          <w:sz w:val="32"/>
          <w:szCs w:val="32"/>
        </w:rPr>
      </w:pPr>
    </w:p>
    <w:p>
      <w:pPr>
        <w:jc w:val="center"/>
        <w:outlineLvl w:val="0"/>
        <w:rPr>
          <w:rFonts w:ascii="方正小标宋_GBK" w:hAnsi="方正小标宋_GBK" w:eastAsia="方正小标宋_GBK" w:cs="方正小标宋_GBK"/>
          <w:sz w:val="32"/>
        </w:rPr>
      </w:pPr>
      <w:r>
        <w:rPr>
          <w:rFonts w:hint="eastAsia" w:ascii="方正小标宋_GBK" w:hAnsi="方正小标宋_GBK" w:eastAsia="方正小标宋_GBK" w:cs="方正小标宋_GBK"/>
          <w:sz w:val="32"/>
        </w:rPr>
        <w:t>部门职责-工作活动绩效目标</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397"/>
        <w:gridCol w:w="75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66"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left"/>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rPr>
              <w:t>338秦皇岛北戴河新区团林管理处</w:t>
            </w:r>
          </w:p>
        </w:tc>
        <w:tc>
          <w:tcPr>
            <w:tcW w:w="2968" w:type="dxa"/>
            <w:gridSpan w:val="4"/>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right"/>
              <w:rPr>
                <w:rFonts w:ascii="方正书宋_GBK" w:hAnsi="方正书宋_GBK" w:eastAsia="方正书宋_GBK" w:cs="方正书宋_GBK"/>
                <w:sz w:val="24"/>
              </w:rPr>
            </w:pPr>
            <w:r>
              <w:rPr>
                <w:rFonts w:hint="eastAsia" w:ascii="方正书宋_GBK" w:hAnsi="方正书宋_GBK" w:eastAsia="方正书宋_GBK" w:cs="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内容描述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绩效目标</w:t>
            </w:r>
          </w:p>
        </w:tc>
        <w:tc>
          <w:tcPr>
            <w:tcW w:w="139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绩效指标</w:t>
            </w:r>
          </w:p>
        </w:tc>
        <w:tc>
          <w:tcPr>
            <w:tcW w:w="296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39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一、日常工作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全面贯彻执行上级党委、政府方针政策，做好政务、组织、宣传工作。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完成上级下达的各项工作任务，做好党务、政务工作，向基层做好各项方针政策的贯彻、宣传工作。</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1.　综合事务管理</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负责管理处的文秘、组织、宣传、纪检、统战民族宗教、工会共青团妇联等工作，负责行文、档案管理、草拟各类上报材料等文秘工作和做好保密工作，公章管理、办公采购、机关及食堂后勤保障工作，办理人事工作，汇总单位信息，上报宣传部，订阅党报党刊。</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积极配合上级部门完成组织、宣传、纪检、统战、宗教、工青妇工作；依规开展行文、档案管理、公章管理等文秘工作；规范办公采购，后勤保障及时。</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对接上级工作</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保障机关运转</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Times New Roman" w:hAnsi="Times New Roman" w:cs="Times New Roman"/>
                <w:sz w:val="20"/>
                <w:szCs w:val="20"/>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认真管理，积极配合，高效快捷</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二、涉农事务管理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 xml:space="preserve">   强化三资管理，实施农村经济统计、普查工作，做好防火、防汛工作。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 xml:space="preserve">      强化三资管理，实施农村经济统计、普查工作，做好防火、防汛工作。</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341"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1.财政、农经管理</w:t>
            </w:r>
          </w:p>
        </w:tc>
        <w:tc>
          <w:tcPr>
            <w:tcW w:w="12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贯彻执行上级文件精神，及时领拨资金，保运行；加强对村级财务工作管理，加强财务监督力度，严格执行管理制度。</w:t>
            </w: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执行上级文件，规范资金管理；加强财务管理及监管力度。</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适时领拨资金</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强化三资管理</w:t>
            </w:r>
          </w:p>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341"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提高农经管理效果</w:t>
            </w:r>
          </w:p>
          <w:p>
            <w:pPr>
              <w:spacing w:line="300" w:lineRule="exact"/>
              <w:jc w:val="left"/>
              <w:rPr>
                <w:rFonts w:ascii="方正书宋_GBK" w:hAnsi="方正书宋_GBK" w:eastAsia="方正书宋_GBK" w:cs="方正书宋_GBK"/>
              </w:rPr>
            </w:pPr>
          </w:p>
        </w:tc>
        <w:tc>
          <w:tcPr>
            <w:tcW w:w="75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2341"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2、农业</w:t>
            </w:r>
          </w:p>
        </w:tc>
        <w:tc>
          <w:tcPr>
            <w:tcW w:w="12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贯彻执行党和国家的各项农业方针政策，认真落实各项农业发展计划，促进农村农业的全面发展。贯彻执行上级文件精神，配合林业局做好森林防火工作。依法开展国民经济统计，认真做好经济普查工作。落实好涉水工程汛前隐患排查整改，汛中应急抢险、灾情核查等工作。遇干旱灾害积极参与水资源调度、水事纠纷调处、抗旱服务等工作。</w:t>
            </w: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落实农业政策，促进发展，及时发放各项涉农资金；做好防火、抗旱防汛工作；开展国民经济统计。</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落实宣传政策及时率（%）</w:t>
            </w: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落实计划进度（%）</w:t>
            </w: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2341"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农业支持保护补贴资金发放率（%）</w:t>
            </w:r>
          </w:p>
        </w:tc>
        <w:tc>
          <w:tcPr>
            <w:tcW w:w="75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三、社会事务管理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做好计生、民生工作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贯彻执行国家计划生育政策。解决计生、民生各类问题。</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1.计生事务管理</w:t>
            </w:r>
          </w:p>
        </w:tc>
        <w:tc>
          <w:tcPr>
            <w:tcW w:w="12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相关证件审核、办理，落实计划生育奖励优待政策,计生统计、流动人口服务管理，生殖健康检查及孕前优生健康检查，避孕药具管理发放，计划生育宣传教育，计生协会工作，协助社会抚养费征收。接受区级卫生计生行政部门指导，指导开展农村爱国卫生运动，协助做好辖区内免疫规划实施、共公卫生监督检查等工作。</w:t>
            </w: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计生工作按照政策法规办理，按时间完成；卫生按期指导，按时完成。开展农村爱国卫生运动，协助做好辖区内免疫规划实施、共公卫生监督检查等工作。</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执行政策，做好人口管理</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深入开展爱国卫生运动</w:t>
            </w:r>
          </w:p>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color w:val="000000"/>
                <w:sz w:val="18"/>
                <w:szCs w:val="18"/>
              </w:rPr>
            </w:pPr>
            <w:r>
              <w:rPr>
                <w:rFonts w:hint="eastAsia"/>
                <w:color w:val="000000"/>
                <w:sz w:val="18"/>
                <w:szCs w:val="18"/>
              </w:rPr>
              <w:t>卫生计生监督覆盖率（%）</w:t>
            </w:r>
          </w:p>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2.民生事务管理</w:t>
            </w:r>
          </w:p>
        </w:tc>
        <w:tc>
          <w:tcPr>
            <w:tcW w:w="12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查灾、核灾、记灾、上报灾情，协助主管局分发救灾款物，指导灾民开展生产自救；收缴城乡居民养老保险金，医疗保险，按月发放60岁以上人员的养老保险金；核实80岁以上人员信息，适时发放高龄补贴；开展移民管理服务工作，核实移民信息，做好移民生产生活补贴的发放；低保、五保、医疗救助的申报，做好残疾人扶贫资金、托养资金的发放；开展辖区内低保、五保、困难户等危房改造管理工作；开展拥军优属工作；开展文化活动建设。</w:t>
            </w: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民生事务按时落实。及时审核、发放各项民生资金，开展拥军优属，危房改造。</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核查统计工作完成率</w:t>
            </w: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困难残疾人生活补贴发放</w:t>
            </w: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优抚对象抚恤和生活补助兑现率</w:t>
            </w: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8" w:hRule="atLeast"/>
          <w:jc w:val="center"/>
        </w:trPr>
        <w:tc>
          <w:tcPr>
            <w:tcW w:w="2341"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四、土地规划管理工作</w:t>
            </w:r>
          </w:p>
          <w:p>
            <w:pPr>
              <w:spacing w:line="300" w:lineRule="exact"/>
              <w:jc w:val="left"/>
              <w:rPr>
                <w:rFonts w:ascii="方正书宋_GBK" w:hAnsi="方正书宋_GBK" w:eastAsia="方正书宋_GBK" w:cs="方正书宋_GBK"/>
                <w:b/>
              </w:rPr>
            </w:pPr>
          </w:p>
        </w:tc>
        <w:tc>
          <w:tcPr>
            <w:tcW w:w="12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管理处范围内土地规划管理</w:t>
            </w:r>
          </w:p>
          <w:p>
            <w:pPr>
              <w:spacing w:line="300" w:lineRule="exact"/>
              <w:jc w:val="left"/>
              <w:rPr>
                <w:rFonts w:ascii="方正书宋_GBK" w:hAnsi="方正书宋_GBK" w:eastAsia="方正书宋_GBK" w:cs="方正书宋_GBK"/>
              </w:rPr>
            </w:pPr>
          </w:p>
        </w:tc>
        <w:tc>
          <w:tcPr>
            <w:tcW w:w="29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做好辖区内土地规划、危房改造、大气污染治理工作</w:t>
            </w:r>
          </w:p>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restart"/>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1.辖区15个行政村的土地管理、美丽乡村建设。</w:t>
            </w:r>
          </w:p>
        </w:tc>
        <w:tc>
          <w:tcPr>
            <w:tcW w:w="1276" w:type="dxa"/>
            <w:vMerge w:val="restart"/>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tc>
        <w:tc>
          <w:tcPr>
            <w:tcW w:w="2976" w:type="dxa"/>
            <w:vMerge w:val="restart"/>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负责本辖区内农用地转用，土地征用报批的前期准备工作。负责土地收购储备的前期核查工作。积极配合新型城镇化办公室，推进美丽乡村建设，加大农村环境综合整治，切实改善居住环境。</w:t>
            </w:r>
          </w:p>
        </w:tc>
        <w:tc>
          <w:tcPr>
            <w:tcW w:w="2976" w:type="dxa"/>
            <w:vMerge w:val="restart"/>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土地征收、收储工作，协调农民在土地收储工作中存在的问题及矛盾。积极配合，加强整治推进美丽乡村建设，加大农村环境综合整治，切实改善居住环境。</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严格按要求完成</w:t>
            </w:r>
          </w:p>
        </w:tc>
        <w:tc>
          <w:tcPr>
            <w:tcW w:w="75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项目建设完成进度</w:t>
            </w: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规划编制完整</w:t>
            </w: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restart"/>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2.　环保</w:t>
            </w:r>
          </w:p>
        </w:tc>
        <w:tc>
          <w:tcPr>
            <w:tcW w:w="1276" w:type="dxa"/>
            <w:vMerge w:val="restart"/>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tc>
        <w:tc>
          <w:tcPr>
            <w:tcW w:w="2976" w:type="dxa"/>
            <w:vMerge w:val="restart"/>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加强环保法宣传，健全环保三级网格化监管机制，建立环保档案，协助上级环保部门防治水、噪声和大气污染工作。</w:t>
            </w:r>
          </w:p>
        </w:tc>
        <w:tc>
          <w:tcPr>
            <w:tcW w:w="2976" w:type="dxa"/>
            <w:vMerge w:val="restart"/>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加强宣传、规范档案、做好辖区15个行政村的环境卫生工作。</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政策宣传率（%）</w:t>
            </w: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环保检查管理</w:t>
            </w:r>
          </w:p>
        </w:tc>
        <w:tc>
          <w:tcPr>
            <w:tcW w:w="75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atLeast"/>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密切配合、协助上级工作</w:t>
            </w:r>
          </w:p>
        </w:tc>
        <w:tc>
          <w:tcPr>
            <w:tcW w:w="7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五、综合治理工作</w:t>
            </w:r>
          </w:p>
          <w:p>
            <w:pPr>
              <w:spacing w:line="300" w:lineRule="exact"/>
              <w:jc w:val="left"/>
              <w:rPr>
                <w:rFonts w:ascii="方正书宋_GBK" w:hAnsi="方正书宋_GBK" w:eastAsia="方正书宋_GBK" w:cs="方正书宋_GBK"/>
                <w:b/>
              </w:rPr>
            </w:pPr>
          </w:p>
        </w:tc>
        <w:tc>
          <w:tcPr>
            <w:tcW w:w="12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tc>
        <w:tc>
          <w:tcPr>
            <w:tcW w:w="29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安全生产、司法、信访维稳</w:t>
            </w:r>
          </w:p>
          <w:p>
            <w:pPr>
              <w:spacing w:line="300" w:lineRule="exact"/>
              <w:jc w:val="left"/>
              <w:rPr>
                <w:rFonts w:ascii="方正书宋_GBK" w:hAnsi="方正书宋_GBK" w:eastAsia="方正书宋_GBK" w:cs="方正书宋_GBK"/>
              </w:rPr>
            </w:pPr>
          </w:p>
        </w:tc>
        <w:tc>
          <w:tcPr>
            <w:tcW w:w="2976" w:type="dxa"/>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做好安全生产和社区矫正、信访稳定工作</w:t>
            </w:r>
          </w:p>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2341"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1.社区矫正</w:t>
            </w:r>
          </w:p>
          <w:p>
            <w:pPr>
              <w:spacing w:line="300" w:lineRule="exact"/>
              <w:jc w:val="left"/>
              <w:rPr>
                <w:rFonts w:ascii="方正书宋_GBK" w:hAnsi="方正书宋_GBK" w:eastAsia="方正书宋_GBK" w:cs="方正书宋_GBK"/>
                <w:b/>
              </w:rPr>
            </w:pPr>
          </w:p>
        </w:tc>
        <w:tc>
          <w:tcPr>
            <w:tcW w:w="12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协助管理社区矫正人员，宣传普及法律知识。</w:t>
            </w:r>
          </w:p>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做好社区矫正人员的思想工作，宣传法律知识。</w:t>
            </w:r>
          </w:p>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加强管理，减少犯罪</w:t>
            </w: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开展法律援助工作</w:t>
            </w: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2341"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按时组织矫正人员培训</w:t>
            </w:r>
          </w:p>
        </w:tc>
        <w:tc>
          <w:tcPr>
            <w:tcW w:w="75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c>
          <w:tcPr>
            <w:tcW w:w="737" w:type="dxa"/>
            <w:tcBorders>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　2.综治、安全生产、食品安全、信访稳定、应急</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开展社会治安综合治理工作；宣传、贯彻、执行安全生产法律法规，定期向上级报告安全生产工作情况；协助新区食药监科做好食品安全工作；依法治访、信访稳控、解决矛盾纠纷；做好突发事件的应急处置工作</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rPr>
              <w:t>做好辖区内的综合治理工作，创建平安、和谐氛围；协助上级安检部门做好辖区内安全生产宣传检查工作，增强安全生产意识； 协助新区食药监科做好食品安全工作；依法、依归解决辖区内存在的信访矛盾；规范管理，做好突发事件的应急处置工作</w:t>
            </w: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sz w:val="18"/>
                <w:szCs w:val="18"/>
              </w:rPr>
            </w:pPr>
            <w:r>
              <w:rPr>
                <w:rFonts w:hint="eastAsia"/>
                <w:sz w:val="18"/>
                <w:szCs w:val="18"/>
              </w:rPr>
              <w:t>加强综合治理，规范信访行为</w:t>
            </w:r>
          </w:p>
          <w:p>
            <w:pPr>
              <w:spacing w:line="300" w:lineRule="exact"/>
              <w:jc w:val="left"/>
              <w:rPr>
                <w:rFonts w:ascii="方正书宋_GBK" w:hAnsi="方正书宋_GBK" w:eastAsia="方正书宋_GBK" w:cs="方正书宋_GBK"/>
              </w:rPr>
            </w:pPr>
          </w:p>
        </w:tc>
        <w:tc>
          <w:tcPr>
            <w:tcW w:w="75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2341" w:type="dxa"/>
            <w:vMerge w:val="continue"/>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top w:val="single" w:color="000000" w:sz="6" w:space="0"/>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left"/>
              <w:rPr>
                <w:rFonts w:ascii="宋体" w:hAnsi="宋体" w:eastAsia="宋体" w:cs="宋体"/>
                <w:sz w:val="18"/>
                <w:szCs w:val="18"/>
              </w:rPr>
            </w:pPr>
            <w:r>
              <w:rPr>
                <w:rFonts w:hint="eastAsia"/>
                <w:sz w:val="18"/>
                <w:szCs w:val="18"/>
              </w:rPr>
              <w:t>开展安全生产，处理突发事件</w:t>
            </w:r>
          </w:p>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rPr>
              <w:t>100%</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95%</w:t>
            </w: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tc>
        <w:tc>
          <w:tcPr>
            <w:tcW w:w="737" w:type="dxa"/>
            <w:tcBorders>
              <w:top w:val="single" w:color="000000" w:sz="6" w:space="0"/>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p>
          <w:p>
            <w:pPr>
              <w:spacing w:line="300" w:lineRule="exact"/>
              <w:jc w:val="center"/>
              <w:rPr>
                <w:rFonts w:ascii="方正书宋_GBK" w:hAnsi="方正书宋_GBK" w:eastAsia="方正书宋_GBK" w:cs="方正书宋_GBK"/>
              </w:rPr>
            </w:pPr>
            <w:r>
              <w:rPr>
                <w:rFonts w:hint="eastAsia" w:ascii="宋体" w:hAnsi="宋体" w:eastAsia="宋体" w:cs="宋体"/>
              </w:rPr>
              <w:t>≦</w:t>
            </w:r>
            <w:r>
              <w:rPr>
                <w:rFonts w:hint="eastAsia" w:ascii="方正书宋_GBK" w:hAnsi="方正书宋_GBK" w:eastAsia="方正书宋_GBK" w:cs="方正书宋_GBK"/>
              </w:rPr>
              <w:t>90%</w:t>
            </w:r>
          </w:p>
          <w:p>
            <w:pPr>
              <w:spacing w:line="300" w:lineRule="exact"/>
              <w:jc w:val="center"/>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4" w:hRule="atLeast"/>
          <w:jc w:val="center"/>
        </w:trPr>
        <w:tc>
          <w:tcPr>
            <w:tcW w:w="2341"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rPr>
            </w:pPr>
          </w:p>
        </w:tc>
        <w:tc>
          <w:tcPr>
            <w:tcW w:w="12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2976" w:type="dxa"/>
            <w:vMerge w:val="continue"/>
            <w:tcBorders>
              <w:left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p>
        </w:tc>
        <w:tc>
          <w:tcPr>
            <w:tcW w:w="1397" w:type="dxa"/>
            <w:tcBorders>
              <w:top w:val="single" w:color="000000" w:sz="6" w:space="0"/>
              <w:left w:val="single" w:color="000000" w:sz="6" w:space="0"/>
              <w:right w:val="single" w:color="000000" w:sz="6" w:space="0"/>
            </w:tcBorders>
            <w:shd w:val="clear" w:color="auto" w:fill="auto"/>
            <w:vAlign w:val="center"/>
          </w:tcPr>
          <w:p>
            <w:pPr>
              <w:jc w:val="left"/>
              <w:rPr>
                <w:rFonts w:ascii="宋体" w:hAnsi="宋体" w:eastAsia="宋体" w:cs="宋体"/>
                <w:sz w:val="18"/>
                <w:szCs w:val="18"/>
              </w:rPr>
            </w:pPr>
            <w:r>
              <w:rPr>
                <w:rFonts w:hint="eastAsia"/>
                <w:sz w:val="18"/>
                <w:szCs w:val="18"/>
              </w:rPr>
              <w:t>越级非访率</w:t>
            </w:r>
          </w:p>
          <w:p>
            <w:pPr>
              <w:spacing w:line="300" w:lineRule="exact"/>
              <w:jc w:val="left"/>
              <w:rPr>
                <w:rFonts w:ascii="方正书宋_GBK" w:hAnsi="方正书宋_GBK" w:eastAsia="方正书宋_GBK" w:cs="方正书宋_GBK"/>
              </w:rPr>
            </w:pPr>
          </w:p>
        </w:tc>
        <w:tc>
          <w:tcPr>
            <w:tcW w:w="75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c>
          <w:tcPr>
            <w:tcW w:w="737" w:type="dxa"/>
            <w:tcBorders>
              <w:left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p>
        </w:tc>
      </w:tr>
    </w:tbl>
    <w:p>
      <w:pPr>
        <w:rPr>
          <w:rFonts w:ascii="Times New Roman" w:hAnsi="Times New Roman" w:eastAsia="宋体" w:cs="Times New Roman"/>
        </w:rPr>
        <w:sectPr>
          <w:pgSz w:w="16839" w:h="11915" w:orient="landscape"/>
          <w:pgMar w:top="1020" w:right="1361" w:bottom="1020" w:left="1361" w:header="851" w:footer="992" w:gutter="0"/>
          <w:cols w:space="425" w:num="1"/>
          <w:docGrid w:type="lines" w:linePitch="312" w:charSpace="0"/>
        </w:sectPr>
      </w:pPr>
    </w:p>
    <w:p>
      <w:pPr>
        <w:ind w:firstLine="640" w:firstLineChars="200"/>
        <w:jc w:val="center"/>
        <w:rPr>
          <w:sz w:val="32"/>
          <w:szCs w:val="32"/>
        </w:rPr>
      </w:pPr>
    </w:p>
    <w:p>
      <w:pPr>
        <w:pStyle w:val="9"/>
        <w:numPr>
          <w:numId w:val="0"/>
        </w:numPr>
        <w:ind w:left="630" w:leftChars="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政府采购预算情况</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w:t>
      </w:r>
      <w:r>
        <w:rPr>
          <w:rFonts w:hint="eastAsia" w:ascii="Times New Roman" w:hAnsi="Times New Roman" w:eastAsia="方正仿宋简体" w:cs="Times New Roman"/>
          <w:sz w:val="32"/>
          <w:szCs w:val="32"/>
        </w:rPr>
        <w:t>9年我单位政府采购预算3.6万元，系城乡计算机、打印机设备。</w:t>
      </w:r>
    </w:p>
    <w:p>
      <w:r>
        <w:rPr>
          <w:rFonts w:hint="eastAsia"/>
        </w:rPr>
        <w:t>338秦皇岛北戴河新区团林管理处                                                                                         单位：万元</w:t>
      </w:r>
    </w:p>
    <w:tbl>
      <w:tblPr>
        <w:tblStyle w:val="5"/>
        <w:tblpPr w:leftFromText="180" w:rightFromText="180" w:vertAnchor="page" w:horzAnchor="page" w:tblpX="1476" w:tblpY="3233"/>
        <w:tblOverlap w:val="never"/>
        <w:tblW w:w="13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155"/>
        <w:gridCol w:w="978"/>
        <w:gridCol w:w="837"/>
        <w:gridCol w:w="660"/>
        <w:gridCol w:w="720"/>
        <w:gridCol w:w="945"/>
        <w:gridCol w:w="1005"/>
        <w:gridCol w:w="870"/>
        <w:gridCol w:w="930"/>
        <w:gridCol w:w="975"/>
        <w:gridCol w:w="855"/>
        <w:gridCol w:w="9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gridSpan w:val="2"/>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政府采购项目来源</w:t>
            </w:r>
          </w:p>
        </w:tc>
        <w:tc>
          <w:tcPr>
            <w:tcW w:w="978"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采购物品名称</w:t>
            </w:r>
          </w:p>
        </w:tc>
        <w:tc>
          <w:tcPr>
            <w:tcW w:w="837"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政府采购目录序号</w:t>
            </w:r>
          </w:p>
        </w:tc>
        <w:tc>
          <w:tcPr>
            <w:tcW w:w="660"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数量单位</w:t>
            </w:r>
          </w:p>
        </w:tc>
        <w:tc>
          <w:tcPr>
            <w:tcW w:w="720"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数量</w:t>
            </w:r>
          </w:p>
        </w:tc>
        <w:tc>
          <w:tcPr>
            <w:tcW w:w="945"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单价</w:t>
            </w:r>
          </w:p>
        </w:tc>
        <w:tc>
          <w:tcPr>
            <w:tcW w:w="6285" w:type="dxa"/>
            <w:gridSpan w:val="7"/>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政府采购金额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项目名称</w:t>
            </w:r>
          </w:p>
        </w:tc>
        <w:tc>
          <w:tcPr>
            <w:tcW w:w="1155"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预算资金</w:t>
            </w:r>
          </w:p>
        </w:tc>
        <w:tc>
          <w:tcPr>
            <w:tcW w:w="978" w:type="dxa"/>
            <w:vMerge w:val="continue"/>
            <w:vAlign w:val="center"/>
          </w:tcPr>
          <w:p>
            <w:pPr>
              <w:spacing w:line="300" w:lineRule="exact"/>
              <w:jc w:val="left"/>
              <w:rPr>
                <w:rFonts w:ascii="方正书宋_GBK" w:hAnsi="方正书宋_GBK" w:eastAsia="方正书宋_GBK" w:cs="方正书宋_GBK"/>
                <w:b/>
              </w:rPr>
            </w:pPr>
          </w:p>
        </w:tc>
        <w:tc>
          <w:tcPr>
            <w:tcW w:w="837" w:type="dxa"/>
            <w:vMerge w:val="continue"/>
            <w:vAlign w:val="center"/>
          </w:tcPr>
          <w:p>
            <w:pPr>
              <w:spacing w:line="300" w:lineRule="exact"/>
              <w:jc w:val="left"/>
              <w:rPr>
                <w:rFonts w:ascii="方正书宋_GBK" w:hAnsi="方正书宋_GBK" w:eastAsia="方正书宋_GBK" w:cs="方正书宋_GBK"/>
                <w:b/>
              </w:rPr>
            </w:pPr>
          </w:p>
        </w:tc>
        <w:tc>
          <w:tcPr>
            <w:tcW w:w="660" w:type="dxa"/>
            <w:vMerge w:val="continue"/>
            <w:vAlign w:val="center"/>
          </w:tcPr>
          <w:p>
            <w:pPr>
              <w:spacing w:line="300" w:lineRule="exact"/>
              <w:jc w:val="left"/>
              <w:rPr>
                <w:rFonts w:ascii="方正书宋_GBK" w:hAnsi="方正书宋_GBK" w:eastAsia="方正书宋_GBK" w:cs="方正书宋_GBK"/>
                <w:b/>
              </w:rPr>
            </w:pPr>
          </w:p>
        </w:tc>
        <w:tc>
          <w:tcPr>
            <w:tcW w:w="720" w:type="dxa"/>
            <w:vMerge w:val="continue"/>
            <w:vAlign w:val="center"/>
          </w:tcPr>
          <w:p>
            <w:pPr>
              <w:spacing w:line="300" w:lineRule="exact"/>
              <w:jc w:val="left"/>
              <w:rPr>
                <w:rFonts w:ascii="方正书宋_GBK" w:hAnsi="方正书宋_GBK" w:eastAsia="方正书宋_GBK" w:cs="方正书宋_GBK"/>
                <w:b/>
              </w:rPr>
            </w:pPr>
          </w:p>
        </w:tc>
        <w:tc>
          <w:tcPr>
            <w:tcW w:w="945" w:type="dxa"/>
            <w:vMerge w:val="continue"/>
            <w:vAlign w:val="center"/>
          </w:tcPr>
          <w:p>
            <w:pPr>
              <w:spacing w:line="300" w:lineRule="exact"/>
              <w:jc w:val="left"/>
              <w:rPr>
                <w:rFonts w:ascii="方正书宋_GBK" w:hAnsi="方正书宋_GBK" w:eastAsia="方正书宋_GBK" w:cs="方正书宋_GBK"/>
                <w:b/>
              </w:rPr>
            </w:pPr>
          </w:p>
        </w:tc>
        <w:tc>
          <w:tcPr>
            <w:tcW w:w="1005"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总计</w:t>
            </w:r>
          </w:p>
        </w:tc>
        <w:tc>
          <w:tcPr>
            <w:tcW w:w="4530" w:type="dxa"/>
            <w:gridSpan w:val="5"/>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当年部门预算安排资金</w:t>
            </w:r>
          </w:p>
        </w:tc>
        <w:tc>
          <w:tcPr>
            <w:tcW w:w="750" w:type="dxa"/>
            <w:vMerge w:val="restart"/>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其他渠道资金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vMerge w:val="continue"/>
            <w:vAlign w:val="center"/>
          </w:tcPr>
          <w:p>
            <w:pPr>
              <w:spacing w:line="300" w:lineRule="exact"/>
              <w:jc w:val="left"/>
              <w:rPr>
                <w:rFonts w:ascii="方正书宋_GBK" w:hAnsi="方正书宋_GBK" w:eastAsia="方正书宋_GBK" w:cs="方正书宋_GBK"/>
                <w:b/>
              </w:rPr>
            </w:pPr>
          </w:p>
        </w:tc>
        <w:tc>
          <w:tcPr>
            <w:tcW w:w="1155" w:type="dxa"/>
            <w:vMerge w:val="continue"/>
            <w:vAlign w:val="center"/>
          </w:tcPr>
          <w:p>
            <w:pPr>
              <w:spacing w:line="300" w:lineRule="exact"/>
              <w:jc w:val="left"/>
              <w:rPr>
                <w:rFonts w:ascii="方正书宋_GBK" w:hAnsi="方正书宋_GBK" w:eastAsia="方正书宋_GBK" w:cs="方正书宋_GBK"/>
                <w:b/>
              </w:rPr>
            </w:pPr>
          </w:p>
        </w:tc>
        <w:tc>
          <w:tcPr>
            <w:tcW w:w="978" w:type="dxa"/>
            <w:vMerge w:val="continue"/>
            <w:vAlign w:val="center"/>
          </w:tcPr>
          <w:p>
            <w:pPr>
              <w:spacing w:line="300" w:lineRule="exact"/>
              <w:jc w:val="left"/>
              <w:rPr>
                <w:rFonts w:ascii="方正书宋_GBK" w:hAnsi="方正书宋_GBK" w:eastAsia="方正书宋_GBK" w:cs="方正书宋_GBK"/>
                <w:b/>
              </w:rPr>
            </w:pPr>
          </w:p>
        </w:tc>
        <w:tc>
          <w:tcPr>
            <w:tcW w:w="837" w:type="dxa"/>
            <w:vMerge w:val="continue"/>
            <w:vAlign w:val="center"/>
          </w:tcPr>
          <w:p>
            <w:pPr>
              <w:spacing w:line="300" w:lineRule="exact"/>
              <w:jc w:val="left"/>
              <w:rPr>
                <w:rFonts w:ascii="方正书宋_GBK" w:hAnsi="方正书宋_GBK" w:eastAsia="方正书宋_GBK" w:cs="方正书宋_GBK"/>
                <w:b/>
              </w:rPr>
            </w:pPr>
          </w:p>
        </w:tc>
        <w:tc>
          <w:tcPr>
            <w:tcW w:w="660" w:type="dxa"/>
            <w:vMerge w:val="continue"/>
            <w:vAlign w:val="center"/>
          </w:tcPr>
          <w:p>
            <w:pPr>
              <w:spacing w:line="300" w:lineRule="exact"/>
              <w:jc w:val="left"/>
              <w:rPr>
                <w:rFonts w:ascii="方正书宋_GBK" w:hAnsi="方正书宋_GBK" w:eastAsia="方正书宋_GBK" w:cs="方正书宋_GBK"/>
                <w:b/>
              </w:rPr>
            </w:pPr>
          </w:p>
        </w:tc>
        <w:tc>
          <w:tcPr>
            <w:tcW w:w="720" w:type="dxa"/>
            <w:vMerge w:val="continue"/>
            <w:vAlign w:val="center"/>
          </w:tcPr>
          <w:p>
            <w:pPr>
              <w:spacing w:line="300" w:lineRule="exact"/>
              <w:jc w:val="left"/>
              <w:rPr>
                <w:rFonts w:ascii="方正书宋_GBK" w:hAnsi="方正书宋_GBK" w:eastAsia="方正书宋_GBK" w:cs="方正书宋_GBK"/>
                <w:b/>
              </w:rPr>
            </w:pPr>
          </w:p>
        </w:tc>
        <w:tc>
          <w:tcPr>
            <w:tcW w:w="945" w:type="dxa"/>
            <w:vMerge w:val="continue"/>
            <w:vAlign w:val="center"/>
          </w:tcPr>
          <w:p>
            <w:pPr>
              <w:spacing w:line="300" w:lineRule="exact"/>
              <w:jc w:val="left"/>
              <w:rPr>
                <w:rFonts w:ascii="方正书宋_GBK" w:hAnsi="方正书宋_GBK" w:eastAsia="方正书宋_GBK" w:cs="方正书宋_GBK"/>
                <w:b/>
              </w:rPr>
            </w:pPr>
          </w:p>
        </w:tc>
        <w:tc>
          <w:tcPr>
            <w:tcW w:w="1005" w:type="dxa"/>
            <w:vMerge w:val="continue"/>
            <w:vAlign w:val="center"/>
          </w:tcPr>
          <w:p>
            <w:pPr>
              <w:spacing w:line="300" w:lineRule="exact"/>
              <w:jc w:val="left"/>
              <w:rPr>
                <w:rFonts w:ascii="方正书宋_GBK" w:hAnsi="方正书宋_GBK" w:eastAsia="方正书宋_GBK" w:cs="方正书宋_GBK"/>
                <w:b/>
              </w:rPr>
            </w:pPr>
          </w:p>
        </w:tc>
        <w:tc>
          <w:tcPr>
            <w:tcW w:w="8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合计</w:t>
            </w:r>
          </w:p>
        </w:tc>
        <w:tc>
          <w:tcPr>
            <w:tcW w:w="93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一般公共预算拨款</w:t>
            </w:r>
          </w:p>
        </w:tc>
        <w:tc>
          <w:tcPr>
            <w:tcW w:w="97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基金预算拨款</w:t>
            </w:r>
          </w:p>
        </w:tc>
        <w:tc>
          <w:tcPr>
            <w:tcW w:w="855"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政府专户核拨</w:t>
            </w:r>
          </w:p>
        </w:tc>
        <w:tc>
          <w:tcPr>
            <w:tcW w:w="90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其他来源收入</w:t>
            </w:r>
          </w:p>
        </w:tc>
        <w:tc>
          <w:tcPr>
            <w:tcW w:w="750" w:type="dxa"/>
            <w:vMerge w:val="continue"/>
            <w:vAlign w:val="center"/>
          </w:tcPr>
          <w:p>
            <w:pPr>
              <w:spacing w:line="300" w:lineRule="exact"/>
              <w:jc w:val="left"/>
              <w:rPr>
                <w:rFonts w:ascii="方正书宋_GBK" w:hAnsi="方正书宋_GBK" w:eastAsia="方正书宋_GBK" w:cs="方正书宋_GBK"/>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合计</w:t>
            </w:r>
          </w:p>
        </w:tc>
        <w:tc>
          <w:tcPr>
            <w:tcW w:w="1155" w:type="dxa"/>
            <w:vAlign w:val="center"/>
          </w:tcPr>
          <w:p/>
        </w:tc>
        <w:tc>
          <w:tcPr>
            <w:tcW w:w="978" w:type="dxa"/>
            <w:vAlign w:val="center"/>
          </w:tcPr>
          <w:p/>
        </w:tc>
        <w:tc>
          <w:tcPr>
            <w:tcW w:w="837" w:type="dxa"/>
            <w:vAlign w:val="center"/>
          </w:tcPr>
          <w:p/>
        </w:tc>
        <w:tc>
          <w:tcPr>
            <w:tcW w:w="660" w:type="dxa"/>
            <w:vAlign w:val="center"/>
          </w:tcPr>
          <w:p/>
        </w:tc>
        <w:tc>
          <w:tcPr>
            <w:tcW w:w="720" w:type="dxa"/>
            <w:vAlign w:val="center"/>
          </w:tcPr>
          <w:p/>
        </w:tc>
        <w:tc>
          <w:tcPr>
            <w:tcW w:w="945" w:type="dxa"/>
            <w:vAlign w:val="center"/>
          </w:tcPr>
          <w:p/>
        </w:tc>
        <w:tc>
          <w:tcPr>
            <w:tcW w:w="1005" w:type="dxa"/>
            <w:vAlign w:val="center"/>
          </w:tcPr>
          <w:p>
            <w:r>
              <w:rPr>
                <w:rFonts w:hint="eastAsia"/>
              </w:rPr>
              <w:t>3.60</w:t>
            </w:r>
          </w:p>
        </w:tc>
        <w:tc>
          <w:tcPr>
            <w:tcW w:w="870" w:type="dxa"/>
            <w:vAlign w:val="center"/>
          </w:tcPr>
          <w:p>
            <w:r>
              <w:rPr>
                <w:rFonts w:hint="eastAsia"/>
              </w:rPr>
              <w:t>3.60</w:t>
            </w:r>
          </w:p>
        </w:tc>
        <w:tc>
          <w:tcPr>
            <w:tcW w:w="930" w:type="dxa"/>
            <w:vAlign w:val="center"/>
          </w:tcPr>
          <w:p>
            <w:r>
              <w:rPr>
                <w:rFonts w:hint="eastAsia"/>
              </w:rPr>
              <w:t>3.60</w:t>
            </w:r>
          </w:p>
        </w:tc>
        <w:tc>
          <w:tcPr>
            <w:tcW w:w="975" w:type="dxa"/>
            <w:vAlign w:val="center"/>
          </w:tcPr>
          <w:p/>
        </w:tc>
        <w:tc>
          <w:tcPr>
            <w:tcW w:w="855" w:type="dxa"/>
            <w:vAlign w:val="center"/>
          </w:tcPr>
          <w:p/>
        </w:tc>
        <w:tc>
          <w:tcPr>
            <w:tcW w:w="900" w:type="dxa"/>
            <w:vAlign w:val="center"/>
          </w:tcPr>
          <w:p/>
        </w:tc>
        <w:tc>
          <w:tcPr>
            <w:tcW w:w="75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秦皇岛北戴河新区团林街道办事处小计</w:t>
            </w:r>
          </w:p>
        </w:tc>
        <w:tc>
          <w:tcPr>
            <w:tcW w:w="1155" w:type="dxa"/>
            <w:vAlign w:val="center"/>
          </w:tcPr>
          <w:p/>
        </w:tc>
        <w:tc>
          <w:tcPr>
            <w:tcW w:w="978" w:type="dxa"/>
            <w:vAlign w:val="center"/>
          </w:tcPr>
          <w:p/>
        </w:tc>
        <w:tc>
          <w:tcPr>
            <w:tcW w:w="837" w:type="dxa"/>
            <w:vAlign w:val="center"/>
          </w:tcPr>
          <w:p/>
        </w:tc>
        <w:tc>
          <w:tcPr>
            <w:tcW w:w="660" w:type="dxa"/>
            <w:vAlign w:val="center"/>
          </w:tcPr>
          <w:p/>
        </w:tc>
        <w:tc>
          <w:tcPr>
            <w:tcW w:w="720" w:type="dxa"/>
            <w:vAlign w:val="center"/>
          </w:tcPr>
          <w:p/>
        </w:tc>
        <w:tc>
          <w:tcPr>
            <w:tcW w:w="945" w:type="dxa"/>
            <w:vAlign w:val="center"/>
          </w:tcPr>
          <w:p/>
        </w:tc>
        <w:tc>
          <w:tcPr>
            <w:tcW w:w="1005" w:type="dxa"/>
            <w:vAlign w:val="center"/>
          </w:tcPr>
          <w:p>
            <w:r>
              <w:rPr>
                <w:rFonts w:hint="eastAsia"/>
              </w:rPr>
              <w:t>3.60</w:t>
            </w:r>
          </w:p>
        </w:tc>
        <w:tc>
          <w:tcPr>
            <w:tcW w:w="870" w:type="dxa"/>
            <w:vAlign w:val="center"/>
          </w:tcPr>
          <w:p>
            <w:r>
              <w:rPr>
                <w:rFonts w:hint="eastAsia"/>
              </w:rPr>
              <w:t>3.60</w:t>
            </w:r>
          </w:p>
        </w:tc>
        <w:tc>
          <w:tcPr>
            <w:tcW w:w="930" w:type="dxa"/>
            <w:vAlign w:val="center"/>
          </w:tcPr>
          <w:p>
            <w:r>
              <w:rPr>
                <w:rFonts w:hint="eastAsia"/>
              </w:rPr>
              <w:t>3.60</w:t>
            </w:r>
          </w:p>
        </w:tc>
        <w:tc>
          <w:tcPr>
            <w:tcW w:w="975" w:type="dxa"/>
            <w:vAlign w:val="center"/>
          </w:tcPr>
          <w:p/>
        </w:tc>
        <w:tc>
          <w:tcPr>
            <w:tcW w:w="855" w:type="dxa"/>
            <w:vAlign w:val="center"/>
          </w:tcPr>
          <w:p/>
        </w:tc>
        <w:tc>
          <w:tcPr>
            <w:tcW w:w="900" w:type="dxa"/>
            <w:vAlign w:val="center"/>
          </w:tcPr>
          <w:p/>
        </w:tc>
        <w:tc>
          <w:tcPr>
            <w:tcW w:w="75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155" w:type="dxa"/>
            <w:vAlign w:val="center"/>
          </w:tcPr>
          <w:p>
            <w:r>
              <w:rPr>
                <w:rFonts w:hint="eastAsia"/>
              </w:rPr>
              <w:t>61.96</w:t>
            </w:r>
          </w:p>
        </w:tc>
        <w:tc>
          <w:tcPr>
            <w:tcW w:w="978" w:type="dxa"/>
            <w:vAlign w:val="center"/>
          </w:tcPr>
          <w:p>
            <w:r>
              <w:rPr>
                <w:rFonts w:hint="eastAsia"/>
              </w:rPr>
              <w:t>计算机设备</w:t>
            </w:r>
          </w:p>
        </w:tc>
        <w:tc>
          <w:tcPr>
            <w:tcW w:w="837" w:type="dxa"/>
            <w:vAlign w:val="center"/>
          </w:tcPr>
          <w:p>
            <w:r>
              <w:rPr>
                <w:rFonts w:hint="eastAsia"/>
              </w:rPr>
              <w:t>A020101</w:t>
            </w:r>
          </w:p>
        </w:tc>
        <w:tc>
          <w:tcPr>
            <w:tcW w:w="660" w:type="dxa"/>
            <w:vAlign w:val="center"/>
          </w:tcPr>
          <w:p/>
        </w:tc>
        <w:tc>
          <w:tcPr>
            <w:tcW w:w="720" w:type="dxa"/>
            <w:vAlign w:val="center"/>
          </w:tcPr>
          <w:p>
            <w:r>
              <w:rPr>
                <w:rFonts w:hint="eastAsia"/>
              </w:rPr>
              <w:t>2.00</w:t>
            </w:r>
          </w:p>
        </w:tc>
        <w:tc>
          <w:tcPr>
            <w:tcW w:w="945" w:type="dxa"/>
            <w:vAlign w:val="center"/>
          </w:tcPr>
          <w:p>
            <w:r>
              <w:rPr>
                <w:rFonts w:hint="eastAsia"/>
              </w:rPr>
              <w:t>0.50</w:t>
            </w:r>
          </w:p>
        </w:tc>
        <w:tc>
          <w:tcPr>
            <w:tcW w:w="1005" w:type="dxa"/>
            <w:vAlign w:val="center"/>
          </w:tcPr>
          <w:p>
            <w:r>
              <w:rPr>
                <w:rFonts w:hint="eastAsia"/>
              </w:rPr>
              <w:t>1.00</w:t>
            </w:r>
          </w:p>
        </w:tc>
        <w:tc>
          <w:tcPr>
            <w:tcW w:w="870" w:type="dxa"/>
            <w:vAlign w:val="center"/>
          </w:tcPr>
          <w:p>
            <w:r>
              <w:rPr>
                <w:rFonts w:hint="eastAsia"/>
              </w:rPr>
              <w:t>1.00</w:t>
            </w:r>
          </w:p>
        </w:tc>
        <w:tc>
          <w:tcPr>
            <w:tcW w:w="930" w:type="dxa"/>
            <w:vAlign w:val="center"/>
          </w:tcPr>
          <w:p>
            <w:r>
              <w:rPr>
                <w:rFonts w:hint="eastAsia"/>
              </w:rPr>
              <w:t>1.00</w:t>
            </w:r>
          </w:p>
        </w:tc>
        <w:tc>
          <w:tcPr>
            <w:tcW w:w="975" w:type="dxa"/>
            <w:vAlign w:val="center"/>
          </w:tcPr>
          <w:p/>
        </w:tc>
        <w:tc>
          <w:tcPr>
            <w:tcW w:w="855" w:type="dxa"/>
            <w:vAlign w:val="center"/>
          </w:tcPr>
          <w:p/>
        </w:tc>
        <w:tc>
          <w:tcPr>
            <w:tcW w:w="900" w:type="dxa"/>
            <w:vAlign w:val="center"/>
          </w:tcPr>
          <w:p/>
        </w:tc>
        <w:tc>
          <w:tcPr>
            <w:tcW w:w="75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日常公用经费</w:t>
            </w:r>
          </w:p>
        </w:tc>
        <w:tc>
          <w:tcPr>
            <w:tcW w:w="1155" w:type="dxa"/>
            <w:vAlign w:val="center"/>
          </w:tcPr>
          <w:p>
            <w:r>
              <w:rPr>
                <w:rFonts w:hint="eastAsia"/>
              </w:rPr>
              <w:t>61.96</w:t>
            </w:r>
          </w:p>
        </w:tc>
        <w:tc>
          <w:tcPr>
            <w:tcW w:w="978" w:type="dxa"/>
            <w:vAlign w:val="center"/>
          </w:tcPr>
          <w:p>
            <w:r>
              <w:rPr>
                <w:rFonts w:hint="eastAsia"/>
              </w:rPr>
              <w:t>打印设备</w:t>
            </w:r>
          </w:p>
        </w:tc>
        <w:tc>
          <w:tcPr>
            <w:tcW w:w="837" w:type="dxa"/>
            <w:vAlign w:val="center"/>
          </w:tcPr>
          <w:p>
            <w:r>
              <w:rPr>
                <w:rFonts w:hint="eastAsia"/>
              </w:rPr>
              <w:t>A02010601</w:t>
            </w:r>
          </w:p>
        </w:tc>
        <w:tc>
          <w:tcPr>
            <w:tcW w:w="660" w:type="dxa"/>
            <w:vAlign w:val="center"/>
          </w:tcPr>
          <w:p/>
        </w:tc>
        <w:tc>
          <w:tcPr>
            <w:tcW w:w="720" w:type="dxa"/>
            <w:vAlign w:val="center"/>
          </w:tcPr>
          <w:p>
            <w:r>
              <w:rPr>
                <w:rFonts w:hint="eastAsia"/>
              </w:rPr>
              <w:t>3.00</w:t>
            </w:r>
          </w:p>
        </w:tc>
        <w:tc>
          <w:tcPr>
            <w:tcW w:w="945" w:type="dxa"/>
            <w:vAlign w:val="center"/>
          </w:tcPr>
          <w:p>
            <w:r>
              <w:rPr>
                <w:rFonts w:hint="eastAsia"/>
              </w:rPr>
              <w:t>0.20</w:t>
            </w:r>
          </w:p>
        </w:tc>
        <w:tc>
          <w:tcPr>
            <w:tcW w:w="1005" w:type="dxa"/>
            <w:vAlign w:val="center"/>
          </w:tcPr>
          <w:p>
            <w:r>
              <w:rPr>
                <w:rFonts w:hint="eastAsia"/>
              </w:rPr>
              <w:t>0.60</w:t>
            </w:r>
          </w:p>
        </w:tc>
        <w:tc>
          <w:tcPr>
            <w:tcW w:w="870" w:type="dxa"/>
            <w:vAlign w:val="center"/>
          </w:tcPr>
          <w:p>
            <w:r>
              <w:rPr>
                <w:rFonts w:hint="eastAsia"/>
              </w:rPr>
              <w:t>0.60</w:t>
            </w:r>
          </w:p>
        </w:tc>
        <w:tc>
          <w:tcPr>
            <w:tcW w:w="930" w:type="dxa"/>
            <w:vAlign w:val="center"/>
          </w:tcPr>
          <w:p>
            <w:r>
              <w:rPr>
                <w:rFonts w:hint="eastAsia"/>
              </w:rPr>
              <w:t>0.60</w:t>
            </w:r>
          </w:p>
        </w:tc>
        <w:tc>
          <w:tcPr>
            <w:tcW w:w="975" w:type="dxa"/>
            <w:vAlign w:val="center"/>
          </w:tcPr>
          <w:p/>
        </w:tc>
        <w:tc>
          <w:tcPr>
            <w:tcW w:w="855" w:type="dxa"/>
            <w:vAlign w:val="center"/>
          </w:tcPr>
          <w:p/>
        </w:tc>
        <w:tc>
          <w:tcPr>
            <w:tcW w:w="900" w:type="dxa"/>
            <w:vAlign w:val="center"/>
          </w:tcPr>
          <w:p/>
        </w:tc>
        <w:tc>
          <w:tcPr>
            <w:tcW w:w="75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农村事物经费</w:t>
            </w:r>
          </w:p>
        </w:tc>
        <w:tc>
          <w:tcPr>
            <w:tcW w:w="1155" w:type="dxa"/>
            <w:vAlign w:val="center"/>
          </w:tcPr>
          <w:p>
            <w:r>
              <w:rPr>
                <w:rFonts w:hint="eastAsia"/>
              </w:rPr>
              <w:t>100.00</w:t>
            </w:r>
          </w:p>
        </w:tc>
        <w:tc>
          <w:tcPr>
            <w:tcW w:w="978" w:type="dxa"/>
            <w:vAlign w:val="center"/>
          </w:tcPr>
          <w:p>
            <w:r>
              <w:rPr>
                <w:rFonts w:hint="eastAsia"/>
              </w:rPr>
              <w:t>计算机设备</w:t>
            </w:r>
          </w:p>
        </w:tc>
        <w:tc>
          <w:tcPr>
            <w:tcW w:w="837" w:type="dxa"/>
            <w:vAlign w:val="center"/>
          </w:tcPr>
          <w:p>
            <w:r>
              <w:rPr>
                <w:rFonts w:hint="eastAsia"/>
              </w:rPr>
              <w:t>A020101</w:t>
            </w:r>
          </w:p>
        </w:tc>
        <w:tc>
          <w:tcPr>
            <w:tcW w:w="660" w:type="dxa"/>
            <w:vAlign w:val="center"/>
          </w:tcPr>
          <w:p/>
        </w:tc>
        <w:tc>
          <w:tcPr>
            <w:tcW w:w="720" w:type="dxa"/>
            <w:vAlign w:val="center"/>
          </w:tcPr>
          <w:p>
            <w:r>
              <w:rPr>
                <w:rFonts w:hint="eastAsia"/>
              </w:rPr>
              <w:t>3.00</w:t>
            </w:r>
          </w:p>
        </w:tc>
        <w:tc>
          <w:tcPr>
            <w:tcW w:w="945" w:type="dxa"/>
            <w:vAlign w:val="center"/>
          </w:tcPr>
          <w:p>
            <w:r>
              <w:rPr>
                <w:rFonts w:hint="eastAsia"/>
              </w:rPr>
              <w:t>0.50</w:t>
            </w:r>
          </w:p>
        </w:tc>
        <w:tc>
          <w:tcPr>
            <w:tcW w:w="1005" w:type="dxa"/>
            <w:vAlign w:val="center"/>
          </w:tcPr>
          <w:p>
            <w:r>
              <w:rPr>
                <w:rFonts w:hint="eastAsia"/>
              </w:rPr>
              <w:t>1.50</w:t>
            </w:r>
          </w:p>
        </w:tc>
        <w:tc>
          <w:tcPr>
            <w:tcW w:w="870" w:type="dxa"/>
            <w:vAlign w:val="center"/>
          </w:tcPr>
          <w:p>
            <w:r>
              <w:rPr>
                <w:rFonts w:hint="eastAsia"/>
              </w:rPr>
              <w:t>1.50</w:t>
            </w:r>
          </w:p>
        </w:tc>
        <w:tc>
          <w:tcPr>
            <w:tcW w:w="930" w:type="dxa"/>
            <w:vAlign w:val="center"/>
          </w:tcPr>
          <w:p>
            <w:r>
              <w:rPr>
                <w:rFonts w:hint="eastAsia"/>
              </w:rPr>
              <w:t>1.50</w:t>
            </w:r>
          </w:p>
        </w:tc>
        <w:tc>
          <w:tcPr>
            <w:tcW w:w="975" w:type="dxa"/>
            <w:vAlign w:val="center"/>
          </w:tcPr>
          <w:p/>
        </w:tc>
        <w:tc>
          <w:tcPr>
            <w:tcW w:w="855" w:type="dxa"/>
            <w:vAlign w:val="center"/>
          </w:tcPr>
          <w:p/>
        </w:tc>
        <w:tc>
          <w:tcPr>
            <w:tcW w:w="900" w:type="dxa"/>
            <w:vAlign w:val="center"/>
          </w:tcPr>
          <w:p/>
        </w:tc>
        <w:tc>
          <w:tcPr>
            <w:tcW w:w="75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70" w:type="dxa"/>
            <w:vAlign w:val="center"/>
          </w:tcPr>
          <w:p>
            <w:pPr>
              <w:spacing w:line="300" w:lineRule="exact"/>
              <w:jc w:val="left"/>
              <w:rPr>
                <w:rFonts w:ascii="方正书宋_GBK" w:hAnsi="方正书宋_GBK" w:eastAsia="方正书宋_GBK" w:cs="方正书宋_GBK"/>
                <w:b/>
              </w:rPr>
            </w:pPr>
            <w:r>
              <w:rPr>
                <w:rFonts w:hint="eastAsia" w:ascii="方正书宋_GBK" w:hAnsi="方正书宋_GBK" w:eastAsia="方正书宋_GBK" w:cs="方正书宋_GBK"/>
                <w:b/>
              </w:rPr>
              <w:t>农村事物经费</w:t>
            </w:r>
          </w:p>
        </w:tc>
        <w:tc>
          <w:tcPr>
            <w:tcW w:w="1155" w:type="dxa"/>
            <w:vAlign w:val="center"/>
          </w:tcPr>
          <w:p>
            <w:r>
              <w:rPr>
                <w:rFonts w:hint="eastAsia"/>
              </w:rPr>
              <w:t>100.00</w:t>
            </w:r>
          </w:p>
        </w:tc>
        <w:tc>
          <w:tcPr>
            <w:tcW w:w="978" w:type="dxa"/>
            <w:vAlign w:val="center"/>
          </w:tcPr>
          <w:p>
            <w:r>
              <w:rPr>
                <w:rFonts w:hint="eastAsia"/>
              </w:rPr>
              <w:t>打印设备</w:t>
            </w:r>
          </w:p>
        </w:tc>
        <w:tc>
          <w:tcPr>
            <w:tcW w:w="837" w:type="dxa"/>
            <w:vAlign w:val="center"/>
          </w:tcPr>
          <w:p>
            <w:r>
              <w:rPr>
                <w:rFonts w:hint="eastAsia"/>
              </w:rPr>
              <w:t>A02010601</w:t>
            </w:r>
          </w:p>
        </w:tc>
        <w:tc>
          <w:tcPr>
            <w:tcW w:w="660" w:type="dxa"/>
            <w:vAlign w:val="center"/>
          </w:tcPr>
          <w:p/>
        </w:tc>
        <w:tc>
          <w:tcPr>
            <w:tcW w:w="720" w:type="dxa"/>
            <w:vAlign w:val="center"/>
          </w:tcPr>
          <w:p>
            <w:r>
              <w:rPr>
                <w:rFonts w:hint="eastAsia"/>
              </w:rPr>
              <w:t>2.00</w:t>
            </w:r>
          </w:p>
        </w:tc>
        <w:tc>
          <w:tcPr>
            <w:tcW w:w="945" w:type="dxa"/>
            <w:vAlign w:val="center"/>
          </w:tcPr>
          <w:p>
            <w:r>
              <w:rPr>
                <w:rFonts w:hint="eastAsia"/>
              </w:rPr>
              <w:t>0.25</w:t>
            </w:r>
          </w:p>
        </w:tc>
        <w:tc>
          <w:tcPr>
            <w:tcW w:w="1005" w:type="dxa"/>
            <w:vAlign w:val="center"/>
          </w:tcPr>
          <w:p>
            <w:r>
              <w:rPr>
                <w:rFonts w:hint="eastAsia"/>
              </w:rPr>
              <w:t>0.50</w:t>
            </w:r>
          </w:p>
        </w:tc>
        <w:tc>
          <w:tcPr>
            <w:tcW w:w="870" w:type="dxa"/>
            <w:vAlign w:val="center"/>
          </w:tcPr>
          <w:p>
            <w:r>
              <w:rPr>
                <w:rFonts w:hint="eastAsia"/>
              </w:rPr>
              <w:t>0.50</w:t>
            </w:r>
          </w:p>
        </w:tc>
        <w:tc>
          <w:tcPr>
            <w:tcW w:w="930" w:type="dxa"/>
            <w:vAlign w:val="center"/>
          </w:tcPr>
          <w:p>
            <w:r>
              <w:rPr>
                <w:rFonts w:hint="eastAsia"/>
              </w:rPr>
              <w:t>0.50</w:t>
            </w:r>
          </w:p>
        </w:tc>
        <w:tc>
          <w:tcPr>
            <w:tcW w:w="975" w:type="dxa"/>
            <w:vAlign w:val="center"/>
          </w:tcPr>
          <w:p/>
        </w:tc>
        <w:tc>
          <w:tcPr>
            <w:tcW w:w="855" w:type="dxa"/>
            <w:vAlign w:val="center"/>
          </w:tcPr>
          <w:p/>
        </w:tc>
        <w:tc>
          <w:tcPr>
            <w:tcW w:w="900" w:type="dxa"/>
            <w:vAlign w:val="center"/>
          </w:tcPr>
          <w:p/>
        </w:tc>
        <w:tc>
          <w:tcPr>
            <w:tcW w:w="750" w:type="dxa"/>
            <w:vAlign w:val="center"/>
          </w:tcPr>
          <w:p/>
        </w:tc>
      </w:tr>
    </w:tbl>
    <w:p>
      <w:pPr>
        <w:rPr>
          <w:rFonts w:ascii="Times New Roman" w:hAnsi="Times New Roman" w:eastAsia="宋体" w:cs="Times New Roman"/>
        </w:rPr>
        <w:sectPr>
          <w:pgSz w:w="16839" w:h="11915" w:orient="landscape"/>
          <w:pgMar w:top="1020" w:right="1361" w:bottom="1020" w:left="1361" w:header="851" w:footer="992" w:gutter="0"/>
          <w:cols w:space="425" w:num="1"/>
          <w:docGrid w:type="lines" w:linePitch="312" w:charSpace="0"/>
        </w:sectPr>
      </w:pPr>
      <w:bookmarkStart w:id="2" w:name="_GoBack"/>
      <w:bookmarkEnd w:id="2"/>
    </w:p>
    <w:p>
      <w:pPr>
        <w:rPr>
          <w:rFonts w:ascii="Times New Roman" w:hAnsi="Times New Roman" w:eastAsia="宋体" w:cs="宋体"/>
          <w:sz w:val="32"/>
          <w:szCs w:val="32"/>
        </w:rPr>
      </w:pPr>
    </w:p>
    <w:p>
      <w:pPr>
        <w:numPr>
          <w:numId w:val="0"/>
        </w:numPr>
        <w:ind w:left="630" w:leftChars="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国有资产信息</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北戴河新区团林管理处上年末固定资产金额为71.37328万元。</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北戴河新区团林管理处固定资产占用情况表</w:t>
      </w:r>
    </w:p>
    <w:tbl>
      <w:tblPr>
        <w:tblStyle w:val="4"/>
        <w:tblW w:w="8612" w:type="dxa"/>
        <w:tblInd w:w="93" w:type="dxa"/>
        <w:tblLayout w:type="fixed"/>
        <w:tblCellMar>
          <w:top w:w="0" w:type="dxa"/>
          <w:left w:w="108" w:type="dxa"/>
          <w:bottom w:w="0" w:type="dxa"/>
          <w:right w:w="108" w:type="dxa"/>
        </w:tblCellMar>
      </w:tblPr>
      <w:tblGrid>
        <w:gridCol w:w="4246"/>
        <w:gridCol w:w="1019"/>
        <w:gridCol w:w="1141"/>
        <w:gridCol w:w="2116"/>
        <w:gridCol w:w="90"/>
      </w:tblGrid>
      <w:tr>
        <w:tblPrEx>
          <w:tblCellMar>
            <w:top w:w="0" w:type="dxa"/>
            <w:left w:w="108" w:type="dxa"/>
            <w:bottom w:w="0" w:type="dxa"/>
            <w:right w:w="108" w:type="dxa"/>
          </w:tblCellMar>
        </w:tblPrEx>
        <w:trPr>
          <w:trHeight w:val="510" w:hRule="atLeast"/>
        </w:trPr>
        <w:tc>
          <w:tcPr>
            <w:tcW w:w="5265" w:type="dxa"/>
            <w:gridSpan w:val="2"/>
            <w:shd w:val="clear" w:color="auto" w:fill="auto"/>
            <w:vAlign w:val="center"/>
          </w:tcPr>
          <w:p>
            <w:pPr>
              <w:widowControl/>
              <w:jc w:val="left"/>
              <w:rPr>
                <w:rFonts w:ascii="宋体" w:hAnsi="Times New Roman" w:eastAsia="宋体" w:cs="宋体"/>
                <w:kern w:val="0"/>
                <w:sz w:val="22"/>
              </w:rPr>
            </w:pPr>
            <w:r>
              <w:rPr>
                <w:rFonts w:hint="eastAsia" w:ascii="宋体" w:hAnsi="宋体" w:eastAsia="宋体" w:cs="宋体"/>
                <w:kern w:val="0"/>
                <w:sz w:val="22"/>
              </w:rPr>
              <w:t>编制部门：</w:t>
            </w:r>
            <w:r>
              <w:rPr>
                <w:rFonts w:hint="eastAsia" w:ascii="Times New Roman" w:hAnsi="Times New Roman" w:eastAsia="宋体" w:cs="宋体"/>
                <w:sz w:val="24"/>
              </w:rPr>
              <w:t>北戴河新区团林管理处</w:t>
            </w:r>
          </w:p>
        </w:tc>
        <w:tc>
          <w:tcPr>
            <w:tcW w:w="3347" w:type="dxa"/>
            <w:gridSpan w:val="3"/>
            <w:shd w:val="clear" w:color="auto" w:fill="auto"/>
            <w:vAlign w:val="center"/>
          </w:tcPr>
          <w:p>
            <w:pPr>
              <w:widowControl/>
              <w:jc w:val="left"/>
              <w:rPr>
                <w:rFonts w:ascii="宋体" w:hAnsi="Times New Roman" w:eastAsia="宋体" w:cs="宋体"/>
                <w:kern w:val="0"/>
                <w:sz w:val="22"/>
              </w:rPr>
            </w:pPr>
            <w:r>
              <w:rPr>
                <w:rFonts w:hint="eastAsia" w:ascii="宋体" w:hAnsi="宋体" w:eastAsia="宋体" w:cs="宋体"/>
                <w:kern w:val="0"/>
                <w:sz w:val="22"/>
              </w:rPr>
              <w:t xml:space="preserve">截止时间：2018年12月31日  </w:t>
            </w:r>
          </w:p>
        </w:tc>
      </w:tr>
      <w:tr>
        <w:tblPrEx>
          <w:tblCellMar>
            <w:top w:w="0" w:type="dxa"/>
            <w:left w:w="108" w:type="dxa"/>
            <w:bottom w:w="0" w:type="dxa"/>
            <w:right w:w="108" w:type="dxa"/>
          </w:tblCellMar>
        </w:tblPrEx>
        <w:trPr>
          <w:gridAfter w:val="1"/>
          <w:wAfter w:w="90" w:type="dxa"/>
        </w:trPr>
        <w:tc>
          <w:tcPr>
            <w:tcW w:w="424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r>
              <w:rPr>
                <w:rFonts w:hint="eastAsia" w:ascii="宋体" w:hAnsi="宋体" w:eastAsia="宋体" w:cs="宋体"/>
                <w:b/>
                <w:kern w:val="0"/>
                <w:sz w:val="22"/>
              </w:rPr>
              <w:t>项   目</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r>
              <w:rPr>
                <w:rFonts w:hint="eastAsia" w:ascii="宋体" w:hAnsi="宋体" w:eastAsia="宋体" w:cs="宋体"/>
                <w:b/>
                <w:kern w:val="0"/>
                <w:sz w:val="22"/>
              </w:rPr>
              <w:t>数量</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r>
              <w:rPr>
                <w:rFonts w:hint="eastAsia" w:ascii="宋体" w:hAnsi="宋体" w:eastAsia="宋体" w:cs="宋体"/>
                <w:b/>
                <w:kern w:val="0"/>
                <w:sz w:val="22"/>
              </w:rPr>
              <w:t>价值（金额单位：万元）</w:t>
            </w:r>
          </w:p>
        </w:tc>
      </w:tr>
      <w:tr>
        <w:tblPrEx>
          <w:tblCellMar>
            <w:top w:w="0" w:type="dxa"/>
            <w:left w:w="108" w:type="dxa"/>
            <w:bottom w:w="0" w:type="dxa"/>
            <w:right w:w="108" w:type="dxa"/>
          </w:tblCellMar>
        </w:tblPrEx>
        <w:trPr>
          <w:gridAfter w:val="1"/>
          <w:wAfter w:w="90" w:type="dxa"/>
          <w:trHeight w:val="210"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r>
              <w:rPr>
                <w:rFonts w:hint="eastAsia" w:ascii="宋体" w:hAnsi="宋体" w:eastAsia="宋体" w:cs="宋体"/>
                <w:kern w:val="0"/>
                <w:sz w:val="22"/>
              </w:rPr>
              <w:t>资产总额</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宋体" w:eastAsia="宋体" w:cs="宋体"/>
                <w:kern w:val="0"/>
                <w:sz w:val="22"/>
              </w:rPr>
              <w:t>——</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r>
              <w:rPr>
                <w:rFonts w:hint="eastAsia"/>
                <w:sz w:val="28"/>
                <w:szCs w:val="28"/>
              </w:rPr>
              <w:t>71.37328</w:t>
            </w:r>
          </w:p>
        </w:tc>
      </w:tr>
      <w:tr>
        <w:tblPrEx>
          <w:tblCellMar>
            <w:top w:w="0" w:type="dxa"/>
            <w:left w:w="108" w:type="dxa"/>
            <w:bottom w:w="0" w:type="dxa"/>
            <w:right w:w="108" w:type="dxa"/>
          </w:tblCellMar>
        </w:tblPrEx>
        <w:trPr>
          <w:gridAfter w:val="1"/>
          <w:wAfter w:w="90" w:type="dxa"/>
          <w:trHeight w:val="210"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rFonts w:hint="eastAsia" w:ascii="宋体" w:hAnsi="宋体" w:eastAsia="宋体" w:cs="宋体"/>
                <w:kern w:val="0"/>
                <w:sz w:val="22"/>
              </w:rPr>
              <w:t>1、房屋（平方米）</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宋体" w:eastAsia="宋体" w:cs="宋体"/>
                <w:kern w:val="0"/>
                <w:sz w:val="22"/>
              </w:rPr>
              <w:t>——</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p>
        </w:tc>
      </w:tr>
      <w:tr>
        <w:tblPrEx>
          <w:tblCellMar>
            <w:top w:w="0" w:type="dxa"/>
            <w:left w:w="108" w:type="dxa"/>
            <w:bottom w:w="0" w:type="dxa"/>
            <w:right w:w="108" w:type="dxa"/>
          </w:tblCellMar>
        </w:tblPrEx>
        <w:trPr>
          <w:gridAfter w:val="1"/>
          <w:wAfter w:w="90" w:type="dxa"/>
          <w:trHeight w:val="210"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rFonts w:hint="eastAsia" w:ascii="宋体" w:hAnsi="宋体" w:eastAsia="宋体" w:cs="宋体"/>
                <w:kern w:val="0"/>
                <w:sz w:val="22"/>
              </w:rPr>
              <w:t>其中：办公用房（平方米）</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宋体" w:eastAsia="宋体" w:cs="宋体"/>
                <w:kern w:val="0"/>
                <w:sz w:val="22"/>
              </w:rPr>
              <w:t>——</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p>
        </w:tc>
      </w:tr>
      <w:tr>
        <w:tblPrEx>
          <w:tblCellMar>
            <w:top w:w="0" w:type="dxa"/>
            <w:left w:w="108" w:type="dxa"/>
            <w:bottom w:w="0" w:type="dxa"/>
            <w:right w:w="108" w:type="dxa"/>
          </w:tblCellMar>
        </w:tblPrEx>
        <w:trPr>
          <w:gridAfter w:val="1"/>
          <w:wAfter w:w="90" w:type="dxa"/>
          <w:trHeight w:val="315"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rFonts w:hint="eastAsia" w:ascii="宋体" w:hAnsi="宋体" w:eastAsia="宋体" w:cs="宋体"/>
                <w:kern w:val="0"/>
                <w:sz w:val="22"/>
              </w:rPr>
              <w:t>2、车辆（台、辆）</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宋体" w:eastAsia="宋体" w:cs="宋体"/>
                <w:kern w:val="0"/>
                <w:sz w:val="22"/>
              </w:rPr>
              <w:t>——</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p>
        </w:tc>
      </w:tr>
      <w:tr>
        <w:tblPrEx>
          <w:tblCellMar>
            <w:top w:w="0" w:type="dxa"/>
            <w:left w:w="108" w:type="dxa"/>
            <w:bottom w:w="0" w:type="dxa"/>
            <w:right w:w="108" w:type="dxa"/>
          </w:tblCellMar>
        </w:tblPrEx>
        <w:trPr>
          <w:gridAfter w:val="1"/>
          <w:wAfter w:w="90" w:type="dxa"/>
          <w:trHeight w:val="315"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rFonts w:hint="eastAsia" w:ascii="宋体" w:hAnsi="宋体" w:eastAsia="宋体" w:cs="宋体"/>
                <w:kern w:val="0"/>
                <w:sz w:val="22"/>
              </w:rPr>
              <w:t>3、单价在20万元以上设备</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宋体" w:eastAsia="宋体" w:cs="宋体"/>
                <w:kern w:val="0"/>
                <w:sz w:val="22"/>
              </w:rPr>
              <w:t>——</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jc w:val="center"/>
              <w:rPr>
                <w:sz w:val="28"/>
                <w:szCs w:val="28"/>
              </w:rPr>
            </w:pPr>
          </w:p>
        </w:tc>
      </w:tr>
      <w:tr>
        <w:tblPrEx>
          <w:tblCellMar>
            <w:top w:w="0" w:type="dxa"/>
            <w:left w:w="108" w:type="dxa"/>
            <w:bottom w:w="0" w:type="dxa"/>
            <w:right w:w="108" w:type="dxa"/>
          </w:tblCellMar>
        </w:tblPrEx>
        <w:trPr>
          <w:gridAfter w:val="1"/>
          <w:wAfter w:w="90" w:type="dxa"/>
          <w:trHeight w:val="495" w:hRule="atLeast"/>
        </w:trPr>
        <w:tc>
          <w:tcPr>
            <w:tcW w:w="4246" w:type="dxa"/>
            <w:tcBorders>
              <w:top w:val="single" w:color="auto" w:sz="4" w:space="0"/>
              <w:left w:val="single" w:color="auto" w:sz="4" w:space="0"/>
              <w:bottom w:val="single" w:color="auto" w:sz="4" w:space="0"/>
              <w:right w:val="single" w:color="auto" w:sz="4" w:space="0"/>
            </w:tcBorders>
            <w:shd w:val="clear" w:color="auto" w:fill="auto"/>
          </w:tcPr>
          <w:p>
            <w:pPr>
              <w:ind w:left="108"/>
              <w:rPr>
                <w:sz w:val="28"/>
                <w:szCs w:val="28"/>
              </w:rPr>
            </w:pPr>
            <w:r>
              <w:rPr>
                <w:rFonts w:hint="eastAsia" w:ascii="宋体" w:hAnsi="宋体" w:eastAsia="宋体" w:cs="宋体"/>
                <w:kern w:val="0"/>
                <w:sz w:val="22"/>
              </w:rPr>
              <w:t>4、其他固定资产</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Times New Roman" w:eastAsia="宋体" w:cs="宋体"/>
                <w:kern w:val="0"/>
                <w:sz w:val="22"/>
              </w:rPr>
            </w:pPr>
            <w:r>
              <w:rPr>
                <w:rFonts w:hint="eastAsia" w:ascii="宋体" w:hAnsi="Times New Roman" w:eastAsia="宋体" w:cs="宋体"/>
                <w:kern w:val="0"/>
                <w:sz w:val="22"/>
              </w:rPr>
              <w:t>381</w:t>
            </w:r>
          </w:p>
        </w:tc>
        <w:tc>
          <w:tcPr>
            <w:tcW w:w="2116" w:type="dxa"/>
            <w:tcBorders>
              <w:top w:val="single" w:color="auto" w:sz="4" w:space="0"/>
              <w:left w:val="single" w:color="auto" w:sz="4" w:space="0"/>
              <w:bottom w:val="single" w:color="auto" w:sz="4" w:space="0"/>
              <w:right w:val="single" w:color="auto" w:sz="4" w:space="0"/>
            </w:tcBorders>
            <w:shd w:val="clear" w:color="auto" w:fill="auto"/>
          </w:tcPr>
          <w:p>
            <w:pPr>
              <w:ind w:left="108"/>
              <w:jc w:val="center"/>
              <w:rPr>
                <w:sz w:val="28"/>
                <w:szCs w:val="28"/>
              </w:rPr>
            </w:pPr>
            <w:r>
              <w:rPr>
                <w:rFonts w:hint="eastAsia"/>
                <w:sz w:val="28"/>
                <w:szCs w:val="28"/>
              </w:rPr>
              <w:t>71.37328</w:t>
            </w:r>
          </w:p>
        </w:tc>
      </w:tr>
    </w:tbl>
    <w:p>
      <w:pPr>
        <w:numPr>
          <w:ilvl w:val="0"/>
          <w:numId w:val="0"/>
        </w:numPr>
        <w:ind w:left="63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八、名词解释</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一般公共预算拨款收入：财政当年拨付资金</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、基本支出：指为保障机构正常运转、完成日常工作任务而发生的人员支出和公用支出。</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、项目支出：指在基本支出之外为完成特定行政任务和事业发展目标所发生的支出。</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、“三公”经费：用财政拨款安排的因公出国（境）费、公务用车购置及运行费、公务接待费。公务接待费反映单位按规定开支的各类公务接待费。</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、机关运行经费：为保障行政单位（含参照公务员法管理的事业单位）运行用于购买货物和服务的各项资金，包括办公费、印刷费、差旅费、会议费、福利费、公务交通补贴等费用。</w:t>
      </w:r>
    </w:p>
    <w:p>
      <w:pPr>
        <w:numPr>
          <w:ilvl w:val="0"/>
          <w:numId w:val="0"/>
        </w:numPr>
        <w:ind w:left="63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九、其他需要说明的事项</w:t>
      </w:r>
    </w:p>
    <w:p>
      <w:pPr>
        <w:ind w:firstLine="480" w:firstLineChars="150"/>
        <w:rPr>
          <w:sz w:val="32"/>
          <w:szCs w:val="32"/>
        </w:rPr>
      </w:pPr>
      <w:r>
        <w:rPr>
          <w:rFonts w:hint="eastAsia" w:ascii="Times New Roman" w:hAnsi="Times New Roman" w:eastAsia="宋体" w:cs="宋体"/>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繁体">
    <w:panose1 w:val="02010601030101010101"/>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961E"/>
    <w:multiLevelType w:val="multilevel"/>
    <w:tmpl w:val="105E961E"/>
    <w:lvl w:ilvl="0" w:tentative="0">
      <w:start w:val="1"/>
      <w:numFmt w:val="japaneseCounting"/>
      <w:lvlText w:val="%1、"/>
      <w:lvlJc w:val="left"/>
      <w:pPr>
        <w:tabs>
          <w:tab w:val="left" w:pos="1260"/>
        </w:tabs>
        <w:ind w:left="1260" w:hanging="720"/>
      </w:p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B2"/>
    <w:rsid w:val="000C5E89"/>
    <w:rsid w:val="000E12FF"/>
    <w:rsid w:val="001701BE"/>
    <w:rsid w:val="004610A6"/>
    <w:rsid w:val="00626C26"/>
    <w:rsid w:val="008E5C10"/>
    <w:rsid w:val="009921B2"/>
    <w:rsid w:val="00A57DB3"/>
    <w:rsid w:val="00C704C8"/>
    <w:rsid w:val="00CB0A64"/>
    <w:rsid w:val="00D50F87"/>
    <w:rsid w:val="00F867BA"/>
    <w:rsid w:val="228B4D31"/>
    <w:rsid w:val="4CB624E9"/>
    <w:rsid w:val="63CC117E"/>
    <w:rsid w:val="6E812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ACCB5-19D7-411C-9BAA-F8A0E0BCF1F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767</Words>
  <Characters>4374</Characters>
  <Lines>36</Lines>
  <Paragraphs>10</Paragraphs>
  <TotalTime>1</TotalTime>
  <ScaleCrop>false</ScaleCrop>
  <LinksUpToDate>false</LinksUpToDate>
  <CharactersWithSpaces>5131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2021-05-20T07:26:25Z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