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北戴河新区财政局2019年部门预算信息公开说明</w:t>
      </w:r>
    </w:p>
    <w:p>
      <w:pPr>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按照《预算法》、《地方预决算公开操作规程》和《河北省省级预算公开办法》规定，现将2019年部门预算公开如下：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napToGrid w:val="0"/>
        <w:spacing w:line="520" w:lineRule="exact"/>
        <w:ind w:firstLine="643"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部门</w:t>
      </w:r>
      <w:r>
        <w:rPr>
          <w:rFonts w:ascii="方正仿宋简体" w:hAnsi="Times New Roman" w:eastAsia="方正仿宋简体" w:cs="Times New Roman"/>
          <w:b/>
          <w:sz w:val="32"/>
          <w:szCs w:val="32"/>
        </w:rPr>
        <w:t>职责：</w:t>
      </w:r>
      <w:r>
        <w:rPr>
          <w:rFonts w:hint="eastAsia" w:ascii="方正仿宋简体" w:hAnsi="Times New Roman" w:eastAsia="方正仿宋简体" w:cs="Times New Roman"/>
          <w:sz w:val="32"/>
          <w:szCs w:val="32"/>
        </w:rPr>
        <w:t>监督实施财政、预算、财务、会计管理的有关规章制度；分析预测宏观经济形势，提出运用财税政策实施宏观调控的建议；承担财政预算管理的责任，负责编制年度预决算并组织执行；组织制定经费开支标准、定额，审核批复部门（单位）的年度预决算；承担财政国库管理的责任；负责政府非税收入和政府基金管理；负责建立政府预算体系、税政管理和国有资产管理以及社会保险基金的监管等工作；执行国家外债管理政策和地方政府外债管理规定，实施管理国内外债权、债务；负责会计管理和财政投资评审工作；负责监督检查财税法规、政策的执行情况，实施对财政性资金的监督和绩效评价；负责政府和社会资本合作、政府投资基金管理工作。挂金融工作办公室牌子。</w:t>
      </w:r>
    </w:p>
    <w:p>
      <w:pPr>
        <w:snapToGrid w:val="0"/>
        <w:spacing w:line="520" w:lineRule="exact"/>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机构设置：</w:t>
      </w:r>
    </w:p>
    <w:p>
      <w:pPr>
        <w:jc w:val="center"/>
        <w:outlineLvl w:val="0"/>
        <w:rPr>
          <w:rFonts w:ascii="Times New Roman" w:hAnsi="Times New Roman" w:eastAsia="方正小标宋_GBK" w:cs="Times New Roman"/>
          <w:sz w:val="32"/>
          <w:szCs w:val="24"/>
        </w:rPr>
      </w:pPr>
    </w:p>
    <w:p>
      <w:pPr>
        <w:jc w:val="center"/>
        <w:outlineLvl w:val="0"/>
        <w:rPr>
          <w:rFonts w:ascii="Times New Roman" w:hAnsi="Times New Roman" w:eastAsia="方正小标宋_GBK" w:cs="Times New Roman"/>
          <w:sz w:val="32"/>
          <w:szCs w:val="24"/>
        </w:rPr>
      </w:pP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9"/>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北戴河新区财政局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副处级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FF0000"/>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按照预算管理有关规定，目前</w:t>
      </w:r>
      <w:r>
        <w:rPr>
          <w:rFonts w:hint="eastAsia" w:ascii="方正仿宋简体" w:hAnsi="Times New Roman" w:eastAsia="方正仿宋简体" w:cs="Times New Roman"/>
          <w:sz w:val="32"/>
          <w:szCs w:val="32"/>
        </w:rPr>
        <w:t>我区</w:t>
      </w:r>
      <w:r>
        <w:rPr>
          <w:rFonts w:ascii="方正仿宋简体" w:hAnsi="Times New Roman" w:eastAsia="方正仿宋简体" w:cs="Times New Roman"/>
          <w:sz w:val="32"/>
          <w:szCs w:val="32"/>
        </w:rPr>
        <w:t>部门预算的编制实行综合预算制度，即全部收入和支出都反映</w:t>
      </w:r>
      <w:r>
        <w:rPr>
          <w:rFonts w:hint="eastAsia" w:ascii="方正仿宋简体" w:hAnsi="Times New Roman" w:eastAsia="方正仿宋简体" w:cs="Times New Roman"/>
          <w:sz w:val="32"/>
          <w:szCs w:val="32"/>
        </w:rPr>
        <w:t>在</w:t>
      </w:r>
      <w:r>
        <w:rPr>
          <w:rFonts w:ascii="方正仿宋简体" w:hAnsi="Times New Roman" w:eastAsia="方正仿宋简体" w:cs="Times New Roman"/>
          <w:sz w:val="32"/>
          <w:szCs w:val="32"/>
        </w:rPr>
        <w:t>预算中。</w:t>
      </w:r>
      <w:r>
        <w:rPr>
          <w:rFonts w:hint="eastAsia" w:ascii="方正仿宋简体" w:hAnsi="Times New Roman" w:eastAsia="方正仿宋简体" w:cs="Times New Roman"/>
          <w:sz w:val="32"/>
          <w:szCs w:val="32"/>
        </w:rPr>
        <w:t>财政局</w:t>
      </w:r>
      <w:r>
        <w:rPr>
          <w:rFonts w:ascii="方正仿宋简体" w:hAnsi="Times New Roman" w:eastAsia="方正仿宋简体" w:cs="Times New Roman"/>
          <w:sz w:val="32"/>
          <w:szCs w:val="32"/>
        </w:rPr>
        <w:t>的收支包含在部门预算中。</w:t>
      </w:r>
    </w:p>
    <w:p>
      <w:pPr>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1.</w:t>
      </w:r>
      <w:r>
        <w:rPr>
          <w:rFonts w:ascii="方正仿宋简体" w:hAnsi="Times New Roman" w:eastAsia="方正仿宋简体" w:cs="Times New Roman"/>
          <w:b/>
          <w:sz w:val="32"/>
          <w:szCs w:val="32"/>
        </w:rPr>
        <w:t>收入说明</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反</w:t>
      </w:r>
      <w:r>
        <w:rPr>
          <w:rFonts w:ascii="Times New Roman" w:hAnsi="Times New Roman" w:eastAsia="方正仿宋简体" w:cs="Times New Roman"/>
          <w:sz w:val="32"/>
          <w:szCs w:val="32"/>
        </w:rPr>
        <w:t>映本部门当年全部收入，201</w:t>
      </w: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年预算收入3</w:t>
      </w:r>
      <w:r>
        <w:rPr>
          <w:rFonts w:hint="eastAsia" w:ascii="Times New Roman" w:hAnsi="Times New Roman" w:eastAsia="方正仿宋简体" w:cs="Times New Roman"/>
          <w:sz w:val="32"/>
          <w:szCs w:val="32"/>
        </w:rPr>
        <w:t>2224.36</w:t>
      </w:r>
      <w:r>
        <w:rPr>
          <w:rFonts w:ascii="Times New Roman" w:hAnsi="Times New Roman" w:eastAsia="方正仿宋简体" w:cs="Times New Roman"/>
          <w:sz w:val="32"/>
          <w:szCs w:val="32"/>
        </w:rPr>
        <w:t>万元，一般公共预算拨款</w:t>
      </w:r>
      <w:r>
        <w:rPr>
          <w:rFonts w:hint="eastAsia" w:ascii="Times New Roman" w:hAnsi="Times New Roman" w:eastAsia="方正仿宋简体" w:cs="Times New Roman"/>
          <w:sz w:val="32"/>
          <w:szCs w:val="32"/>
        </w:rPr>
        <w:t>17111.36万元，基金预算拨款15113万元</w:t>
      </w:r>
      <w:r>
        <w:rPr>
          <w:rFonts w:ascii="Times New Roman" w:hAnsi="Times New Roman" w:eastAsia="方正仿宋简体" w:cs="Times New Roman"/>
          <w:sz w:val="32"/>
          <w:szCs w:val="32"/>
        </w:rPr>
        <w:t>。</w:t>
      </w:r>
    </w:p>
    <w:p>
      <w:pPr>
        <w:ind w:left="64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2.</w:t>
      </w:r>
      <w:r>
        <w:rPr>
          <w:rFonts w:ascii="方正仿宋简体" w:hAnsi="Times New Roman" w:eastAsia="方正仿宋简体" w:cs="Times New Roman"/>
          <w:b/>
          <w:sz w:val="32"/>
          <w:szCs w:val="32"/>
        </w:rPr>
        <w:t>支出说明</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部门预算收支总表支出栏、基本支出表、项目支出表按经济分类和支出功能分类科目编制，反映部门预算中支出预算的总体情况。2019年部门支出预算为32224.36万元，其中基本支出261.71万元，包括人员经费228.83万元和日常公用经费32.88万元；项目支出31962.65万元，全部为本级支出。</w:t>
      </w:r>
    </w:p>
    <w:p>
      <w:pPr>
        <w:ind w:left="64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3.</w:t>
      </w:r>
      <w:r>
        <w:rPr>
          <w:rFonts w:ascii="方正仿宋简体" w:hAnsi="Times New Roman" w:eastAsia="方正仿宋简体" w:cs="Times New Roman"/>
          <w:b/>
          <w:sz w:val="32"/>
          <w:szCs w:val="32"/>
        </w:rPr>
        <w:t>比上年增减情况</w:t>
      </w:r>
    </w:p>
    <w:p>
      <w:pP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2019年部门预算较2018年增长31895.33万元，其中：基本支出减少22.32万元；项目支出增长31917.65万元，主要是部门政府基金预算财政拨款支出和政府债务还本付息支出。</w:t>
      </w:r>
    </w:p>
    <w:p>
      <w:pPr>
        <w:ind w:firstLine="64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rPr>
          <w:rFonts w:ascii="黑体" w:hAnsi="黑体" w:eastAsia="黑体" w:cs="Times New Roman"/>
          <w:sz w:val="32"/>
          <w:szCs w:val="32"/>
        </w:rPr>
      </w:pPr>
      <w:r>
        <w:rPr>
          <w:rFonts w:hint="eastAsia" w:ascii="方正仿宋简体" w:hAnsi="Times New Roman" w:eastAsia="方正仿宋简体" w:cs="Times New Roman"/>
          <w:sz w:val="32"/>
          <w:szCs w:val="32"/>
        </w:rPr>
        <w:t>机关运行经费共计安排</w:t>
      </w:r>
      <w:r>
        <w:rPr>
          <w:rFonts w:hint="eastAsia" w:ascii="Times New Roman" w:hAnsi="Times New Roman" w:eastAsia="方正仿宋简体" w:cs="Times New Roman"/>
          <w:sz w:val="32"/>
          <w:szCs w:val="32"/>
        </w:rPr>
        <w:t>32.88</w:t>
      </w:r>
      <w:r>
        <w:rPr>
          <w:rFonts w:hint="eastAsia" w:ascii="方正仿宋简体" w:hAnsi="Times New Roman" w:eastAsia="方正仿宋简体"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ind w:firstLine="64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2019年，财政拨款“三公”经费预算安排3.48万元，其中：因公出国（境）费0万元；公务用车购置及运维费3.1万元；公务接待费0.38万元。“三公”经费较上年下降0.6%，主要原因是对“三公”经费等一般性支出进行了压减。</w:t>
      </w: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spacing w:line="560" w:lineRule="exact"/>
        <w:ind w:firstLine="640" w:firstLineChars="200"/>
        <w:jc w:val="left"/>
        <w:outlineLvl w:val="1"/>
        <w:rPr>
          <w:rFonts w:ascii="方正楷体简体" w:hAnsi="黑体" w:eastAsia="方正楷体简体"/>
          <w:sz w:val="32"/>
          <w:szCs w:val="32"/>
        </w:rPr>
      </w:pPr>
      <w:r>
        <w:rPr>
          <w:rFonts w:hint="eastAsia" w:ascii="方正楷体简体" w:hAnsi="黑体" w:eastAsia="方正楷体简体"/>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方正仿宋简体" w:hAnsi="方正仿宋简体" w:eastAsia="方正仿宋简体" w:cs="方正仿宋简体"/>
          <w:kern w:val="0"/>
          <w:sz w:val="32"/>
          <w:szCs w:val="32"/>
        </w:rPr>
      </w:pPr>
      <w:r>
        <w:rPr>
          <w:rFonts w:hint="default" w:ascii="Times New Roman" w:hAnsi="Times New Roman" w:eastAsia="方正仿宋简体" w:cs="Times New Roman"/>
          <w:kern w:val="0"/>
          <w:sz w:val="32"/>
          <w:szCs w:val="32"/>
        </w:rPr>
        <w:t>20</w:t>
      </w:r>
      <w:r>
        <w:rPr>
          <w:rFonts w:hint="default" w:ascii="Times New Roman" w:hAnsi="Times New Roman" w:eastAsia="方正仿宋简体" w:cs="Times New Roman"/>
          <w:kern w:val="0"/>
          <w:sz w:val="32"/>
          <w:szCs w:val="32"/>
          <w:lang w:val="en-US" w:eastAsia="zh-CN"/>
        </w:rPr>
        <w:t>19年</w:t>
      </w:r>
      <w:r>
        <w:rPr>
          <w:rFonts w:hint="eastAsia" w:ascii="方正仿宋简体" w:hAnsi="方正仿宋简体" w:eastAsia="方正仿宋简体" w:cs="方正仿宋简体"/>
          <w:kern w:val="0"/>
          <w:sz w:val="32"/>
          <w:szCs w:val="32"/>
        </w:rPr>
        <w:t>新区财政局将认真贯彻工管委的决策部署，站位全局，主动作为，充分发挥财政的基础和支柱性作用，全力以赴推进新区的建设和发展。</w:t>
      </w:r>
    </w:p>
    <w:p>
      <w:pPr>
        <w:spacing w:line="560" w:lineRule="exact"/>
        <w:ind w:firstLine="627" w:firstLineChars="196"/>
        <w:jc w:val="left"/>
        <w:outlineLvl w:val="1"/>
        <w:rPr>
          <w:rFonts w:ascii="方正楷体简体" w:hAnsi="黑体" w:eastAsia="方正楷体简体"/>
          <w:sz w:val="32"/>
          <w:szCs w:val="32"/>
        </w:rPr>
      </w:pPr>
      <w:r>
        <w:rPr>
          <w:rFonts w:hint="eastAsia" w:ascii="方正楷体简体" w:hAnsi="黑体" w:eastAsia="方正楷体简体"/>
          <w:sz w:val="32"/>
          <w:szCs w:val="32"/>
        </w:rPr>
        <w:t>（</w:t>
      </w:r>
      <w:r>
        <w:rPr>
          <w:rFonts w:ascii="方正楷体简体" w:hAnsi="黑体" w:eastAsia="方正楷体简体"/>
          <w:sz w:val="32"/>
          <w:szCs w:val="32"/>
        </w:rPr>
        <w:t>二</w:t>
      </w:r>
      <w:r>
        <w:rPr>
          <w:rFonts w:hint="eastAsia" w:ascii="方正楷体简体" w:hAnsi="黑体" w:eastAsia="方正楷体简体"/>
          <w:sz w:val="32"/>
          <w:szCs w:val="32"/>
        </w:rPr>
        <w:t>）</w:t>
      </w:r>
      <w:r>
        <w:rPr>
          <w:rFonts w:ascii="方正楷体简体" w:hAnsi="黑体" w:eastAsia="方正楷体简体"/>
          <w:sz w:val="32"/>
          <w:szCs w:val="32"/>
        </w:rPr>
        <w:t>分项绩效目标</w:t>
      </w:r>
      <w:r>
        <w:fldChar w:fldCharType="begin"/>
      </w:r>
      <w:r>
        <w:rPr>
          <w:rFonts w:ascii="方正楷体简体" w:hAnsi="黑体" w:eastAsia="方正楷体简体"/>
          <w:sz w:val="32"/>
          <w:szCs w:val="32"/>
        </w:rPr>
        <w:instrText xml:space="preserve"> TC </w:instrText>
      </w:r>
      <w:bookmarkStart w:id="0" w:name="_Toc28866445"/>
      <w:r>
        <w:rPr>
          <w:rFonts w:ascii="方正楷体简体" w:hAnsi="黑体" w:eastAsia="方正楷体简体"/>
          <w:sz w:val="32"/>
          <w:szCs w:val="32"/>
        </w:rPr>
        <w:instrText xml:space="preserve">分项绩效目标</w:instrText>
      </w:r>
      <w:bookmarkEnd w:id="0"/>
      <w:r>
        <w:rPr>
          <w:rFonts w:ascii="方正楷体简体" w:hAnsi="黑体" w:eastAsia="方正楷体简体"/>
          <w:sz w:val="32"/>
          <w:szCs w:val="32"/>
        </w:rPr>
        <w:instrText xml:space="preserve"> \f A \l 1 </w:instrText>
      </w:r>
      <w:r>
        <w:rPr>
          <w:rFonts w:ascii="方正楷体简体" w:hAnsi="黑体" w:eastAsia="方正楷体简体"/>
          <w:sz w:val="32"/>
          <w:szCs w:val="32"/>
        </w:rPr>
        <w:fldChar w:fldCharType="end"/>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hAnsi="Times New Roman" w:eastAsiaTheme="minorEastAsia"/>
          <w:kern w:val="0"/>
          <w:sz w:val="32"/>
          <w:szCs w:val="32"/>
        </w:rPr>
      </w:pPr>
      <w:r>
        <w:rPr>
          <w:rFonts w:hint="eastAsia" w:ascii="方正楷体简体" w:hAnsi="方正楷体简体" w:eastAsia="方正楷体简体" w:cs="方正楷体简体"/>
          <w:kern w:val="0"/>
          <w:sz w:val="32"/>
          <w:szCs w:val="32"/>
        </w:rPr>
        <w:t>1、</w:t>
      </w:r>
      <w:r>
        <w:rPr>
          <w:rFonts w:ascii="Times New Roman" w:hAnsi="Times New Roman" w:eastAsiaTheme="minorEastAsia"/>
          <w:kern w:val="0"/>
          <w:sz w:val="32"/>
          <w:szCs w:val="32"/>
        </w:rPr>
        <w:t>“</w:t>
      </w:r>
      <w:r>
        <w:rPr>
          <w:rFonts w:hint="eastAsia" w:ascii="方正楷体简体" w:hAnsi="方正楷体简体" w:eastAsia="方正楷体简体" w:cs="方正楷体简体"/>
          <w:kern w:val="0"/>
          <w:sz w:val="32"/>
          <w:szCs w:val="32"/>
        </w:rPr>
        <w:t>以政领财</w:t>
      </w:r>
      <w:r>
        <w:rPr>
          <w:rFonts w:ascii="Times New Roman" w:hAnsi="Times New Roman" w:eastAsiaTheme="minorEastAsia"/>
          <w:kern w:val="0"/>
          <w:sz w:val="32"/>
          <w:szCs w:val="32"/>
        </w:rPr>
        <w:t>”</w:t>
      </w:r>
      <w:r>
        <w:rPr>
          <w:rFonts w:hint="eastAsia" w:ascii="方正楷体简体" w:hAnsi="方正楷体简体" w:eastAsia="方正楷体简体" w:cs="方正楷体简体"/>
          <w:kern w:val="0"/>
          <w:sz w:val="32"/>
          <w:szCs w:val="32"/>
        </w:rPr>
        <w:t>，旗帜鲜明把握新时代政治要求。</w:t>
      </w:r>
      <w:r>
        <w:rPr>
          <w:rFonts w:hint="eastAsia" w:ascii="方正仿宋简体" w:hAnsi="方正仿宋简体" w:eastAsia="方正仿宋简体" w:cs="方正仿宋简体"/>
          <w:kern w:val="0"/>
          <w:sz w:val="32"/>
          <w:szCs w:val="32"/>
        </w:rPr>
        <w:t>财政，作为掌管政府“钱袋子”的部门，所有业务都是党领导下的具体工作，必须始终把“讲政治”放在首位。一是加强理论学习。不断加强学习贯彻党的十九大精神以及习近平总书记的重要论述，切实做到学懂弄通，用新理论武装头脑，指导工作实践。二是树牢“四个意识”。切实有效提高政治站位，坚决做到“两个维护”，对党绝对忠诚，从政治和全局的高度研究、部署、推动财政工作，真正做到“政令财行”“财随政走”。三是强化政策贯彻执行。统筹用好财政资源，重点围绕减税降费、三大攻坚战、全面预算绩效管理等党和国家的方针、政策以及上级领导的重要指示精神，紧紧结合新区实际，主动担当，狠抓落实，确保各项工作取得实效。</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hAnsi="Times New Roman" w:eastAsiaTheme="minorEastAsia"/>
          <w:kern w:val="0"/>
          <w:sz w:val="32"/>
          <w:szCs w:val="32"/>
        </w:rPr>
      </w:pPr>
      <w:r>
        <w:rPr>
          <w:rFonts w:hint="eastAsia" w:ascii="方正楷体简体" w:hAnsi="方正楷体简体" w:eastAsia="方正楷体简体" w:cs="方正楷体简体"/>
          <w:kern w:val="0"/>
          <w:sz w:val="32"/>
          <w:szCs w:val="32"/>
        </w:rPr>
        <w:t>2、做大蛋糕，实现财政收入新突破。</w:t>
      </w:r>
      <w:r>
        <w:rPr>
          <w:rFonts w:hint="eastAsia" w:ascii="方正仿宋简体" w:hAnsi="方正仿宋简体" w:eastAsia="方正仿宋简体" w:cs="方正仿宋简体"/>
          <w:kern w:val="0"/>
          <w:sz w:val="32"/>
          <w:szCs w:val="32"/>
        </w:rPr>
        <w:t>紧紧抓住新区快速发展建设的有力步伐，拓展财源渠道，推进财政收入高质量增长。</w:t>
      </w:r>
      <w:bookmarkStart w:id="3" w:name="_GoBack"/>
      <w:bookmarkEnd w:id="3"/>
      <w:r>
        <w:rPr>
          <w:rFonts w:hint="eastAsia" w:ascii="方正仿宋简体" w:hAnsi="方正仿宋简体" w:eastAsia="方正仿宋简体" w:cs="方正仿宋简体"/>
          <w:color w:val="000000"/>
          <w:kern w:val="0"/>
          <w:sz w:val="32"/>
          <w:szCs w:val="32"/>
        </w:rPr>
        <w:t>全力确保财政收入继续实现高速增长。</w:t>
      </w:r>
      <w:r>
        <w:rPr>
          <w:rFonts w:hint="eastAsia" w:ascii="方正仿宋简体" w:hAnsi="方正仿宋简体" w:eastAsia="方正仿宋简体" w:cs="方正仿宋简体"/>
          <w:kern w:val="0"/>
          <w:sz w:val="32"/>
          <w:szCs w:val="32"/>
        </w:rPr>
        <w:t>一是积极完善财政支持政策，安排专项扶持资金，支持引进稳定持续的产业税源。二是积极筹措资金，全力支持重点项目开工建设，扩大培植新增税源。三是严格落实好减税降费政策，持续降低企业负担，进一步涵养税源基础。</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hAnsi="Times New Roman" w:eastAsiaTheme="minorEastAsia"/>
          <w:kern w:val="0"/>
          <w:sz w:val="32"/>
          <w:szCs w:val="32"/>
        </w:rPr>
      </w:pPr>
      <w:r>
        <w:rPr>
          <w:rFonts w:hint="eastAsia" w:ascii="方正楷体简体" w:hAnsi="方正楷体简体" w:eastAsia="方正楷体简体" w:cs="方正楷体简体"/>
          <w:kern w:val="0"/>
          <w:sz w:val="32"/>
          <w:szCs w:val="32"/>
        </w:rPr>
        <w:t>3、税源管控，进一步向征管要收入增长空间。</w:t>
      </w:r>
      <w:r>
        <w:rPr>
          <w:rFonts w:hint="eastAsia" w:ascii="方正仿宋简体" w:hAnsi="方正仿宋简体" w:eastAsia="方正仿宋简体" w:cs="方正仿宋简体"/>
          <w:kern w:val="0"/>
          <w:sz w:val="32"/>
          <w:szCs w:val="32"/>
        </w:rPr>
        <w:t>在贯彻落实国家减负降费政策推进经济高质量发展的背景下，保证收入高速增长则更需要加强税源管控，进一步在征管方面下力气。一是加强组织领导。成立重点税源企业纳税评估工作领导小组，从申报情况入手，统筹开展评估检查，清查漏征漏管户，最大程度地减少税收流失，确保颗粒归仓。二是强化综合治税。完善综合治税平台，整合财政、税务、国土、规划、公安等多方面力量，多头发力，全面开展分行业税收专项治理，切实堵塞税收征管中的</w:t>
      </w:r>
      <w:r>
        <w:rPr>
          <w:rFonts w:ascii="Times New Roman" w:hAnsi="Times New Roman" w:eastAsiaTheme="minorEastAsia"/>
          <w:kern w:val="0"/>
          <w:sz w:val="32"/>
          <w:szCs w:val="32"/>
        </w:rPr>
        <w:t>“</w:t>
      </w:r>
      <w:r>
        <w:rPr>
          <w:rFonts w:hint="eastAsia" w:ascii="方正仿宋简体" w:hAnsi="方正仿宋简体" w:eastAsia="方正仿宋简体" w:cs="方正仿宋简体"/>
          <w:kern w:val="0"/>
          <w:sz w:val="32"/>
          <w:szCs w:val="32"/>
        </w:rPr>
        <w:t>跑冒滴漏</w:t>
      </w:r>
      <w:r>
        <w:rPr>
          <w:rFonts w:ascii="Times New Roman" w:hAnsi="Times New Roman" w:eastAsiaTheme="minorEastAsia"/>
          <w:kern w:val="0"/>
          <w:sz w:val="32"/>
          <w:szCs w:val="32"/>
        </w:rPr>
        <w:t>”</w:t>
      </w:r>
      <w:r>
        <w:rPr>
          <w:rFonts w:hint="eastAsia" w:ascii="方正仿宋简体" w:hAnsi="方正仿宋简体" w:eastAsia="方正仿宋简体" w:cs="方正仿宋简体"/>
          <w:kern w:val="0"/>
          <w:sz w:val="32"/>
          <w:szCs w:val="32"/>
        </w:rPr>
        <w:t>。三是加强税源监控。对重点税源企业加强巡查监管，认真采集企业生产、销售、财务管理、涉税等信息，逐户完善电子档案和纸质档案，提高涉税信息质量，确保重点税源数据的准确性和及时性。四是突出旅游等特色行业的税源管控。结合实际，因地制宜，进一步强化旅游景区、房屋出租、批零住餐行业的税收征管。</w:t>
      </w:r>
    </w:p>
    <w:p>
      <w:pPr>
        <w:spacing w:line="560" w:lineRule="exact"/>
        <w:ind w:firstLine="640" w:firstLineChars="200"/>
        <w:jc w:val="left"/>
        <w:outlineLvl w:val="1"/>
        <w:rPr>
          <w:rFonts w:ascii="方正楷体简体" w:hAnsi="黑体" w:eastAsia="方正楷体简体"/>
          <w:sz w:val="32"/>
          <w:szCs w:val="32"/>
        </w:rPr>
      </w:pPr>
      <w:r>
        <w:rPr>
          <w:rFonts w:hint="eastAsia" w:ascii="方正楷体简体" w:hAnsi="黑体" w:eastAsia="方正楷体简体"/>
          <w:sz w:val="32"/>
          <w:szCs w:val="32"/>
        </w:rPr>
        <w:t>（</w:t>
      </w:r>
      <w:r>
        <w:rPr>
          <w:rFonts w:ascii="方正楷体简体" w:hAnsi="黑体" w:eastAsia="方正楷体简体"/>
          <w:sz w:val="32"/>
          <w:szCs w:val="32"/>
        </w:rPr>
        <w:t>三</w:t>
      </w:r>
      <w:r>
        <w:rPr>
          <w:rFonts w:hint="eastAsia" w:ascii="方正楷体简体" w:hAnsi="黑体" w:eastAsia="方正楷体简体"/>
          <w:sz w:val="32"/>
          <w:szCs w:val="32"/>
        </w:rPr>
        <w:t>）</w:t>
      </w:r>
      <w:r>
        <w:rPr>
          <w:rFonts w:ascii="方正楷体简体" w:hAnsi="黑体" w:eastAsia="方正楷体简体"/>
          <w:sz w:val="32"/>
          <w:szCs w:val="32"/>
        </w:rPr>
        <w:t>工作保障措施</w:t>
      </w:r>
      <w:r>
        <w:fldChar w:fldCharType="begin"/>
      </w:r>
      <w:r>
        <w:rPr>
          <w:rFonts w:ascii="方正楷体简体" w:hAnsi="黑体" w:eastAsia="方正楷体简体"/>
          <w:sz w:val="32"/>
          <w:szCs w:val="32"/>
        </w:rPr>
        <w:instrText xml:space="preserve"> TC </w:instrText>
      </w:r>
      <w:bookmarkStart w:id="1" w:name="_Toc28866446"/>
      <w:r>
        <w:rPr>
          <w:rFonts w:ascii="方正楷体简体" w:hAnsi="黑体" w:eastAsia="方正楷体简体"/>
          <w:sz w:val="32"/>
          <w:szCs w:val="32"/>
        </w:rPr>
        <w:instrText xml:space="preserve">工作保障措施</w:instrText>
      </w:r>
      <w:bookmarkEnd w:id="1"/>
      <w:r>
        <w:rPr>
          <w:rFonts w:ascii="方正楷体简体" w:hAnsi="黑体" w:eastAsia="方正楷体简体"/>
          <w:sz w:val="32"/>
          <w:szCs w:val="32"/>
        </w:rPr>
        <w:instrText xml:space="preserve"> \f A \l 1 </w:instrText>
      </w:r>
      <w:r>
        <w:rPr>
          <w:rFonts w:ascii="方正楷体简体" w:hAnsi="黑体" w:eastAsia="方正楷体简体"/>
          <w:sz w:val="32"/>
          <w:szCs w:val="32"/>
        </w:rPr>
        <w:fldChar w:fldCharType="end"/>
      </w:r>
    </w:p>
    <w:p>
      <w:pPr>
        <w:pStyle w:val="17"/>
        <w:widowControl/>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坚持问题导向，进一步加大资金统筹力度，不断优化支出结构。一是加大民生投入。在抓好</w:t>
      </w:r>
      <w:r>
        <w:rPr>
          <w:rFonts w:ascii="Times New Roman" w:hAnsi="Times New Roman" w:cs="Times New Roman" w:eastAsiaTheme="minorEastAsia"/>
          <w:sz w:val="32"/>
          <w:szCs w:val="32"/>
        </w:rPr>
        <w:t>“</w:t>
      </w:r>
      <w:r>
        <w:rPr>
          <w:rFonts w:hint="eastAsia" w:ascii="方正仿宋简体" w:hAnsi="方正仿宋简体" w:eastAsia="方正仿宋简体" w:cs="方正仿宋简体"/>
          <w:sz w:val="32"/>
          <w:szCs w:val="32"/>
        </w:rPr>
        <w:t>保工资、保运转、保民生</w:t>
      </w:r>
      <w:r>
        <w:rPr>
          <w:rFonts w:ascii="Times New Roman" w:hAnsi="Times New Roman" w:cs="Times New Roman" w:eastAsiaTheme="minorEastAsia"/>
          <w:sz w:val="32"/>
          <w:szCs w:val="32"/>
        </w:rPr>
        <w:t>”</w:t>
      </w:r>
      <w:r>
        <w:rPr>
          <w:rFonts w:hint="eastAsia" w:ascii="方正仿宋简体" w:hAnsi="方正仿宋简体" w:eastAsia="方正仿宋简体" w:cs="方正仿宋简体"/>
          <w:sz w:val="32"/>
          <w:szCs w:val="32"/>
        </w:rPr>
        <w:t>的基础上，不断加快涉及教育、医疗等重点民生领域的资金支出，更好地满足群众对美好生活的需要。二是强化重点支出。积极筹措发展资金，着力支持重点工作，为示范区建设、棚户区改造、污染防治、防范化解重大风险等提供更加有力的财力支撑，确保工管委重大决策部署落实到位。三是加强预算执行。充分发挥预算单位的主体地位，增强预算单位主体责任意识，加强财政部门的督导职能，形成预算支出工作合力，切实保证财政支出序时进度，有效提高资金使用效益。</w:t>
      </w:r>
    </w:p>
    <w:p>
      <w:pPr>
        <w:spacing w:after="189" w:line="256" w:lineRule="auto"/>
        <w:rPr>
          <w:rFonts w:ascii="仿宋" w:hAnsi="仿宋" w:eastAsia="仿宋" w:cs="宋体"/>
          <w:sz w:val="32"/>
          <w:szCs w:val="32"/>
        </w:rPr>
      </w:pPr>
      <w:r>
        <w:rPr>
          <w:rFonts w:hint="eastAsia" w:ascii="仿宋" w:hAnsi="仿宋" w:eastAsia="仿宋" w:cs="宋体"/>
          <w:sz w:val="32"/>
          <w:szCs w:val="32"/>
        </w:rPr>
        <w:t>部门职责及工作活动绩效目标指标：</w:t>
      </w:r>
    </w:p>
    <w:p>
      <w:pPr>
        <w:jc w:val="center"/>
        <w:outlineLvl w:val="0"/>
        <w:rPr>
          <w:rFonts w:ascii="方正小标宋_GBK" w:eastAsia="方正小标宋_GBK" w:cs="Times New Roman"/>
          <w:sz w:val="32"/>
        </w:rPr>
      </w:pPr>
      <w:bookmarkStart w:id="2" w:name="_Toc534645369"/>
      <w:r>
        <w:rPr>
          <w:rFonts w:hint="eastAsia" w:ascii="方正小标宋_GBK" w:eastAsia="方正小标宋_GBK" w:cs="Times New Roman"/>
          <w:sz w:val="32"/>
        </w:rPr>
        <w:t>部门职责-工作活动绩效目标</w:t>
      </w:r>
      <w:bookmarkEnd w:id="2"/>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ascii="方正小标宋_GBK" w:eastAsia="方正小标宋_GBK" w:cs="Times New Roman"/>
                <w:sz w:val="24"/>
              </w:rPr>
              <w:t>318</w:t>
            </w:r>
            <w:r>
              <w:rPr>
                <w:rFonts w:hint="eastAsia" w:ascii="方正小标宋_GBK" w:eastAsia="方正小标宋_GBK" w:cs="Times New Roman"/>
                <w:sz w:val="24"/>
              </w:rPr>
              <w:t>秦皇岛北戴河新区财政局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hint="eastAsia"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职责活动</w:t>
            </w:r>
          </w:p>
        </w:tc>
        <w:tc>
          <w:tcPr>
            <w:tcW w:w="1276" w:type="dxa"/>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年度预算数</w:t>
            </w:r>
          </w:p>
        </w:tc>
        <w:tc>
          <w:tcPr>
            <w:tcW w:w="2976" w:type="dxa"/>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内容描述</w:t>
            </w:r>
          </w:p>
        </w:tc>
        <w:tc>
          <w:tcPr>
            <w:tcW w:w="2976" w:type="dxa"/>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绩效目标</w:t>
            </w:r>
          </w:p>
        </w:tc>
        <w:tc>
          <w:tcPr>
            <w:tcW w:w="1417" w:type="dxa"/>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绩效指标</w:t>
            </w:r>
          </w:p>
        </w:tc>
        <w:tc>
          <w:tcPr>
            <w:tcW w:w="2948" w:type="dxa"/>
            <w:gridSpan w:val="4"/>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cs="Times New Roman"/>
              </w:rPr>
            </w:pPr>
          </w:p>
        </w:tc>
        <w:tc>
          <w:tcPr>
            <w:tcW w:w="1276" w:type="dxa"/>
            <w:vMerge w:val="continue"/>
            <w:shd w:val="clear" w:color="auto" w:fill="auto"/>
            <w:vAlign w:val="center"/>
          </w:tcPr>
          <w:p>
            <w:pPr>
              <w:spacing w:line="300" w:lineRule="exact"/>
              <w:jc w:val="left"/>
              <w:outlineLvl w:val="0"/>
              <w:rPr>
                <w:rFonts w:cs="Times New Roman"/>
              </w:rPr>
            </w:pPr>
          </w:p>
        </w:tc>
        <w:tc>
          <w:tcPr>
            <w:tcW w:w="2976" w:type="dxa"/>
            <w:vMerge w:val="continue"/>
            <w:shd w:val="clear" w:color="auto" w:fill="auto"/>
            <w:vAlign w:val="center"/>
          </w:tcPr>
          <w:p>
            <w:pPr>
              <w:spacing w:line="300" w:lineRule="exact"/>
              <w:jc w:val="left"/>
              <w:outlineLvl w:val="0"/>
              <w:rPr>
                <w:rFonts w:cs="Times New Roman"/>
              </w:rPr>
            </w:pPr>
          </w:p>
        </w:tc>
        <w:tc>
          <w:tcPr>
            <w:tcW w:w="2976" w:type="dxa"/>
            <w:vMerge w:val="continue"/>
            <w:shd w:val="clear" w:color="auto" w:fill="auto"/>
            <w:vAlign w:val="center"/>
          </w:tcPr>
          <w:p>
            <w:pPr>
              <w:spacing w:line="300" w:lineRule="exact"/>
              <w:jc w:val="left"/>
              <w:outlineLvl w:val="0"/>
              <w:rPr>
                <w:rFonts w:cs="Times New Roman"/>
              </w:rPr>
            </w:pPr>
          </w:p>
        </w:tc>
        <w:tc>
          <w:tcPr>
            <w:tcW w:w="1417" w:type="dxa"/>
            <w:vMerge w:val="continue"/>
            <w:shd w:val="clear" w:color="auto" w:fill="auto"/>
            <w:vAlign w:val="center"/>
          </w:tcPr>
          <w:p>
            <w:pPr>
              <w:spacing w:line="300" w:lineRule="exact"/>
              <w:jc w:val="left"/>
              <w:outlineLvl w:val="0"/>
              <w:rPr>
                <w:rFonts w:cs="Times New Roman"/>
              </w:rPr>
            </w:pPr>
          </w:p>
        </w:tc>
        <w:tc>
          <w:tcPr>
            <w:tcW w:w="737"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优</w:t>
            </w:r>
          </w:p>
        </w:tc>
        <w:tc>
          <w:tcPr>
            <w:tcW w:w="737"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良</w:t>
            </w:r>
          </w:p>
        </w:tc>
        <w:tc>
          <w:tcPr>
            <w:tcW w:w="737"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中</w:t>
            </w:r>
          </w:p>
        </w:tc>
        <w:tc>
          <w:tcPr>
            <w:tcW w:w="737"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一、预算管理</w:t>
            </w:r>
          </w:p>
        </w:tc>
        <w:tc>
          <w:tcPr>
            <w:tcW w:w="1276"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15.00</w:t>
            </w:r>
          </w:p>
        </w:tc>
        <w:tc>
          <w:tcPr>
            <w:tcW w:w="2976"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研究制定完善的预算政策体系，提高预算管理的科学化水平。</w:t>
            </w:r>
          </w:p>
        </w:tc>
        <w:tc>
          <w:tcPr>
            <w:tcW w:w="2976"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统筹区级财力，强化绩效管理，科学编制政府绩效预算。规范预算执行，合理组织财政各项支出，促进社会事业发展。推进预算公开，实施全面规范、公开透明的预算制度。</w:t>
            </w:r>
          </w:p>
        </w:tc>
        <w:tc>
          <w:tcPr>
            <w:tcW w:w="1417" w:type="dxa"/>
            <w:shd w:val="clear" w:color="auto" w:fill="auto"/>
            <w:vAlign w:val="center"/>
          </w:tcPr>
          <w:p>
            <w:pPr>
              <w:spacing w:line="300" w:lineRule="exact"/>
              <w:jc w:val="left"/>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1</w:t>
            </w:r>
            <w:r>
              <w:rPr>
                <w:rFonts w:hint="eastAsia" w:ascii="方正书宋_GBK" w:eastAsia="方正书宋_GBK" w:cs="Times New Roman"/>
                <w:b/>
              </w:rPr>
              <w:t>、预算政策管理</w:t>
            </w:r>
          </w:p>
        </w:tc>
        <w:tc>
          <w:tcPr>
            <w:tcW w:w="1276" w:type="dxa"/>
            <w:vMerge w:val="restart"/>
            <w:shd w:val="clear" w:color="auto" w:fill="auto"/>
            <w:vAlign w:val="center"/>
          </w:tcPr>
          <w:p>
            <w:pPr>
              <w:spacing w:line="300" w:lineRule="exact"/>
              <w:jc w:val="left"/>
              <w:rPr>
                <w:rFonts w:ascii="方正书宋_GBK" w:eastAsia="方正书宋_GBK" w:cs="Times New Roman"/>
              </w:rPr>
            </w:pP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了解宏观经济动态，掌握财税政策，在增收节支、平衡预算方面为领导决策及时提出意见建议。拟定预算政策和改革方案，并组织实施。分析预测宏观经济形势，参与制定各项宏观经济政策，负责研究拟订财政政策、预算管理制度和中长期财政规划；负责实施财政预算管理体制改革。</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通过拟定预算政策、起草财政预算、资金管理等地方性法规草案、制定有关规章制度，强化预算管理，保障新区财政发展。</w:t>
            </w: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预算政策管理效果</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预算政策执行效果</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预算政策完成情况</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2</w:t>
            </w:r>
            <w:r>
              <w:rPr>
                <w:rFonts w:hint="eastAsia" w:ascii="方正书宋_GBK" w:eastAsia="方正书宋_GBK" w:cs="Times New Roman"/>
                <w:b/>
              </w:rPr>
              <w:t>、预算编制管理</w:t>
            </w:r>
          </w:p>
        </w:tc>
        <w:tc>
          <w:tcPr>
            <w:tcW w:w="1276" w:type="dxa"/>
            <w:vMerge w:val="restart"/>
            <w:shd w:val="clear" w:color="auto" w:fill="auto"/>
            <w:vAlign w:val="center"/>
          </w:tcPr>
          <w:p>
            <w:pPr>
              <w:spacing w:line="300" w:lineRule="exact"/>
              <w:jc w:val="left"/>
              <w:rPr>
                <w:rFonts w:ascii="方正书宋_GBK" w:eastAsia="方正书宋_GBK" w:cs="Times New Roman"/>
              </w:rPr>
            </w:pP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负责编制年度本级公共财政预算、国有资本经营预算、社会保险基金预算、政府性基金预算草案，汇编区年度预决算草案，并报经工、管委同意后，提交市人民代表大会审查批准。</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通过编制财政预算，优化支出结构，强化绩效导向，着力促进稳增长、调结构、惠民生、促改革各项政策落实，为新区跨越发展提供财力支撑</w:t>
            </w: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预算编制完成率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100%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预算编制准确率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100%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预算编制按时完成效果</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100%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3</w:t>
            </w:r>
            <w:r>
              <w:rPr>
                <w:rFonts w:hint="eastAsia" w:ascii="方正书宋_GBK" w:eastAsia="方正书宋_GBK" w:cs="Times New Roman"/>
                <w:b/>
              </w:rPr>
              <w:t>、预算执行管理</w:t>
            </w:r>
          </w:p>
        </w:tc>
        <w:tc>
          <w:tcPr>
            <w:tcW w:w="1276" w:type="dxa"/>
            <w:vMerge w:val="restart"/>
            <w:shd w:val="clear" w:color="auto" w:fill="auto"/>
            <w:vAlign w:val="center"/>
          </w:tcPr>
          <w:p>
            <w:pPr>
              <w:spacing w:line="300" w:lineRule="exact"/>
              <w:jc w:val="left"/>
              <w:rPr>
                <w:rFonts w:ascii="方正书宋_GBK" w:eastAsia="方正书宋_GBK" w:cs="Times New Roman"/>
              </w:rPr>
            </w:pP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本级支出预算指标登记与核算；各类专项资金的管理及资金分配的下达工作。</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通过预算执行管理，促进政府各项重大政策的贯彻落实，直接关系政府公共服务水平和财政管理水平。</w:t>
            </w: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预算执行管理情况</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预算执行效果</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预算执行完成情况</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4</w:t>
            </w:r>
            <w:r>
              <w:rPr>
                <w:rFonts w:hint="eastAsia" w:ascii="方正书宋_GBK" w:eastAsia="方正书宋_GBK" w:cs="Times New Roman"/>
                <w:b/>
              </w:rPr>
              <w:t>、规范津贴补贴管理</w:t>
            </w:r>
          </w:p>
        </w:tc>
        <w:tc>
          <w:tcPr>
            <w:tcW w:w="1276" w:type="dxa"/>
            <w:vMerge w:val="restart"/>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15.00</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机关事业单位津贴补贴制度管理，负责构建经费定额标准体系和津贴补贴的管理工作。</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机关事业单位津贴补贴制度更加规范，依规发放津贴补贴</w:t>
            </w: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津贴补贴管理效果</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100%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规范津贴补贴完成情况</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100%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规范津贴补贴执行情况</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100%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二、国库管理</w:t>
            </w:r>
          </w:p>
        </w:tc>
        <w:tc>
          <w:tcPr>
            <w:tcW w:w="1276"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20.00</w:t>
            </w:r>
          </w:p>
        </w:tc>
        <w:tc>
          <w:tcPr>
            <w:tcW w:w="2976"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本级预算单位用款计划及额度审核下达，上下级财政库款调度；财政专户资金审核拨付；全区预算执行分析；本级财政总预算会计，全区本级决算；国债、地方债和国库现金管理；管理本级预算单位银行账户。</w:t>
            </w:r>
          </w:p>
        </w:tc>
        <w:tc>
          <w:tcPr>
            <w:tcW w:w="2976"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本级预算单位用款计划及额度审核下达，上下级财政库款调度；财政专户资金审核拨付；全区预算执行分析；本级财政总预算会计，全区本级决算；国债、地方债和国库现金管理；管理本级预算单位银行账户。</w:t>
            </w:r>
          </w:p>
        </w:tc>
        <w:tc>
          <w:tcPr>
            <w:tcW w:w="1417" w:type="dxa"/>
            <w:shd w:val="clear" w:color="auto" w:fill="auto"/>
            <w:vAlign w:val="center"/>
          </w:tcPr>
          <w:p>
            <w:pPr>
              <w:spacing w:line="300" w:lineRule="exact"/>
              <w:jc w:val="left"/>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1</w:t>
            </w:r>
            <w:r>
              <w:rPr>
                <w:rFonts w:hint="eastAsia" w:ascii="方正书宋_GBK" w:eastAsia="方正书宋_GBK" w:cs="Times New Roman"/>
                <w:b/>
              </w:rPr>
              <w:t>、银行账户与专户资金管理</w:t>
            </w:r>
          </w:p>
        </w:tc>
        <w:tc>
          <w:tcPr>
            <w:tcW w:w="1276" w:type="dxa"/>
            <w:vMerge w:val="restart"/>
            <w:shd w:val="clear" w:color="auto" w:fill="auto"/>
            <w:vAlign w:val="center"/>
          </w:tcPr>
          <w:p>
            <w:pPr>
              <w:spacing w:line="300" w:lineRule="exact"/>
              <w:jc w:val="left"/>
              <w:rPr>
                <w:rFonts w:ascii="方正书宋_GBK" w:eastAsia="方正书宋_GBK" w:cs="Times New Roman"/>
              </w:rPr>
            </w:pP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拟定并组织实施预算单位银行账户管理办法；组织实施国家有关财政专户资金管理制度，本级财政专户资金审核拨付及会计核算事项。</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按上级政策规定清理规范预算单位银行账户管理；执行国家有关财政专户资金管理制度，做好财政专户资金审核拨付及会计核算工作。</w:t>
            </w: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银行账户管理效果</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专户资金管理效果</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监督检查完成率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2</w:t>
            </w:r>
            <w:r>
              <w:rPr>
                <w:rFonts w:hint="eastAsia" w:ascii="方正书宋_GBK" w:eastAsia="方正书宋_GBK" w:cs="Times New Roman"/>
                <w:b/>
              </w:rPr>
              <w:t>、总预算会计管理</w:t>
            </w:r>
          </w:p>
        </w:tc>
        <w:tc>
          <w:tcPr>
            <w:tcW w:w="1276" w:type="dxa"/>
            <w:vMerge w:val="restart"/>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20.00</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本级总预算会计核算；编制本级综合财务报告，汇总全区综合财务报告。</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做好总预算会计核算工作；按时完成本级综合财务报告编制，汇总全区综合财务报告。</w:t>
            </w: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总预算会计管理完成率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100%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部门财务报告编制完成率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100%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综合财务报告编制完成率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100%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3</w:t>
            </w:r>
            <w:r>
              <w:rPr>
                <w:rFonts w:hint="eastAsia" w:ascii="方正书宋_GBK" w:eastAsia="方正书宋_GBK" w:cs="Times New Roman"/>
                <w:b/>
              </w:rPr>
              <w:t>、决算管理</w:t>
            </w:r>
          </w:p>
        </w:tc>
        <w:tc>
          <w:tcPr>
            <w:tcW w:w="1276" w:type="dxa"/>
            <w:vMerge w:val="restart"/>
            <w:shd w:val="clear" w:color="auto" w:fill="auto"/>
            <w:vAlign w:val="center"/>
          </w:tcPr>
          <w:p>
            <w:pPr>
              <w:spacing w:line="300" w:lineRule="exact"/>
              <w:jc w:val="left"/>
              <w:rPr>
                <w:rFonts w:ascii="方正书宋_GBK" w:eastAsia="方正书宋_GBK" w:cs="Times New Roman"/>
              </w:rPr>
            </w:pP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编制本级财政总决算，汇总编报全区财政总决算，汇总编报社保基金决算；编制本级部门决算，汇总编报全区部门决算，提交并按程序审批报送财政总决算报告和部门决算报告，组织决算批复。</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按时编制本级财政总决算，汇总编报全区财政总决算，汇总编报社保基金决算；编制本级部门决算，汇总编报全市部门决算，提交并按程序审批报送财政总决算报告和部门决算报告，组织决算批复。</w:t>
            </w: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决算编制完成率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100%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决算批复完成率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100%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决算核查督导率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100%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4</w:t>
            </w:r>
            <w:r>
              <w:rPr>
                <w:rFonts w:hint="eastAsia" w:ascii="方正书宋_GBK" w:eastAsia="方正书宋_GBK" w:cs="Times New Roman"/>
                <w:b/>
              </w:rPr>
              <w:t>、政府采购管理</w:t>
            </w:r>
          </w:p>
        </w:tc>
        <w:tc>
          <w:tcPr>
            <w:tcW w:w="1276" w:type="dxa"/>
            <w:vMerge w:val="restart"/>
            <w:shd w:val="clear" w:color="auto" w:fill="auto"/>
            <w:vAlign w:val="center"/>
          </w:tcPr>
          <w:p>
            <w:pPr>
              <w:spacing w:line="300" w:lineRule="exact"/>
              <w:jc w:val="left"/>
              <w:rPr>
                <w:rFonts w:ascii="方正书宋_GBK" w:eastAsia="方正书宋_GBK" w:cs="Times New Roman"/>
              </w:rPr>
            </w:pP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负责全区行政事业单位公务用车购置审核；审核部门政府采购预算；政府采购方式管理；政府采购集中采购机构监管；受理供应商投诉；管理政府采购网站。</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执行公车改革政策，新购置车辆编制审核；审核部门政府采购预算；政府采购计划备案、审批、审核；政府采购集中采购机构监管；受理供应商投诉；管理政府采购网站。</w:t>
            </w: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政府采购执行效果</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政府采购计划备案、审批、审核率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监督检查及处理投诉完成率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5</w:t>
            </w:r>
            <w:r>
              <w:rPr>
                <w:rFonts w:hint="eastAsia" w:ascii="方正书宋_GBK" w:eastAsia="方正书宋_GBK" w:cs="Times New Roman"/>
                <w:b/>
              </w:rPr>
              <w:t>、非税收入政策管理</w:t>
            </w:r>
          </w:p>
        </w:tc>
        <w:tc>
          <w:tcPr>
            <w:tcW w:w="1276" w:type="dxa"/>
            <w:vMerge w:val="restart"/>
            <w:shd w:val="clear" w:color="auto" w:fill="auto"/>
            <w:vAlign w:val="center"/>
          </w:tcPr>
          <w:p>
            <w:pPr>
              <w:spacing w:line="300" w:lineRule="exact"/>
              <w:jc w:val="left"/>
              <w:rPr>
                <w:rFonts w:ascii="方正书宋_GBK" w:eastAsia="方正书宋_GBK" w:cs="Times New Roman"/>
              </w:rPr>
            </w:pP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负责政府非税收入和政府性基金管理，按规定管理行政事业性收费；管理财政票据。</w:t>
            </w:r>
          </w:p>
        </w:tc>
        <w:tc>
          <w:tcPr>
            <w:tcW w:w="2976" w:type="dxa"/>
            <w:vMerge w:val="restart"/>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非税收入管理效果</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培训宣传完成率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监督检查完成率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三、财政监督管理</w:t>
            </w:r>
          </w:p>
        </w:tc>
        <w:tc>
          <w:tcPr>
            <w:tcW w:w="1276" w:type="dxa"/>
            <w:shd w:val="clear" w:color="auto" w:fill="auto"/>
            <w:vAlign w:val="center"/>
          </w:tcPr>
          <w:p>
            <w:pPr>
              <w:spacing w:line="300" w:lineRule="exact"/>
              <w:jc w:val="left"/>
              <w:rPr>
                <w:rFonts w:ascii="方正书宋_GBK" w:eastAsia="方正书宋_GBK" w:cs="Times New Roman"/>
              </w:rPr>
            </w:pPr>
          </w:p>
        </w:tc>
        <w:tc>
          <w:tcPr>
            <w:tcW w:w="2976"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负责监督检查财税法规、政策的执行情况，以及财政性资金使用情况，反映财政收支管理中的重大问题。监督和规范会计行为，监督注册会计师和会计师事务所的业务。</w:t>
            </w:r>
          </w:p>
        </w:tc>
        <w:tc>
          <w:tcPr>
            <w:tcW w:w="2976"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负责监督检查财税法规、政策的执行情况，以及财政性资金使用情况，反映财政收支管理中的重大问题。监督和规范会计行为，监督注册会计师和会计师事务所的业务。</w:t>
            </w:r>
          </w:p>
        </w:tc>
        <w:tc>
          <w:tcPr>
            <w:tcW w:w="1417" w:type="dxa"/>
            <w:shd w:val="clear" w:color="auto" w:fill="auto"/>
            <w:vAlign w:val="center"/>
          </w:tcPr>
          <w:p>
            <w:pPr>
              <w:spacing w:line="300" w:lineRule="exact"/>
              <w:jc w:val="left"/>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1</w:t>
            </w:r>
            <w:r>
              <w:rPr>
                <w:rFonts w:hint="eastAsia" w:ascii="方正书宋_GBK" w:eastAsia="方正书宋_GBK" w:cs="Times New Roman"/>
                <w:b/>
              </w:rPr>
              <w:t>、财政政策资金监督</w:t>
            </w:r>
          </w:p>
        </w:tc>
        <w:tc>
          <w:tcPr>
            <w:tcW w:w="1276" w:type="dxa"/>
            <w:vMerge w:val="restart"/>
            <w:shd w:val="clear" w:color="auto" w:fill="auto"/>
            <w:vAlign w:val="center"/>
          </w:tcPr>
          <w:p>
            <w:pPr>
              <w:spacing w:line="300" w:lineRule="exact"/>
              <w:jc w:val="left"/>
              <w:rPr>
                <w:rFonts w:ascii="方正书宋_GBK" w:eastAsia="方正书宋_GBK" w:cs="Times New Roman"/>
              </w:rPr>
            </w:pP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统筹组织上级要求及新区安排的专项检查、专项治理工作；组织实施内部业务审计；依法调查、组织审理部门单位财政违法行为案件；配合外部审计工作。</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通过专项检查、专项治理，向有关部门反映情况，揭露问题、提出解决问题的建议，维护国家财政经济纪律。</w:t>
            </w: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检查工作完成率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发现问题通报率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问题整改督导率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2</w:t>
            </w:r>
            <w:r>
              <w:rPr>
                <w:rFonts w:hint="eastAsia" w:ascii="方正书宋_GBK" w:eastAsia="方正书宋_GBK" w:cs="Times New Roman"/>
                <w:b/>
              </w:rPr>
              <w:t>、财政支出绩效评价</w:t>
            </w:r>
          </w:p>
        </w:tc>
        <w:tc>
          <w:tcPr>
            <w:tcW w:w="1276" w:type="dxa"/>
            <w:vMerge w:val="restart"/>
            <w:shd w:val="clear" w:color="auto" w:fill="auto"/>
            <w:vAlign w:val="center"/>
          </w:tcPr>
          <w:p>
            <w:pPr>
              <w:spacing w:line="300" w:lineRule="exact"/>
              <w:jc w:val="left"/>
              <w:rPr>
                <w:rFonts w:ascii="方正书宋_GBK" w:eastAsia="方正书宋_GBK" w:cs="Times New Roman"/>
              </w:rPr>
            </w:pP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指导本级部门开展预算项目自评工作，牵头组织对部分重点项目、工作活动，进行具体考评，撰写绩效评价报告，提出绩效整改意见。负责委托第三方开展绩效评价工作，并对评价过程和结果进行监督。</w:t>
            </w:r>
          </w:p>
        </w:tc>
        <w:tc>
          <w:tcPr>
            <w:tcW w:w="2976" w:type="dxa"/>
            <w:vMerge w:val="restart"/>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绩效评价完成率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自评督导率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评价结果通报率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3</w:t>
            </w:r>
            <w:r>
              <w:rPr>
                <w:rFonts w:hint="eastAsia" w:ascii="方正书宋_GBK" w:eastAsia="方正书宋_GBK" w:cs="Times New Roman"/>
                <w:b/>
              </w:rPr>
              <w:t>、财政投资评审</w:t>
            </w:r>
          </w:p>
        </w:tc>
        <w:tc>
          <w:tcPr>
            <w:tcW w:w="1276" w:type="dxa"/>
            <w:vMerge w:val="restart"/>
            <w:shd w:val="clear" w:color="auto" w:fill="auto"/>
            <w:vAlign w:val="center"/>
          </w:tcPr>
          <w:p>
            <w:pPr>
              <w:spacing w:line="300" w:lineRule="exact"/>
              <w:jc w:val="left"/>
              <w:rPr>
                <w:rFonts w:ascii="方正书宋_GBK" w:eastAsia="方正书宋_GBK" w:cs="Times New Roman"/>
              </w:rPr>
            </w:pP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对财政性资金拟安排的建设项目预算进行评价审查；对已安排建设项目、建设项目竣工结（决）算以及建设类项目投资效果进行评价审查；对财政专项资金安排的项目进行追踪问效和核查。</w:t>
            </w:r>
          </w:p>
        </w:tc>
        <w:tc>
          <w:tcPr>
            <w:tcW w:w="2976" w:type="dxa"/>
            <w:vMerge w:val="restart"/>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评审工作完成率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评审结果通报率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评审进度督导率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4</w:t>
            </w:r>
            <w:r>
              <w:rPr>
                <w:rFonts w:hint="eastAsia" w:ascii="方正书宋_GBK" w:eastAsia="方正书宋_GBK" w:cs="Times New Roman"/>
                <w:b/>
              </w:rPr>
              <w:t>、财务会计制度检查</w:t>
            </w:r>
          </w:p>
        </w:tc>
        <w:tc>
          <w:tcPr>
            <w:tcW w:w="1276" w:type="dxa"/>
            <w:vMerge w:val="restart"/>
            <w:shd w:val="clear" w:color="auto" w:fill="auto"/>
            <w:vAlign w:val="center"/>
          </w:tcPr>
          <w:p>
            <w:pPr>
              <w:spacing w:line="300" w:lineRule="exact"/>
              <w:jc w:val="left"/>
              <w:rPr>
                <w:rFonts w:ascii="方正书宋_GBK" w:eastAsia="方正书宋_GBK" w:cs="Times New Roman"/>
              </w:rPr>
            </w:pP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负责监督和规范会计行为，根据上级财政部门统一部属，开展会计信息质量检查。</w:t>
            </w:r>
          </w:p>
        </w:tc>
        <w:tc>
          <w:tcPr>
            <w:tcW w:w="2976" w:type="dxa"/>
            <w:vMerge w:val="restart"/>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检查工作完成率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发现问题通报率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问题整改督导率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四、国有资产管理</w:t>
            </w:r>
          </w:p>
        </w:tc>
        <w:tc>
          <w:tcPr>
            <w:tcW w:w="1276"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7.65</w:t>
            </w:r>
          </w:p>
        </w:tc>
        <w:tc>
          <w:tcPr>
            <w:tcW w:w="2976"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拟定机关事业单位国有资产管理制度和办法，对行政事业单位资产配置、使用、处置事项进行管理有关工作；</w:t>
            </w:r>
          </w:p>
        </w:tc>
        <w:tc>
          <w:tcPr>
            <w:tcW w:w="2976"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做好拟定机关事业单位国有资产管理制度和办法，对行政事业单位资产配置、使用、处置事项进行管理有关工作；</w:t>
            </w:r>
          </w:p>
        </w:tc>
        <w:tc>
          <w:tcPr>
            <w:tcW w:w="1417" w:type="dxa"/>
            <w:shd w:val="clear" w:color="auto" w:fill="auto"/>
            <w:vAlign w:val="center"/>
          </w:tcPr>
          <w:p>
            <w:pPr>
              <w:spacing w:line="300" w:lineRule="exact"/>
              <w:jc w:val="left"/>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1</w:t>
            </w:r>
            <w:r>
              <w:rPr>
                <w:rFonts w:hint="eastAsia" w:ascii="方正书宋_GBK" w:eastAsia="方正书宋_GBK" w:cs="Times New Roman"/>
                <w:b/>
              </w:rPr>
              <w:t>、行政事业单位国有资产管理</w:t>
            </w:r>
          </w:p>
        </w:tc>
        <w:tc>
          <w:tcPr>
            <w:tcW w:w="1276" w:type="dxa"/>
            <w:vMerge w:val="restart"/>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7.65</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拟定机关事业单位国有资产管理制度和办法，对市直行政事业单位资产配置、使用、科置事项进行管理。</w:t>
            </w:r>
          </w:p>
        </w:tc>
        <w:tc>
          <w:tcPr>
            <w:tcW w:w="2976" w:type="dxa"/>
            <w:vMerge w:val="restart"/>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资产处置审批率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发现问题通报率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处置进度督导率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五、金融管理</w:t>
            </w:r>
          </w:p>
        </w:tc>
        <w:tc>
          <w:tcPr>
            <w:tcW w:w="1276"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31890.00</w:t>
            </w:r>
          </w:p>
        </w:tc>
        <w:tc>
          <w:tcPr>
            <w:tcW w:w="2976"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政府债务、金融管理等政府专项工作的管理。</w:t>
            </w:r>
          </w:p>
        </w:tc>
        <w:tc>
          <w:tcPr>
            <w:tcW w:w="2976"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做好政府债务、金融管理等政府专项工作的管理。</w:t>
            </w:r>
          </w:p>
        </w:tc>
        <w:tc>
          <w:tcPr>
            <w:tcW w:w="1417" w:type="dxa"/>
            <w:shd w:val="clear" w:color="auto" w:fill="auto"/>
            <w:vAlign w:val="center"/>
          </w:tcPr>
          <w:p>
            <w:pPr>
              <w:spacing w:line="300" w:lineRule="exact"/>
              <w:jc w:val="left"/>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1</w:t>
            </w:r>
            <w:r>
              <w:rPr>
                <w:rFonts w:hint="eastAsia" w:ascii="方正书宋_GBK" w:eastAsia="方正书宋_GBK" w:cs="Times New Roman"/>
                <w:b/>
              </w:rPr>
              <w:t>、政府债务和中长期支出事项管理</w:t>
            </w:r>
          </w:p>
        </w:tc>
        <w:tc>
          <w:tcPr>
            <w:tcW w:w="1276" w:type="dxa"/>
            <w:vMerge w:val="restart"/>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31750.00</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拟定政府性债务管理制度；对债务规模、方式、使用和偿还进行全面监管；负责推广政府和社会资本合作模式，指导项目实施机构开展具体工作；负责组织开展政府购买服务业务并进行监管；负责政府投资基金的监管工作。</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通过拟定管理制度，加强对政府债务、政府和社会资本服务和购买服务等业务进行规范，强化政府债务和中长期支出事项管理，防范风险。</w:t>
            </w: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政府债务和中长期支出事项管理效果</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防范债务风险完成率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问题整改督导率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2</w:t>
            </w:r>
            <w:r>
              <w:rPr>
                <w:rFonts w:hint="eastAsia" w:ascii="方正书宋_GBK" w:eastAsia="方正书宋_GBK" w:cs="Times New Roman"/>
                <w:b/>
              </w:rPr>
              <w:t>、金融管理</w:t>
            </w:r>
          </w:p>
        </w:tc>
        <w:tc>
          <w:tcPr>
            <w:tcW w:w="1276" w:type="dxa"/>
            <w:vMerge w:val="restart"/>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140.00</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w:t>
            </w:r>
            <w:r>
              <w:rPr>
                <w:rFonts w:hint="eastAsia" w:ascii="方正书宋_GBK" w:eastAsia="方正书宋_GBK" w:cs="Times New Roman"/>
              </w:rPr>
              <w:t>贯彻执行党和国家有关金融工作的方针政策和法律法规；组织推进金融市场发展和拓宽融资渠道，促进银政合作、银企合作；负责组织协调规范、整顿和维护本地金融秩序，防范化解地方金融风险；负责本地发展和利用资本市场重大事项；负责组织、指导本地企业上市工作，筛选、培育拟上市企业，指导企业准备上市工作。</w:t>
            </w:r>
          </w:p>
          <w:p>
            <w:pPr>
              <w:spacing w:line="300" w:lineRule="exact"/>
              <w:jc w:val="left"/>
              <w:rPr>
                <w:rFonts w:ascii="方正书宋_GBK" w:eastAsia="方正书宋_GBK" w:cs="Times New Roman"/>
              </w:rPr>
            </w:pPr>
            <w:r>
              <w:rPr>
                <w:rFonts w:ascii="方正书宋_GBK" w:eastAsia="方正书宋_GBK" w:cs="Times New Roman"/>
              </w:rPr>
              <w:t>"</w:t>
            </w:r>
          </w:p>
        </w:tc>
        <w:tc>
          <w:tcPr>
            <w:tcW w:w="2976" w:type="dxa"/>
            <w:vMerge w:val="restart"/>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金融管理效果</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75%</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金融风险管理</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75%</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促进政银企合作</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75%</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六、财政政务管理</w:t>
            </w:r>
          </w:p>
        </w:tc>
        <w:tc>
          <w:tcPr>
            <w:tcW w:w="1276"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30.00</w:t>
            </w:r>
          </w:p>
        </w:tc>
        <w:tc>
          <w:tcPr>
            <w:tcW w:w="2976"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负责财政系统综合业务管理和机关综合事务管理。</w:t>
            </w:r>
          </w:p>
        </w:tc>
        <w:tc>
          <w:tcPr>
            <w:tcW w:w="2976"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做好财政系统综合业务管理和机关综合事务管理。</w:t>
            </w:r>
          </w:p>
        </w:tc>
        <w:tc>
          <w:tcPr>
            <w:tcW w:w="1417" w:type="dxa"/>
            <w:shd w:val="clear" w:color="auto" w:fill="auto"/>
            <w:vAlign w:val="center"/>
          </w:tcPr>
          <w:p>
            <w:pPr>
              <w:spacing w:line="300" w:lineRule="exact"/>
              <w:jc w:val="left"/>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c>
          <w:tcPr>
            <w:tcW w:w="737" w:type="dxa"/>
            <w:shd w:val="clear" w:color="auto" w:fill="auto"/>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1</w:t>
            </w:r>
            <w:r>
              <w:rPr>
                <w:rFonts w:hint="eastAsia" w:ascii="方正书宋_GBK" w:eastAsia="方正书宋_GBK" w:cs="Times New Roman"/>
                <w:b/>
              </w:rPr>
              <w:t>、综合业务管理</w:t>
            </w:r>
          </w:p>
        </w:tc>
        <w:tc>
          <w:tcPr>
            <w:tcW w:w="1276" w:type="dxa"/>
            <w:vMerge w:val="restart"/>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30.00</w:t>
            </w: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指导财政系统业务活动和事业发展；深化财政改革；全区管理管理；信访接待、业务宣传、政务信息公开、网上行政服务、依法行政等。</w:t>
            </w:r>
          </w:p>
        </w:tc>
        <w:tc>
          <w:tcPr>
            <w:tcW w:w="2976" w:type="dxa"/>
            <w:vMerge w:val="restart"/>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综合业务保障率</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综合宣传情况</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联络服务满意度</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　　</w:t>
            </w:r>
            <w:r>
              <w:rPr>
                <w:rFonts w:ascii="方正书宋_GBK" w:eastAsia="方正书宋_GBK" w:cs="Times New Roman"/>
                <w:b/>
              </w:rPr>
              <w:t>2</w:t>
            </w:r>
            <w:r>
              <w:rPr>
                <w:rFonts w:hint="eastAsia" w:ascii="方正书宋_GBK" w:eastAsia="方正书宋_GBK" w:cs="Times New Roman"/>
                <w:b/>
              </w:rPr>
              <w:t>、综合事务管理</w:t>
            </w:r>
          </w:p>
        </w:tc>
        <w:tc>
          <w:tcPr>
            <w:tcW w:w="1276" w:type="dxa"/>
            <w:vMerge w:val="restart"/>
            <w:shd w:val="clear" w:color="auto" w:fill="auto"/>
            <w:vAlign w:val="center"/>
          </w:tcPr>
          <w:p>
            <w:pPr>
              <w:spacing w:line="300" w:lineRule="exact"/>
              <w:jc w:val="left"/>
              <w:rPr>
                <w:rFonts w:ascii="方正书宋_GBK" w:eastAsia="方正书宋_GBK" w:cs="Times New Roman"/>
              </w:rPr>
            </w:pPr>
          </w:p>
        </w:tc>
        <w:tc>
          <w:tcPr>
            <w:tcW w:w="2976" w:type="dxa"/>
            <w:vMerge w:val="restar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会议组织管理、信息化建设与维护、机关财务和资产管理、标准化建设、基建及维修、大型设备购置、人事管理及干部教育培训、机关党委工作等。负责本单位管理工作。</w:t>
            </w:r>
          </w:p>
        </w:tc>
        <w:tc>
          <w:tcPr>
            <w:tcW w:w="2976" w:type="dxa"/>
            <w:vMerge w:val="restart"/>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思想政治工作学习情况。</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干部教育培训情况</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cs="Times New Roman"/>
                <w:b/>
              </w:rPr>
            </w:pPr>
          </w:p>
        </w:tc>
        <w:tc>
          <w:tcPr>
            <w:tcW w:w="12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2976" w:type="dxa"/>
            <w:vMerge w:val="continue"/>
            <w:shd w:val="clear" w:color="auto" w:fill="auto"/>
            <w:vAlign w:val="center"/>
          </w:tcPr>
          <w:p>
            <w:pPr>
              <w:spacing w:line="300" w:lineRule="exact"/>
              <w:jc w:val="left"/>
              <w:rPr>
                <w:rFonts w:ascii="方正书宋_GBK" w:eastAsia="方正书宋_GBK" w:cs="Times New Roman"/>
              </w:rPr>
            </w:pPr>
          </w:p>
        </w:tc>
        <w:tc>
          <w:tcPr>
            <w:tcW w:w="1417"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综合管理情况</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p>
        </w:tc>
        <w:tc>
          <w:tcPr>
            <w:tcW w:w="737"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60%</w:t>
            </w:r>
          </w:p>
        </w:tc>
      </w:tr>
    </w:tbl>
    <w:p>
      <w:pPr>
        <w:ind w:firstLine="480" w:firstLineChars="150"/>
        <w:rPr>
          <w:rFonts w:ascii="Times New Roman" w:hAnsi="Times New Roman" w:eastAsia="方正仿宋_GBK" w:cs="Times New Roman"/>
          <w:color w:val="FF0000"/>
          <w:sz w:val="32"/>
          <w:szCs w:val="24"/>
        </w:rPr>
      </w:pPr>
      <w:r>
        <w:rPr>
          <w:rFonts w:hint="eastAsia" w:ascii="黑体" w:hAnsi="黑体" w:eastAsia="黑体" w:cs="Times New Roman"/>
          <w:sz w:val="32"/>
          <w:szCs w:val="32"/>
        </w:rPr>
        <w:t>六、政府采购预算情况</w:t>
      </w:r>
    </w:p>
    <w:p>
      <w:pPr>
        <w:spacing w:after="50" w:line="259" w:lineRule="auto"/>
        <w:ind w:left="10" w:hanging="10"/>
        <w:jc w:val="center"/>
        <w:rPr>
          <w:rFonts w:ascii="仿宋" w:hAnsi="仿宋" w:eastAsia="仿宋" w:cs="Times New Roman"/>
          <w:sz w:val="32"/>
          <w:szCs w:val="32"/>
        </w:rPr>
      </w:pPr>
      <w:r>
        <w:rPr>
          <w:rFonts w:ascii="仿宋" w:hAnsi="仿宋" w:eastAsia="仿宋" w:cs="Times New Roman"/>
          <w:sz w:val="32"/>
          <w:szCs w:val="32"/>
        </w:rPr>
        <w:t>201</w:t>
      </w:r>
      <w:r>
        <w:rPr>
          <w:rFonts w:hint="eastAsia" w:ascii="仿宋" w:hAnsi="仿宋" w:eastAsia="仿宋" w:cs="Times New Roman"/>
          <w:sz w:val="32"/>
          <w:szCs w:val="32"/>
        </w:rPr>
        <w:t>9年，秦皇岛北戴河新区财政局部门安排政府采购预算6万元，具体内容见下表。</w:t>
      </w:r>
    </w:p>
    <w:p>
      <w:pPr>
        <w:spacing w:after="50" w:line="259" w:lineRule="auto"/>
        <w:jc w:val="center"/>
        <w:rPr>
          <w:rFonts w:ascii="仿宋" w:hAnsi="仿宋" w:eastAsia="仿宋" w:cs="Times New Roman"/>
          <w:sz w:val="32"/>
          <w:szCs w:val="32"/>
        </w:rPr>
      </w:pPr>
      <w:r>
        <w:rPr>
          <w:rFonts w:hint="eastAsia" w:ascii="仿宋" w:hAnsi="仿宋" w:eastAsia="仿宋" w:cs="Times New Roman"/>
          <w:sz w:val="32"/>
          <w:szCs w:val="32"/>
        </w:rPr>
        <w:t>部门政府采购预算</w:t>
      </w:r>
    </w:p>
    <w:tbl>
      <w:tblPr>
        <w:tblStyle w:val="9"/>
        <w:tblW w:w="521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35"/>
        <w:gridCol w:w="1134"/>
        <w:gridCol w:w="957"/>
        <w:gridCol w:w="1010"/>
        <w:gridCol w:w="792"/>
        <w:gridCol w:w="792"/>
        <w:gridCol w:w="860"/>
        <w:gridCol w:w="957"/>
        <w:gridCol w:w="957"/>
        <w:gridCol w:w="957"/>
        <w:gridCol w:w="957"/>
        <w:gridCol w:w="957"/>
        <w:gridCol w:w="958"/>
        <w:gridCol w:w="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ascii="方正小标宋_GBK" w:eastAsia="方正小标宋_GBK" w:cs="Times New Roman"/>
                <w:sz w:val="24"/>
              </w:rPr>
              <w:t>318</w:t>
            </w:r>
            <w:r>
              <w:rPr>
                <w:rFonts w:hint="eastAsia" w:ascii="方正小标宋_GBK" w:eastAsia="方正小标宋_GBK" w:cs="Times New Roman"/>
                <w:sz w:val="24"/>
              </w:rPr>
              <w:t>秦皇岛市财政局</w:t>
            </w:r>
          </w:p>
        </w:tc>
        <w:tc>
          <w:tcPr>
            <w:tcW w:w="226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hint="eastAsia"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42" w:type="pct"/>
            <w:gridSpan w:val="2"/>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政府采购项目来源</w:t>
            </w:r>
          </w:p>
        </w:tc>
        <w:tc>
          <w:tcPr>
            <w:tcW w:w="324" w:type="pct"/>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采购物品名称</w:t>
            </w:r>
          </w:p>
        </w:tc>
        <w:tc>
          <w:tcPr>
            <w:tcW w:w="342" w:type="pct"/>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政府采购目录序号</w:t>
            </w:r>
          </w:p>
        </w:tc>
        <w:tc>
          <w:tcPr>
            <w:tcW w:w="268" w:type="pct"/>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数量单位</w:t>
            </w:r>
          </w:p>
        </w:tc>
        <w:tc>
          <w:tcPr>
            <w:tcW w:w="268" w:type="pct"/>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数量</w:t>
            </w:r>
          </w:p>
        </w:tc>
        <w:tc>
          <w:tcPr>
            <w:tcW w:w="291" w:type="pct"/>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单价</w:t>
            </w:r>
          </w:p>
        </w:tc>
        <w:tc>
          <w:tcPr>
            <w:tcW w:w="2265" w:type="pct"/>
            <w:gridSpan w:val="7"/>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项目名称</w:t>
            </w:r>
          </w:p>
        </w:tc>
        <w:tc>
          <w:tcPr>
            <w:tcW w:w="383" w:type="pct"/>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预算资金</w:t>
            </w:r>
          </w:p>
        </w:tc>
        <w:tc>
          <w:tcPr>
            <w:tcW w:w="324" w:type="pct"/>
            <w:vMerge w:val="continue"/>
            <w:shd w:val="clear" w:color="auto" w:fill="auto"/>
            <w:vAlign w:val="center"/>
          </w:tcPr>
          <w:p>
            <w:pPr>
              <w:spacing w:line="300" w:lineRule="exact"/>
              <w:jc w:val="left"/>
              <w:outlineLvl w:val="0"/>
              <w:rPr>
                <w:rFonts w:cs="Times New Roman"/>
              </w:rPr>
            </w:pPr>
          </w:p>
        </w:tc>
        <w:tc>
          <w:tcPr>
            <w:tcW w:w="342" w:type="pct"/>
            <w:vMerge w:val="continue"/>
            <w:shd w:val="clear" w:color="auto" w:fill="auto"/>
            <w:vAlign w:val="center"/>
          </w:tcPr>
          <w:p>
            <w:pPr>
              <w:spacing w:line="300" w:lineRule="exact"/>
              <w:jc w:val="left"/>
              <w:outlineLvl w:val="0"/>
              <w:rPr>
                <w:rFonts w:cs="Times New Roman"/>
              </w:rPr>
            </w:pPr>
          </w:p>
        </w:tc>
        <w:tc>
          <w:tcPr>
            <w:tcW w:w="268" w:type="pct"/>
            <w:vMerge w:val="continue"/>
            <w:shd w:val="clear" w:color="auto" w:fill="auto"/>
            <w:vAlign w:val="center"/>
          </w:tcPr>
          <w:p>
            <w:pPr>
              <w:spacing w:line="300" w:lineRule="exact"/>
              <w:jc w:val="left"/>
              <w:outlineLvl w:val="0"/>
              <w:rPr>
                <w:rFonts w:cs="Times New Roman"/>
              </w:rPr>
            </w:pPr>
          </w:p>
        </w:tc>
        <w:tc>
          <w:tcPr>
            <w:tcW w:w="268" w:type="pct"/>
            <w:vMerge w:val="continue"/>
            <w:shd w:val="clear" w:color="auto" w:fill="auto"/>
            <w:vAlign w:val="center"/>
          </w:tcPr>
          <w:p>
            <w:pPr>
              <w:spacing w:line="300" w:lineRule="exact"/>
              <w:jc w:val="left"/>
              <w:outlineLvl w:val="0"/>
              <w:rPr>
                <w:rFonts w:cs="Times New Roman"/>
              </w:rPr>
            </w:pPr>
          </w:p>
        </w:tc>
        <w:tc>
          <w:tcPr>
            <w:tcW w:w="291" w:type="pct"/>
            <w:vMerge w:val="continue"/>
            <w:shd w:val="clear" w:color="auto" w:fill="auto"/>
            <w:vAlign w:val="center"/>
          </w:tcPr>
          <w:p>
            <w:pPr>
              <w:spacing w:line="300" w:lineRule="exact"/>
              <w:jc w:val="left"/>
              <w:outlineLvl w:val="0"/>
              <w:rPr>
                <w:rFonts w:cs="Times New Roman"/>
              </w:rPr>
            </w:pPr>
          </w:p>
        </w:tc>
        <w:tc>
          <w:tcPr>
            <w:tcW w:w="324" w:type="pct"/>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总计</w:t>
            </w:r>
          </w:p>
        </w:tc>
        <w:tc>
          <w:tcPr>
            <w:tcW w:w="1620" w:type="pct"/>
            <w:gridSpan w:val="5"/>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当年部门预算安排资金</w:t>
            </w:r>
          </w:p>
        </w:tc>
        <w:tc>
          <w:tcPr>
            <w:tcW w:w="322" w:type="pct"/>
            <w:vMerge w:val="restar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continue"/>
            <w:shd w:val="clear" w:color="auto" w:fill="auto"/>
            <w:vAlign w:val="center"/>
          </w:tcPr>
          <w:p>
            <w:pPr>
              <w:spacing w:line="300" w:lineRule="exact"/>
              <w:jc w:val="left"/>
              <w:outlineLvl w:val="0"/>
              <w:rPr>
                <w:rFonts w:cs="Times New Roman"/>
              </w:rPr>
            </w:pPr>
          </w:p>
        </w:tc>
        <w:tc>
          <w:tcPr>
            <w:tcW w:w="383" w:type="pct"/>
            <w:vMerge w:val="continue"/>
            <w:shd w:val="clear" w:color="auto" w:fill="auto"/>
            <w:vAlign w:val="center"/>
          </w:tcPr>
          <w:p>
            <w:pPr>
              <w:spacing w:line="300" w:lineRule="exact"/>
              <w:jc w:val="left"/>
              <w:outlineLvl w:val="0"/>
              <w:rPr>
                <w:rFonts w:cs="Times New Roman"/>
              </w:rPr>
            </w:pPr>
          </w:p>
        </w:tc>
        <w:tc>
          <w:tcPr>
            <w:tcW w:w="324" w:type="pct"/>
            <w:vMerge w:val="continue"/>
            <w:shd w:val="clear" w:color="auto" w:fill="auto"/>
            <w:vAlign w:val="center"/>
          </w:tcPr>
          <w:p>
            <w:pPr>
              <w:spacing w:line="300" w:lineRule="exact"/>
              <w:jc w:val="left"/>
              <w:outlineLvl w:val="0"/>
              <w:rPr>
                <w:rFonts w:cs="Times New Roman"/>
              </w:rPr>
            </w:pPr>
          </w:p>
        </w:tc>
        <w:tc>
          <w:tcPr>
            <w:tcW w:w="342" w:type="pct"/>
            <w:vMerge w:val="continue"/>
            <w:shd w:val="clear" w:color="auto" w:fill="auto"/>
            <w:vAlign w:val="center"/>
          </w:tcPr>
          <w:p>
            <w:pPr>
              <w:spacing w:line="300" w:lineRule="exact"/>
              <w:jc w:val="left"/>
              <w:outlineLvl w:val="0"/>
              <w:rPr>
                <w:rFonts w:cs="Times New Roman"/>
              </w:rPr>
            </w:pPr>
          </w:p>
        </w:tc>
        <w:tc>
          <w:tcPr>
            <w:tcW w:w="268" w:type="pct"/>
            <w:vMerge w:val="continue"/>
            <w:shd w:val="clear" w:color="auto" w:fill="auto"/>
            <w:vAlign w:val="center"/>
          </w:tcPr>
          <w:p>
            <w:pPr>
              <w:spacing w:line="300" w:lineRule="exact"/>
              <w:jc w:val="left"/>
              <w:outlineLvl w:val="0"/>
              <w:rPr>
                <w:rFonts w:cs="Times New Roman"/>
              </w:rPr>
            </w:pPr>
          </w:p>
        </w:tc>
        <w:tc>
          <w:tcPr>
            <w:tcW w:w="268" w:type="pct"/>
            <w:vMerge w:val="continue"/>
            <w:shd w:val="clear" w:color="auto" w:fill="auto"/>
            <w:vAlign w:val="center"/>
          </w:tcPr>
          <w:p>
            <w:pPr>
              <w:spacing w:line="300" w:lineRule="exact"/>
              <w:jc w:val="left"/>
              <w:outlineLvl w:val="0"/>
              <w:rPr>
                <w:rFonts w:cs="Times New Roman"/>
              </w:rPr>
            </w:pPr>
          </w:p>
        </w:tc>
        <w:tc>
          <w:tcPr>
            <w:tcW w:w="291" w:type="pct"/>
            <w:vMerge w:val="continue"/>
            <w:shd w:val="clear" w:color="auto" w:fill="auto"/>
            <w:vAlign w:val="center"/>
          </w:tcPr>
          <w:p>
            <w:pPr>
              <w:spacing w:line="300" w:lineRule="exact"/>
              <w:jc w:val="left"/>
              <w:outlineLvl w:val="0"/>
              <w:rPr>
                <w:rFonts w:cs="Times New Roman"/>
              </w:rPr>
            </w:pPr>
          </w:p>
        </w:tc>
        <w:tc>
          <w:tcPr>
            <w:tcW w:w="324" w:type="pct"/>
            <w:vMerge w:val="continue"/>
            <w:shd w:val="clear" w:color="auto" w:fill="auto"/>
            <w:vAlign w:val="center"/>
          </w:tcPr>
          <w:p>
            <w:pPr>
              <w:spacing w:line="300" w:lineRule="exact"/>
              <w:jc w:val="left"/>
              <w:outlineLvl w:val="0"/>
              <w:rPr>
                <w:rFonts w:cs="Times New Roman"/>
              </w:rPr>
            </w:pPr>
          </w:p>
        </w:tc>
        <w:tc>
          <w:tcPr>
            <w:tcW w:w="324" w:type="pc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合计</w:t>
            </w:r>
          </w:p>
        </w:tc>
        <w:tc>
          <w:tcPr>
            <w:tcW w:w="324" w:type="pc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一般公共预算拨款</w:t>
            </w:r>
          </w:p>
        </w:tc>
        <w:tc>
          <w:tcPr>
            <w:tcW w:w="324" w:type="pc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基金预算拨款</w:t>
            </w:r>
          </w:p>
        </w:tc>
        <w:tc>
          <w:tcPr>
            <w:tcW w:w="324" w:type="pc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财政专户核拨</w:t>
            </w:r>
          </w:p>
        </w:tc>
        <w:tc>
          <w:tcPr>
            <w:tcW w:w="324" w:type="pc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其他来源收入</w:t>
            </w:r>
          </w:p>
        </w:tc>
        <w:tc>
          <w:tcPr>
            <w:tcW w:w="322" w:type="pct"/>
            <w:vMerge w:val="continue"/>
            <w:shd w:val="clear" w:color="auto" w:fill="auto"/>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858" w:type="pc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　计</w:t>
            </w:r>
          </w:p>
        </w:tc>
        <w:tc>
          <w:tcPr>
            <w:tcW w:w="383" w:type="pct"/>
            <w:shd w:val="clear" w:color="auto" w:fill="auto"/>
            <w:vAlign w:val="center"/>
          </w:tcPr>
          <w:p>
            <w:pPr>
              <w:spacing w:line="300" w:lineRule="exact"/>
              <w:jc w:val="right"/>
              <w:rPr>
                <w:rFonts w:ascii="方正书宋_GBK" w:eastAsia="方正书宋_GBK" w:cs="Times New Roman"/>
                <w:b/>
              </w:rPr>
            </w:pPr>
          </w:p>
        </w:tc>
        <w:tc>
          <w:tcPr>
            <w:tcW w:w="324" w:type="pct"/>
            <w:shd w:val="clear" w:color="auto" w:fill="auto"/>
            <w:vAlign w:val="center"/>
          </w:tcPr>
          <w:p>
            <w:pPr>
              <w:spacing w:line="300" w:lineRule="exact"/>
              <w:jc w:val="left"/>
              <w:rPr>
                <w:rFonts w:ascii="方正书宋_GBK" w:eastAsia="方正书宋_GBK" w:cs="Times New Roman"/>
                <w:b/>
              </w:rPr>
            </w:pPr>
          </w:p>
        </w:tc>
        <w:tc>
          <w:tcPr>
            <w:tcW w:w="342" w:type="pct"/>
            <w:shd w:val="clear" w:color="auto" w:fill="auto"/>
            <w:vAlign w:val="center"/>
          </w:tcPr>
          <w:p>
            <w:pPr>
              <w:spacing w:line="300" w:lineRule="exact"/>
              <w:jc w:val="left"/>
              <w:rPr>
                <w:rFonts w:ascii="方正书宋_GBK" w:eastAsia="方正书宋_GBK" w:cs="Times New Roman"/>
                <w:b/>
              </w:rPr>
            </w:pPr>
          </w:p>
        </w:tc>
        <w:tc>
          <w:tcPr>
            <w:tcW w:w="268" w:type="pct"/>
            <w:shd w:val="clear" w:color="auto" w:fill="auto"/>
            <w:vAlign w:val="center"/>
          </w:tcPr>
          <w:p>
            <w:pPr>
              <w:spacing w:line="300" w:lineRule="exact"/>
              <w:jc w:val="left"/>
              <w:rPr>
                <w:rFonts w:ascii="方正书宋_GBK" w:eastAsia="方正书宋_GBK" w:cs="Times New Roman"/>
                <w:b/>
              </w:rPr>
            </w:pPr>
          </w:p>
        </w:tc>
        <w:tc>
          <w:tcPr>
            <w:tcW w:w="268" w:type="pct"/>
            <w:shd w:val="clear" w:color="auto" w:fill="auto"/>
            <w:vAlign w:val="center"/>
          </w:tcPr>
          <w:p>
            <w:pPr>
              <w:spacing w:line="300" w:lineRule="exact"/>
              <w:jc w:val="right"/>
              <w:rPr>
                <w:rFonts w:ascii="方正书宋_GBK" w:eastAsia="方正书宋_GBK" w:cs="Times New Roman"/>
                <w:b/>
              </w:rPr>
            </w:pPr>
          </w:p>
        </w:tc>
        <w:tc>
          <w:tcPr>
            <w:tcW w:w="291" w:type="pct"/>
            <w:shd w:val="clear" w:color="auto" w:fill="auto"/>
            <w:vAlign w:val="center"/>
          </w:tcPr>
          <w:p>
            <w:pPr>
              <w:spacing w:line="300" w:lineRule="exact"/>
              <w:jc w:val="right"/>
              <w:rPr>
                <w:rFonts w:ascii="方正书宋_GBK" w:eastAsia="方正书宋_GBK" w:cs="Times New Roman"/>
                <w:b/>
              </w:rPr>
            </w:pPr>
          </w:p>
        </w:tc>
        <w:tc>
          <w:tcPr>
            <w:tcW w:w="324" w:type="pct"/>
            <w:shd w:val="clear" w:color="auto" w:fill="auto"/>
          </w:tcPr>
          <w:p>
            <w:pPr>
              <w:jc w:val="right"/>
            </w:pPr>
            <w:r>
              <w:rPr>
                <w:rFonts w:hint="eastAsia" w:ascii="方正书宋_GBK" w:eastAsia="方正书宋_GBK" w:cs="Times New Roman"/>
                <w:b/>
              </w:rPr>
              <w:t>6.00</w:t>
            </w:r>
          </w:p>
        </w:tc>
        <w:tc>
          <w:tcPr>
            <w:tcW w:w="324" w:type="pct"/>
            <w:shd w:val="clear" w:color="auto" w:fill="auto"/>
          </w:tcPr>
          <w:p>
            <w:pPr>
              <w:jc w:val="right"/>
            </w:pPr>
            <w:r>
              <w:rPr>
                <w:rFonts w:hint="eastAsia" w:ascii="方正书宋_GBK" w:eastAsia="方正书宋_GBK" w:cs="Times New Roman"/>
                <w:b/>
              </w:rPr>
              <w:t>6.00</w:t>
            </w:r>
          </w:p>
        </w:tc>
        <w:tc>
          <w:tcPr>
            <w:tcW w:w="324" w:type="pct"/>
            <w:shd w:val="clear" w:color="auto" w:fill="auto"/>
          </w:tcPr>
          <w:p>
            <w:pPr>
              <w:jc w:val="right"/>
            </w:pPr>
            <w:r>
              <w:rPr>
                <w:rFonts w:hint="eastAsia" w:ascii="方正书宋_GBK" w:eastAsia="方正书宋_GBK" w:cs="Times New Roman"/>
                <w:b/>
              </w:rPr>
              <w:t>6.00</w:t>
            </w:r>
          </w:p>
        </w:tc>
        <w:tc>
          <w:tcPr>
            <w:tcW w:w="324" w:type="pct"/>
            <w:shd w:val="clear" w:color="auto" w:fill="auto"/>
            <w:vAlign w:val="center"/>
          </w:tcPr>
          <w:p>
            <w:pPr>
              <w:spacing w:line="300" w:lineRule="exact"/>
              <w:jc w:val="right"/>
              <w:rPr>
                <w:rFonts w:ascii="方正书宋_GBK" w:eastAsia="方正书宋_GBK" w:cs="Times New Roman"/>
                <w:b/>
              </w:rPr>
            </w:pPr>
          </w:p>
        </w:tc>
        <w:tc>
          <w:tcPr>
            <w:tcW w:w="324" w:type="pct"/>
            <w:shd w:val="clear" w:color="auto" w:fill="auto"/>
            <w:vAlign w:val="center"/>
          </w:tcPr>
          <w:p>
            <w:pPr>
              <w:spacing w:line="300" w:lineRule="exact"/>
              <w:jc w:val="right"/>
              <w:rPr>
                <w:rFonts w:ascii="方正书宋_GBK" w:eastAsia="方正书宋_GBK" w:cs="Times New Roman"/>
                <w:b/>
              </w:rPr>
            </w:pPr>
          </w:p>
        </w:tc>
        <w:tc>
          <w:tcPr>
            <w:tcW w:w="324" w:type="pct"/>
            <w:shd w:val="clear" w:color="auto" w:fill="auto"/>
            <w:vAlign w:val="center"/>
          </w:tcPr>
          <w:p>
            <w:pPr>
              <w:spacing w:line="300" w:lineRule="exact"/>
              <w:jc w:val="right"/>
              <w:rPr>
                <w:rFonts w:ascii="方正书宋_GBK" w:eastAsia="方正书宋_GBK" w:cs="Times New Roman"/>
                <w:b/>
              </w:rPr>
            </w:pPr>
          </w:p>
        </w:tc>
        <w:tc>
          <w:tcPr>
            <w:tcW w:w="322" w:type="pct"/>
            <w:shd w:val="clear" w:color="auto" w:fill="auto"/>
            <w:vAlign w:val="center"/>
          </w:tcPr>
          <w:p>
            <w:pPr>
              <w:spacing w:line="300" w:lineRule="exact"/>
              <w:ind w:right="210"/>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北戴河新区财政局小计</w:t>
            </w:r>
          </w:p>
        </w:tc>
        <w:tc>
          <w:tcPr>
            <w:tcW w:w="383" w:type="pct"/>
            <w:shd w:val="clear" w:color="auto" w:fill="auto"/>
            <w:vAlign w:val="center"/>
          </w:tcPr>
          <w:p>
            <w:pPr>
              <w:spacing w:line="300" w:lineRule="exact"/>
              <w:jc w:val="right"/>
              <w:rPr>
                <w:rFonts w:ascii="方正书宋_GBK" w:eastAsia="方正书宋_GBK" w:cs="Times New Roman"/>
                <w:b/>
              </w:rPr>
            </w:pPr>
          </w:p>
        </w:tc>
        <w:tc>
          <w:tcPr>
            <w:tcW w:w="324" w:type="pct"/>
            <w:shd w:val="clear" w:color="auto" w:fill="auto"/>
            <w:vAlign w:val="center"/>
          </w:tcPr>
          <w:p>
            <w:pPr>
              <w:spacing w:line="300" w:lineRule="exact"/>
              <w:jc w:val="left"/>
              <w:rPr>
                <w:rFonts w:ascii="方正书宋_GBK" w:eastAsia="方正书宋_GBK" w:cs="Times New Roman"/>
                <w:b/>
              </w:rPr>
            </w:pPr>
          </w:p>
        </w:tc>
        <w:tc>
          <w:tcPr>
            <w:tcW w:w="342" w:type="pct"/>
            <w:shd w:val="clear" w:color="auto" w:fill="auto"/>
            <w:vAlign w:val="center"/>
          </w:tcPr>
          <w:p>
            <w:pPr>
              <w:spacing w:line="300" w:lineRule="exact"/>
              <w:jc w:val="left"/>
              <w:rPr>
                <w:rFonts w:ascii="方正书宋_GBK" w:eastAsia="方正书宋_GBK" w:cs="Times New Roman"/>
                <w:b/>
              </w:rPr>
            </w:pPr>
          </w:p>
        </w:tc>
        <w:tc>
          <w:tcPr>
            <w:tcW w:w="268" w:type="pct"/>
            <w:shd w:val="clear" w:color="auto" w:fill="auto"/>
            <w:vAlign w:val="center"/>
          </w:tcPr>
          <w:p>
            <w:pPr>
              <w:spacing w:line="300" w:lineRule="exact"/>
              <w:jc w:val="left"/>
              <w:rPr>
                <w:rFonts w:ascii="方正书宋_GBK" w:eastAsia="方正书宋_GBK" w:cs="Times New Roman"/>
                <w:b/>
              </w:rPr>
            </w:pPr>
          </w:p>
        </w:tc>
        <w:tc>
          <w:tcPr>
            <w:tcW w:w="268" w:type="pct"/>
            <w:shd w:val="clear" w:color="auto" w:fill="auto"/>
            <w:vAlign w:val="center"/>
          </w:tcPr>
          <w:p>
            <w:pPr>
              <w:spacing w:line="300" w:lineRule="exact"/>
              <w:jc w:val="right"/>
              <w:rPr>
                <w:rFonts w:ascii="方正书宋_GBK" w:eastAsia="方正书宋_GBK" w:cs="Times New Roman"/>
                <w:b/>
              </w:rPr>
            </w:pPr>
          </w:p>
        </w:tc>
        <w:tc>
          <w:tcPr>
            <w:tcW w:w="291" w:type="pct"/>
            <w:shd w:val="clear" w:color="auto" w:fill="auto"/>
            <w:vAlign w:val="center"/>
          </w:tcPr>
          <w:p>
            <w:pPr>
              <w:spacing w:line="300" w:lineRule="exact"/>
              <w:jc w:val="right"/>
              <w:rPr>
                <w:rFonts w:ascii="方正书宋_GBK" w:eastAsia="方正书宋_GBK" w:cs="Times New Roman"/>
                <w:b/>
              </w:rPr>
            </w:pPr>
          </w:p>
        </w:tc>
        <w:tc>
          <w:tcPr>
            <w:tcW w:w="324" w:type="pct"/>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6.00</w:t>
            </w:r>
          </w:p>
        </w:tc>
        <w:tc>
          <w:tcPr>
            <w:tcW w:w="324" w:type="pct"/>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6.00</w:t>
            </w:r>
          </w:p>
        </w:tc>
        <w:tc>
          <w:tcPr>
            <w:tcW w:w="324" w:type="pct"/>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6.00</w:t>
            </w:r>
          </w:p>
        </w:tc>
        <w:tc>
          <w:tcPr>
            <w:tcW w:w="324" w:type="pct"/>
            <w:shd w:val="clear" w:color="auto" w:fill="auto"/>
            <w:vAlign w:val="center"/>
          </w:tcPr>
          <w:p>
            <w:pPr>
              <w:spacing w:line="300" w:lineRule="exact"/>
              <w:jc w:val="right"/>
              <w:rPr>
                <w:rFonts w:ascii="方正书宋_GBK" w:eastAsia="方正书宋_GBK" w:cs="Times New Roman"/>
                <w:b/>
              </w:rPr>
            </w:pPr>
          </w:p>
        </w:tc>
        <w:tc>
          <w:tcPr>
            <w:tcW w:w="324" w:type="pct"/>
            <w:shd w:val="clear" w:color="auto" w:fill="auto"/>
            <w:vAlign w:val="center"/>
          </w:tcPr>
          <w:p>
            <w:pPr>
              <w:spacing w:line="300" w:lineRule="exact"/>
              <w:jc w:val="right"/>
              <w:rPr>
                <w:rFonts w:ascii="方正书宋_GBK" w:eastAsia="方正书宋_GBK" w:cs="Times New Roman"/>
                <w:b/>
              </w:rPr>
            </w:pPr>
          </w:p>
        </w:tc>
        <w:tc>
          <w:tcPr>
            <w:tcW w:w="324" w:type="pct"/>
            <w:shd w:val="clear" w:color="auto" w:fill="auto"/>
            <w:vAlign w:val="center"/>
          </w:tcPr>
          <w:p>
            <w:pPr>
              <w:spacing w:line="300" w:lineRule="exact"/>
              <w:jc w:val="right"/>
              <w:rPr>
                <w:rFonts w:ascii="方正书宋_GBK" w:eastAsia="方正书宋_GBK" w:cs="Times New Roman"/>
                <w:b/>
              </w:rPr>
            </w:pPr>
          </w:p>
        </w:tc>
        <w:tc>
          <w:tcPr>
            <w:tcW w:w="322" w:type="pct"/>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国库改革业务经费</w:t>
            </w:r>
          </w:p>
        </w:tc>
        <w:tc>
          <w:tcPr>
            <w:tcW w:w="383" w:type="pct"/>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4</w:t>
            </w:r>
            <w:r>
              <w:rPr>
                <w:rFonts w:ascii="方正书宋_GBK" w:eastAsia="方正书宋_GBK" w:cs="Times New Roman"/>
              </w:rPr>
              <w:t>.00</w:t>
            </w:r>
          </w:p>
        </w:tc>
        <w:tc>
          <w:tcPr>
            <w:tcW w:w="324" w:type="pc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通用设备</w:t>
            </w:r>
          </w:p>
        </w:tc>
        <w:tc>
          <w:tcPr>
            <w:tcW w:w="342" w:type="pct"/>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A02</w:t>
            </w:r>
          </w:p>
        </w:tc>
        <w:tc>
          <w:tcPr>
            <w:tcW w:w="268" w:type="pct"/>
            <w:shd w:val="clear" w:color="auto" w:fill="auto"/>
            <w:vAlign w:val="center"/>
          </w:tcPr>
          <w:p>
            <w:pPr>
              <w:spacing w:line="300" w:lineRule="exact"/>
              <w:jc w:val="left"/>
              <w:rPr>
                <w:rFonts w:ascii="方正书宋_GBK" w:eastAsia="方正书宋_GBK" w:cs="Times New Roman"/>
              </w:rPr>
            </w:pPr>
          </w:p>
        </w:tc>
        <w:tc>
          <w:tcPr>
            <w:tcW w:w="268" w:type="pct"/>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8</w:t>
            </w:r>
            <w:r>
              <w:rPr>
                <w:rFonts w:ascii="方正书宋_GBK" w:eastAsia="方正书宋_GBK" w:cs="Times New Roman"/>
              </w:rPr>
              <w:t>.00</w:t>
            </w:r>
          </w:p>
        </w:tc>
        <w:tc>
          <w:tcPr>
            <w:tcW w:w="291" w:type="pct"/>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0.5</w:t>
            </w:r>
            <w:r>
              <w:rPr>
                <w:rFonts w:ascii="方正书宋_GBK" w:eastAsia="方正书宋_GBK" w:cs="Times New Roman"/>
              </w:rPr>
              <w:t>0</w:t>
            </w:r>
          </w:p>
        </w:tc>
        <w:tc>
          <w:tcPr>
            <w:tcW w:w="324" w:type="pct"/>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4</w:t>
            </w:r>
            <w:r>
              <w:rPr>
                <w:rFonts w:ascii="方正书宋_GBK" w:eastAsia="方正书宋_GBK" w:cs="Times New Roman"/>
              </w:rPr>
              <w:t>.00</w:t>
            </w:r>
          </w:p>
        </w:tc>
        <w:tc>
          <w:tcPr>
            <w:tcW w:w="324" w:type="pct"/>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4</w:t>
            </w:r>
            <w:r>
              <w:rPr>
                <w:rFonts w:ascii="方正书宋_GBK" w:eastAsia="方正书宋_GBK" w:cs="Times New Roman"/>
              </w:rPr>
              <w:t>.00</w:t>
            </w:r>
          </w:p>
        </w:tc>
        <w:tc>
          <w:tcPr>
            <w:tcW w:w="324" w:type="pct"/>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4</w:t>
            </w:r>
            <w:r>
              <w:rPr>
                <w:rFonts w:ascii="方正书宋_GBK" w:eastAsia="方正书宋_GBK" w:cs="Times New Roman"/>
              </w:rPr>
              <w:t>.00</w:t>
            </w:r>
          </w:p>
        </w:tc>
        <w:tc>
          <w:tcPr>
            <w:tcW w:w="324" w:type="pct"/>
            <w:shd w:val="clear" w:color="auto" w:fill="auto"/>
            <w:vAlign w:val="center"/>
          </w:tcPr>
          <w:p>
            <w:pPr>
              <w:spacing w:line="300" w:lineRule="exact"/>
              <w:jc w:val="right"/>
              <w:rPr>
                <w:rFonts w:ascii="方正书宋_GBK" w:eastAsia="方正书宋_GBK" w:cs="Times New Roman"/>
              </w:rPr>
            </w:pPr>
          </w:p>
        </w:tc>
        <w:tc>
          <w:tcPr>
            <w:tcW w:w="324" w:type="pct"/>
            <w:shd w:val="clear" w:color="auto" w:fill="auto"/>
            <w:vAlign w:val="center"/>
          </w:tcPr>
          <w:p>
            <w:pPr>
              <w:spacing w:line="300" w:lineRule="exact"/>
              <w:jc w:val="right"/>
              <w:rPr>
                <w:rFonts w:ascii="方正书宋_GBK" w:eastAsia="方正书宋_GBK" w:cs="Times New Roman"/>
              </w:rPr>
            </w:pPr>
          </w:p>
        </w:tc>
        <w:tc>
          <w:tcPr>
            <w:tcW w:w="324" w:type="pct"/>
            <w:shd w:val="clear" w:color="auto" w:fill="auto"/>
            <w:vAlign w:val="center"/>
          </w:tcPr>
          <w:p>
            <w:pPr>
              <w:spacing w:line="300" w:lineRule="exact"/>
              <w:jc w:val="right"/>
              <w:rPr>
                <w:rFonts w:ascii="方正书宋_GBK" w:eastAsia="方正书宋_GBK" w:cs="Times New Roman"/>
              </w:rPr>
            </w:pPr>
          </w:p>
        </w:tc>
        <w:tc>
          <w:tcPr>
            <w:tcW w:w="322" w:type="pct"/>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财政业务经费</w:t>
            </w:r>
          </w:p>
        </w:tc>
        <w:tc>
          <w:tcPr>
            <w:tcW w:w="383" w:type="pct"/>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2.00</w:t>
            </w:r>
          </w:p>
        </w:tc>
        <w:tc>
          <w:tcPr>
            <w:tcW w:w="324" w:type="pct"/>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通用设备</w:t>
            </w:r>
          </w:p>
        </w:tc>
        <w:tc>
          <w:tcPr>
            <w:tcW w:w="342" w:type="pct"/>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A02</w:t>
            </w:r>
          </w:p>
        </w:tc>
        <w:tc>
          <w:tcPr>
            <w:tcW w:w="268" w:type="pct"/>
            <w:shd w:val="clear" w:color="auto" w:fill="auto"/>
            <w:vAlign w:val="center"/>
          </w:tcPr>
          <w:p>
            <w:pPr>
              <w:spacing w:line="300" w:lineRule="exact"/>
              <w:jc w:val="left"/>
              <w:rPr>
                <w:rFonts w:ascii="方正书宋_GBK" w:eastAsia="方正书宋_GBK" w:cs="Times New Roman"/>
              </w:rPr>
            </w:pPr>
          </w:p>
        </w:tc>
        <w:tc>
          <w:tcPr>
            <w:tcW w:w="268" w:type="pct"/>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4</w:t>
            </w:r>
            <w:r>
              <w:rPr>
                <w:rFonts w:ascii="方正书宋_GBK" w:eastAsia="方正书宋_GBK" w:cs="Times New Roman"/>
              </w:rPr>
              <w:t>.00</w:t>
            </w:r>
          </w:p>
        </w:tc>
        <w:tc>
          <w:tcPr>
            <w:tcW w:w="291" w:type="pct"/>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0.50</w:t>
            </w:r>
          </w:p>
        </w:tc>
        <w:tc>
          <w:tcPr>
            <w:tcW w:w="324" w:type="pct"/>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2.00</w:t>
            </w:r>
          </w:p>
        </w:tc>
        <w:tc>
          <w:tcPr>
            <w:tcW w:w="324" w:type="pct"/>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2.00</w:t>
            </w:r>
          </w:p>
        </w:tc>
        <w:tc>
          <w:tcPr>
            <w:tcW w:w="324" w:type="pct"/>
            <w:shd w:val="clear" w:color="auto" w:fill="auto"/>
            <w:vAlign w:val="center"/>
          </w:tcPr>
          <w:p>
            <w:pPr>
              <w:spacing w:line="300" w:lineRule="exact"/>
              <w:jc w:val="right"/>
              <w:rPr>
                <w:rFonts w:ascii="方正书宋_GBK" w:eastAsia="方正书宋_GBK" w:cs="Times New Roman"/>
              </w:rPr>
            </w:pPr>
            <w:r>
              <w:rPr>
                <w:rFonts w:ascii="方正书宋_GBK" w:eastAsia="方正书宋_GBK" w:cs="Times New Roman"/>
              </w:rPr>
              <w:t>2.00</w:t>
            </w:r>
          </w:p>
        </w:tc>
        <w:tc>
          <w:tcPr>
            <w:tcW w:w="324" w:type="pct"/>
            <w:shd w:val="clear" w:color="auto" w:fill="auto"/>
            <w:vAlign w:val="center"/>
          </w:tcPr>
          <w:p>
            <w:pPr>
              <w:spacing w:line="300" w:lineRule="exact"/>
              <w:jc w:val="right"/>
              <w:rPr>
                <w:rFonts w:ascii="方正书宋_GBK" w:eastAsia="方正书宋_GBK" w:cs="Times New Roman"/>
              </w:rPr>
            </w:pPr>
          </w:p>
        </w:tc>
        <w:tc>
          <w:tcPr>
            <w:tcW w:w="324" w:type="pct"/>
            <w:shd w:val="clear" w:color="auto" w:fill="auto"/>
            <w:vAlign w:val="center"/>
          </w:tcPr>
          <w:p>
            <w:pPr>
              <w:spacing w:line="300" w:lineRule="exact"/>
              <w:jc w:val="right"/>
              <w:rPr>
                <w:rFonts w:ascii="方正书宋_GBK" w:eastAsia="方正书宋_GBK" w:cs="Times New Roman"/>
              </w:rPr>
            </w:pPr>
          </w:p>
        </w:tc>
        <w:tc>
          <w:tcPr>
            <w:tcW w:w="324" w:type="pct"/>
            <w:shd w:val="clear" w:color="auto" w:fill="auto"/>
            <w:vAlign w:val="center"/>
          </w:tcPr>
          <w:p>
            <w:pPr>
              <w:spacing w:line="300" w:lineRule="exact"/>
              <w:jc w:val="right"/>
              <w:rPr>
                <w:rFonts w:ascii="方正书宋_GBK" w:eastAsia="方正书宋_GBK" w:cs="Times New Roman"/>
              </w:rPr>
            </w:pPr>
          </w:p>
        </w:tc>
        <w:tc>
          <w:tcPr>
            <w:tcW w:w="322" w:type="pct"/>
            <w:shd w:val="clear" w:color="auto" w:fill="auto"/>
            <w:vAlign w:val="center"/>
          </w:tcPr>
          <w:p>
            <w:pPr>
              <w:spacing w:line="300" w:lineRule="exact"/>
              <w:jc w:val="right"/>
              <w:rPr>
                <w:rFonts w:ascii="方正书宋_GBK" w:eastAsia="方正书宋_GBK" w:cs="Times New Roman"/>
              </w:rPr>
            </w:pPr>
          </w:p>
        </w:tc>
      </w:tr>
    </w:tbl>
    <w:p>
      <w:pPr>
        <w:ind w:firstLine="640"/>
        <w:rPr>
          <w:rFonts w:ascii="黑体" w:hAnsi="黑体" w:eastAsia="黑体" w:cs="Times New Roman"/>
          <w:sz w:val="32"/>
          <w:szCs w:val="32"/>
        </w:rPr>
      </w:pPr>
      <w:r>
        <w:rPr>
          <w:rFonts w:hint="eastAsia" w:ascii="黑体" w:hAnsi="黑体" w:eastAsia="黑体" w:cs="Times New Roman"/>
          <w:sz w:val="32"/>
          <w:szCs w:val="32"/>
        </w:rPr>
        <w:t>七、国有资产信息</w:t>
      </w:r>
    </w:p>
    <w:p>
      <w:pPr>
        <w:ind w:left="105" w:leftChars="50" w:firstLine="480" w:firstLineChars="15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上年末固定资产金额为98.92万元，无形资产1.71万元，本年度拟购置固定资产主要为计算机、一体机、打印机等固定资产</w:t>
      </w:r>
      <w:r>
        <w:rPr>
          <w:rFonts w:hint="eastAsia" w:ascii="仿宋" w:hAnsi="仿宋" w:eastAsia="仿宋"/>
          <w:sz w:val="32"/>
          <w:szCs w:val="32"/>
        </w:rPr>
        <w:t>已列入政府采购预算</w:t>
      </w:r>
      <w:r>
        <w:rPr>
          <w:rFonts w:hint="eastAsia" w:ascii="Times New Roman" w:hAnsi="Times New Roman" w:eastAsia="方正仿宋简体" w:cs="Times New Roman"/>
          <w:sz w:val="32"/>
          <w:szCs w:val="32"/>
        </w:rPr>
        <w:t>。</w:t>
      </w:r>
    </w:p>
    <w:p>
      <w:pPr>
        <w:spacing w:line="256" w:lineRule="auto"/>
        <w:ind w:firstLine="480" w:firstLineChars="150"/>
        <w:rPr>
          <w:rFonts w:ascii="仿宋" w:hAnsi="仿宋" w:eastAsia="仿宋" w:cs="宋体"/>
          <w:sz w:val="32"/>
          <w:szCs w:val="32"/>
        </w:rPr>
      </w:pPr>
    </w:p>
    <w:p>
      <w:pPr>
        <w:spacing w:line="256" w:lineRule="auto"/>
        <w:ind w:firstLine="480" w:firstLineChars="150"/>
        <w:rPr>
          <w:rFonts w:ascii="仿宋" w:hAnsi="仿宋" w:eastAsia="仿宋" w:cs="宋体"/>
          <w:sz w:val="32"/>
          <w:szCs w:val="32"/>
        </w:rPr>
      </w:pPr>
    </w:p>
    <w:p>
      <w:pPr>
        <w:spacing w:line="256" w:lineRule="auto"/>
        <w:ind w:firstLine="480" w:firstLineChars="150"/>
        <w:rPr>
          <w:rFonts w:ascii="仿宋" w:hAnsi="仿宋" w:eastAsia="仿宋" w:cs="宋体"/>
          <w:sz w:val="32"/>
          <w:szCs w:val="32"/>
        </w:rPr>
      </w:pPr>
      <w:r>
        <w:rPr>
          <w:rFonts w:hint="eastAsia" w:ascii="仿宋" w:hAnsi="仿宋" w:eastAsia="仿宋" w:cs="宋体"/>
          <w:sz w:val="32"/>
          <w:szCs w:val="32"/>
        </w:rPr>
        <w:t xml:space="preserve">编制部门：秦皇岛北戴河新区财政局                 </w:t>
      </w:r>
      <w:r>
        <w:rPr>
          <w:rFonts w:hint="eastAsia" w:ascii="仿宋" w:hAnsi="仿宋" w:eastAsia="仿宋" w:cs="宋体"/>
          <w:sz w:val="32"/>
          <w:szCs w:val="32"/>
        </w:rPr>
        <w:tab/>
      </w:r>
      <w:r>
        <w:rPr>
          <w:rFonts w:hint="eastAsia" w:ascii="仿宋" w:hAnsi="仿宋" w:eastAsia="仿宋" w:cs="宋体"/>
          <w:sz w:val="32"/>
          <w:szCs w:val="32"/>
        </w:rPr>
        <w:t>截止时间：2018年12月31日</w:t>
      </w:r>
    </w:p>
    <w:tbl>
      <w:tblPr>
        <w:tblStyle w:val="9"/>
        <w:tblW w:w="12935" w:type="dxa"/>
        <w:tblInd w:w="534" w:type="dxa"/>
        <w:tblLayout w:type="fixed"/>
        <w:tblCellMar>
          <w:top w:w="0" w:type="dxa"/>
          <w:left w:w="108" w:type="dxa"/>
          <w:bottom w:w="0" w:type="dxa"/>
          <w:right w:w="115" w:type="dxa"/>
        </w:tblCellMar>
      </w:tblPr>
      <w:tblGrid>
        <w:gridCol w:w="4536"/>
        <w:gridCol w:w="3296"/>
        <w:gridCol w:w="5103"/>
      </w:tblGrid>
      <w:tr>
        <w:tblPrEx>
          <w:tblCellMar>
            <w:top w:w="0" w:type="dxa"/>
            <w:left w:w="108" w:type="dxa"/>
            <w:bottom w:w="0" w:type="dxa"/>
            <w:right w:w="115" w:type="dxa"/>
          </w:tblCellMar>
        </w:tblPrEx>
        <w:trPr>
          <w:trHeight w:val="656" w:hRule="atLeast"/>
        </w:trPr>
        <w:tc>
          <w:tcPr>
            <w:tcW w:w="4536"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7"/>
              <w:jc w:val="center"/>
              <w:rPr>
                <w:rFonts w:ascii="仿宋" w:hAnsi="仿宋" w:eastAsia="仿宋" w:cs="宋体"/>
                <w:sz w:val="32"/>
                <w:szCs w:val="32"/>
              </w:rPr>
            </w:pPr>
            <w:r>
              <w:rPr>
                <w:rFonts w:hint="eastAsia" w:ascii="仿宋" w:hAnsi="仿宋" w:eastAsia="仿宋" w:cs="宋体"/>
                <w:sz w:val="32"/>
                <w:szCs w:val="32"/>
              </w:rPr>
              <w:t>项目</w:t>
            </w:r>
          </w:p>
        </w:tc>
        <w:tc>
          <w:tcPr>
            <w:tcW w:w="3296" w:type="dxa"/>
            <w:tcBorders>
              <w:top w:val="single" w:color="000000" w:sz="4" w:space="0"/>
              <w:left w:val="nil"/>
              <w:bottom w:val="single" w:color="000000" w:sz="4" w:space="0"/>
              <w:right w:val="single" w:color="000000" w:sz="4" w:space="0"/>
            </w:tcBorders>
            <w:vAlign w:val="center"/>
          </w:tcPr>
          <w:p>
            <w:pPr>
              <w:spacing w:line="256" w:lineRule="auto"/>
              <w:ind w:left="4"/>
              <w:jc w:val="center"/>
              <w:rPr>
                <w:rFonts w:ascii="仿宋" w:hAnsi="仿宋" w:eastAsia="仿宋" w:cs="宋体"/>
                <w:sz w:val="32"/>
                <w:szCs w:val="32"/>
              </w:rPr>
            </w:pPr>
            <w:r>
              <w:rPr>
                <w:rFonts w:hint="eastAsia" w:ascii="仿宋" w:hAnsi="仿宋" w:eastAsia="仿宋" w:cs="宋体"/>
                <w:sz w:val="32"/>
                <w:szCs w:val="32"/>
              </w:rPr>
              <w:t>数量</w:t>
            </w:r>
          </w:p>
        </w:tc>
        <w:tc>
          <w:tcPr>
            <w:tcW w:w="5103" w:type="dxa"/>
            <w:tcBorders>
              <w:top w:val="single" w:color="000000" w:sz="4" w:space="0"/>
              <w:left w:val="nil"/>
              <w:bottom w:val="single" w:color="000000" w:sz="4" w:space="0"/>
              <w:right w:val="single" w:color="000000" w:sz="4" w:space="0"/>
            </w:tcBorders>
            <w:vAlign w:val="center"/>
          </w:tcPr>
          <w:p>
            <w:pPr>
              <w:spacing w:line="256" w:lineRule="auto"/>
              <w:ind w:left="6"/>
              <w:jc w:val="center"/>
              <w:rPr>
                <w:rFonts w:ascii="仿宋" w:hAnsi="仿宋" w:eastAsia="仿宋" w:cs="宋体"/>
                <w:sz w:val="32"/>
                <w:szCs w:val="32"/>
              </w:rPr>
            </w:pPr>
            <w:r>
              <w:rPr>
                <w:rFonts w:hint="eastAsia" w:ascii="仿宋" w:hAnsi="仿宋" w:eastAsia="仿宋" w:cs="宋体"/>
                <w:sz w:val="32"/>
                <w:szCs w:val="32"/>
              </w:rPr>
              <w:t>价值（金额单位：万元）</w:t>
            </w:r>
          </w:p>
        </w:tc>
      </w:tr>
      <w:tr>
        <w:tblPrEx>
          <w:tblCellMar>
            <w:top w:w="0" w:type="dxa"/>
            <w:left w:w="108" w:type="dxa"/>
            <w:bottom w:w="0" w:type="dxa"/>
            <w:right w:w="115" w:type="dxa"/>
          </w:tblCellMar>
        </w:tblPrEx>
        <w:trPr>
          <w:trHeight w:val="655" w:hRule="atLeast"/>
        </w:trPr>
        <w:tc>
          <w:tcPr>
            <w:tcW w:w="4536"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12"/>
              <w:jc w:val="center"/>
              <w:rPr>
                <w:rFonts w:ascii="仿宋" w:hAnsi="仿宋" w:eastAsia="仿宋" w:cs="宋体"/>
                <w:sz w:val="32"/>
                <w:szCs w:val="32"/>
              </w:rPr>
            </w:pPr>
            <w:r>
              <w:rPr>
                <w:rFonts w:hint="eastAsia" w:ascii="仿宋" w:hAnsi="仿宋" w:eastAsia="仿宋" w:cs="宋体"/>
                <w:sz w:val="32"/>
                <w:szCs w:val="32"/>
              </w:rPr>
              <w:t>资产总额</w:t>
            </w:r>
          </w:p>
        </w:tc>
        <w:tc>
          <w:tcPr>
            <w:tcW w:w="3296" w:type="dxa"/>
            <w:tcBorders>
              <w:top w:val="single" w:color="000000" w:sz="4" w:space="0"/>
              <w:left w:val="nil"/>
              <w:bottom w:val="single" w:color="000000" w:sz="4" w:space="0"/>
              <w:right w:val="single" w:color="000000" w:sz="4" w:space="0"/>
            </w:tcBorders>
            <w:vAlign w:val="center"/>
          </w:tcPr>
          <w:p>
            <w:pPr>
              <w:spacing w:line="256" w:lineRule="auto"/>
              <w:ind w:left="9"/>
              <w:jc w:val="center"/>
              <w:rPr>
                <w:rFonts w:ascii="仿宋" w:hAnsi="仿宋" w:eastAsia="仿宋" w:cs="宋体"/>
                <w:sz w:val="32"/>
                <w:szCs w:val="32"/>
              </w:rPr>
            </w:pPr>
            <w:r>
              <w:rPr>
                <w:rFonts w:hint="eastAsia" w:ascii="仿宋" w:hAnsi="仿宋" w:eastAsia="仿宋" w:cs="宋体"/>
                <w:sz w:val="32"/>
                <w:szCs w:val="32"/>
              </w:rPr>
              <w:t xml:space="preserve">—— </w:t>
            </w:r>
          </w:p>
        </w:tc>
        <w:tc>
          <w:tcPr>
            <w:tcW w:w="5103" w:type="dxa"/>
            <w:tcBorders>
              <w:top w:val="single" w:color="000000" w:sz="4" w:space="0"/>
              <w:left w:val="nil"/>
              <w:bottom w:val="single" w:color="000000" w:sz="4" w:space="0"/>
              <w:right w:val="single" w:color="000000" w:sz="4" w:space="0"/>
            </w:tcBorders>
            <w:vAlign w:val="center"/>
          </w:tcPr>
          <w:p>
            <w:pPr>
              <w:spacing w:line="256" w:lineRule="auto"/>
              <w:ind w:left="7"/>
              <w:jc w:val="center"/>
              <w:rPr>
                <w:rFonts w:ascii="仿宋" w:hAnsi="仿宋" w:eastAsia="仿宋" w:cs="宋体"/>
                <w:sz w:val="32"/>
                <w:szCs w:val="32"/>
              </w:rPr>
            </w:pPr>
            <w:r>
              <w:rPr>
                <w:rFonts w:hint="eastAsia" w:ascii="仿宋" w:hAnsi="仿宋" w:eastAsia="仿宋" w:cs="宋体"/>
                <w:sz w:val="32"/>
                <w:szCs w:val="32"/>
              </w:rPr>
              <w:t>100.63</w:t>
            </w:r>
          </w:p>
        </w:tc>
      </w:tr>
      <w:tr>
        <w:tblPrEx>
          <w:tblCellMar>
            <w:top w:w="0" w:type="dxa"/>
            <w:left w:w="108" w:type="dxa"/>
            <w:bottom w:w="0" w:type="dxa"/>
            <w:right w:w="115" w:type="dxa"/>
          </w:tblCellMar>
        </w:tblPrEx>
        <w:trPr>
          <w:trHeight w:val="655" w:hRule="atLeast"/>
        </w:trPr>
        <w:tc>
          <w:tcPr>
            <w:tcW w:w="4536" w:type="dxa"/>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仿宋" w:hAnsi="仿宋" w:eastAsia="仿宋" w:cs="宋体"/>
                <w:sz w:val="32"/>
                <w:szCs w:val="32"/>
              </w:rPr>
            </w:pPr>
            <w:r>
              <w:rPr>
                <w:rFonts w:hint="eastAsia" w:ascii="仿宋" w:hAnsi="仿宋" w:eastAsia="仿宋" w:cs="宋体"/>
                <w:sz w:val="32"/>
                <w:szCs w:val="32"/>
              </w:rPr>
              <w:t>1、房屋</w:t>
            </w:r>
          </w:p>
        </w:tc>
        <w:tc>
          <w:tcPr>
            <w:tcW w:w="3296" w:type="dxa"/>
            <w:tcBorders>
              <w:top w:val="single" w:color="000000" w:sz="4" w:space="0"/>
              <w:left w:val="nil"/>
              <w:bottom w:val="single" w:color="000000" w:sz="4" w:space="0"/>
              <w:right w:val="single" w:color="000000" w:sz="4" w:space="0"/>
            </w:tcBorders>
            <w:vAlign w:val="center"/>
          </w:tcPr>
          <w:p>
            <w:pPr>
              <w:spacing w:line="256" w:lineRule="auto"/>
              <w:ind w:left="9"/>
              <w:jc w:val="center"/>
              <w:rPr>
                <w:rFonts w:ascii="仿宋" w:hAnsi="仿宋" w:eastAsia="仿宋" w:cs="宋体"/>
                <w:sz w:val="32"/>
                <w:szCs w:val="32"/>
              </w:rPr>
            </w:pPr>
            <w:r>
              <w:rPr>
                <w:rFonts w:hint="eastAsia" w:ascii="仿宋" w:hAnsi="仿宋" w:eastAsia="仿宋" w:cs="宋体"/>
                <w:sz w:val="32"/>
                <w:szCs w:val="32"/>
              </w:rPr>
              <w:t>——</w:t>
            </w:r>
          </w:p>
        </w:tc>
        <w:tc>
          <w:tcPr>
            <w:tcW w:w="5103" w:type="dxa"/>
            <w:tcBorders>
              <w:top w:val="single" w:color="000000" w:sz="4" w:space="0"/>
              <w:left w:val="nil"/>
              <w:bottom w:val="single" w:color="000000" w:sz="4" w:space="0"/>
              <w:right w:val="single" w:color="000000" w:sz="4" w:space="0"/>
            </w:tcBorders>
            <w:vAlign w:val="center"/>
          </w:tcPr>
          <w:p>
            <w:pPr>
              <w:spacing w:line="256" w:lineRule="auto"/>
              <w:ind w:left="7"/>
              <w:jc w:val="center"/>
              <w:rPr>
                <w:rFonts w:ascii="仿宋" w:hAnsi="仿宋" w:eastAsia="仿宋" w:cs="宋体"/>
                <w:sz w:val="32"/>
                <w:szCs w:val="32"/>
              </w:rPr>
            </w:pPr>
            <w:r>
              <w:rPr>
                <w:rFonts w:hint="eastAsia" w:ascii="仿宋" w:hAnsi="仿宋" w:eastAsia="仿宋" w:cs="宋体"/>
                <w:sz w:val="32"/>
                <w:szCs w:val="32"/>
              </w:rPr>
              <w:t>0</w:t>
            </w:r>
          </w:p>
        </w:tc>
      </w:tr>
      <w:tr>
        <w:tblPrEx>
          <w:tblCellMar>
            <w:top w:w="0" w:type="dxa"/>
            <w:left w:w="108" w:type="dxa"/>
            <w:bottom w:w="0" w:type="dxa"/>
            <w:right w:w="115" w:type="dxa"/>
          </w:tblCellMar>
        </w:tblPrEx>
        <w:trPr>
          <w:trHeight w:val="655" w:hRule="atLeast"/>
        </w:trPr>
        <w:tc>
          <w:tcPr>
            <w:tcW w:w="4536" w:type="dxa"/>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仿宋" w:hAnsi="仿宋" w:eastAsia="仿宋" w:cs="宋体"/>
                <w:sz w:val="32"/>
                <w:szCs w:val="32"/>
              </w:rPr>
            </w:pPr>
            <w:r>
              <w:rPr>
                <w:rFonts w:hint="eastAsia" w:ascii="仿宋" w:hAnsi="仿宋" w:eastAsia="仿宋" w:cs="宋体"/>
                <w:sz w:val="32"/>
                <w:szCs w:val="32"/>
              </w:rPr>
              <w:t>2、车辆（台、辆）</w:t>
            </w:r>
          </w:p>
        </w:tc>
        <w:tc>
          <w:tcPr>
            <w:tcW w:w="3296" w:type="dxa"/>
            <w:tcBorders>
              <w:top w:val="single" w:color="000000" w:sz="4" w:space="0"/>
              <w:left w:val="nil"/>
              <w:bottom w:val="single" w:color="000000" w:sz="4" w:space="0"/>
              <w:right w:val="single" w:color="000000" w:sz="4" w:space="0"/>
            </w:tcBorders>
            <w:vAlign w:val="center"/>
          </w:tcPr>
          <w:p>
            <w:pPr>
              <w:spacing w:line="256" w:lineRule="auto"/>
              <w:ind w:left="9"/>
              <w:jc w:val="center"/>
              <w:rPr>
                <w:rFonts w:ascii="仿宋" w:hAnsi="仿宋" w:eastAsia="仿宋" w:cs="宋体"/>
                <w:sz w:val="32"/>
                <w:szCs w:val="32"/>
              </w:rPr>
            </w:pPr>
            <w:r>
              <w:rPr>
                <w:rFonts w:hint="eastAsia" w:ascii="仿宋" w:hAnsi="仿宋" w:eastAsia="仿宋" w:cs="宋体"/>
                <w:sz w:val="32"/>
                <w:szCs w:val="32"/>
              </w:rPr>
              <w:t>1</w:t>
            </w:r>
          </w:p>
        </w:tc>
        <w:tc>
          <w:tcPr>
            <w:tcW w:w="5103" w:type="dxa"/>
            <w:tcBorders>
              <w:top w:val="single" w:color="000000" w:sz="4" w:space="0"/>
              <w:left w:val="nil"/>
              <w:bottom w:val="single" w:color="000000" w:sz="4" w:space="0"/>
              <w:right w:val="single" w:color="000000" w:sz="4" w:space="0"/>
            </w:tcBorders>
            <w:vAlign w:val="center"/>
          </w:tcPr>
          <w:p>
            <w:pPr>
              <w:spacing w:line="256" w:lineRule="auto"/>
              <w:ind w:left="7"/>
              <w:jc w:val="center"/>
              <w:rPr>
                <w:rFonts w:ascii="仿宋" w:hAnsi="仿宋" w:eastAsia="仿宋" w:cs="宋体"/>
                <w:sz w:val="32"/>
                <w:szCs w:val="32"/>
              </w:rPr>
            </w:pPr>
            <w:r>
              <w:rPr>
                <w:rFonts w:hint="eastAsia" w:ascii="仿宋" w:hAnsi="仿宋" w:eastAsia="仿宋" w:cs="宋体"/>
                <w:sz w:val="32"/>
                <w:szCs w:val="32"/>
              </w:rPr>
              <w:t>19.52</w:t>
            </w:r>
          </w:p>
        </w:tc>
      </w:tr>
      <w:tr>
        <w:tblPrEx>
          <w:tblCellMar>
            <w:top w:w="0" w:type="dxa"/>
            <w:left w:w="108" w:type="dxa"/>
            <w:bottom w:w="0" w:type="dxa"/>
            <w:right w:w="115" w:type="dxa"/>
          </w:tblCellMar>
        </w:tblPrEx>
        <w:trPr>
          <w:trHeight w:val="656" w:hRule="atLeast"/>
        </w:trPr>
        <w:tc>
          <w:tcPr>
            <w:tcW w:w="4536" w:type="dxa"/>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仿宋" w:hAnsi="仿宋" w:eastAsia="仿宋" w:cs="宋体"/>
                <w:sz w:val="32"/>
                <w:szCs w:val="32"/>
              </w:rPr>
            </w:pPr>
            <w:r>
              <w:rPr>
                <w:rFonts w:hint="eastAsia" w:ascii="仿宋" w:hAnsi="仿宋" w:eastAsia="仿宋" w:cs="宋体"/>
                <w:sz w:val="32"/>
                <w:szCs w:val="32"/>
              </w:rPr>
              <w:t>3、其他固定资产</w:t>
            </w:r>
          </w:p>
        </w:tc>
        <w:tc>
          <w:tcPr>
            <w:tcW w:w="3296" w:type="dxa"/>
            <w:tcBorders>
              <w:top w:val="single" w:color="000000" w:sz="4" w:space="0"/>
              <w:left w:val="nil"/>
              <w:bottom w:val="single" w:color="000000" w:sz="4" w:space="0"/>
              <w:right w:val="single" w:color="000000" w:sz="4" w:space="0"/>
            </w:tcBorders>
            <w:vAlign w:val="center"/>
          </w:tcPr>
          <w:p>
            <w:pPr>
              <w:spacing w:line="256" w:lineRule="auto"/>
              <w:ind w:left="5"/>
              <w:jc w:val="center"/>
              <w:rPr>
                <w:rFonts w:ascii="仿宋" w:hAnsi="仿宋" w:eastAsia="仿宋" w:cs="宋体"/>
                <w:sz w:val="32"/>
                <w:szCs w:val="32"/>
              </w:rPr>
            </w:pPr>
            <w:r>
              <w:rPr>
                <w:rFonts w:hint="eastAsia" w:ascii="仿宋" w:hAnsi="仿宋" w:eastAsia="仿宋" w:cs="宋体"/>
                <w:sz w:val="32"/>
                <w:szCs w:val="32"/>
              </w:rPr>
              <w:t>205</w:t>
            </w:r>
          </w:p>
        </w:tc>
        <w:tc>
          <w:tcPr>
            <w:tcW w:w="5103" w:type="dxa"/>
            <w:tcBorders>
              <w:top w:val="single" w:color="000000" w:sz="4" w:space="0"/>
              <w:left w:val="nil"/>
              <w:bottom w:val="single" w:color="000000" w:sz="4" w:space="0"/>
              <w:right w:val="single" w:color="000000" w:sz="4" w:space="0"/>
            </w:tcBorders>
            <w:vAlign w:val="center"/>
          </w:tcPr>
          <w:p>
            <w:pPr>
              <w:spacing w:line="256" w:lineRule="auto"/>
              <w:ind w:left="7"/>
              <w:jc w:val="center"/>
              <w:rPr>
                <w:rFonts w:ascii="仿宋" w:hAnsi="仿宋" w:eastAsia="仿宋" w:cs="宋体"/>
                <w:sz w:val="32"/>
                <w:szCs w:val="32"/>
              </w:rPr>
            </w:pPr>
            <w:r>
              <w:rPr>
                <w:rFonts w:hint="eastAsia" w:ascii="仿宋" w:hAnsi="仿宋" w:eastAsia="仿宋" w:cs="宋体"/>
                <w:sz w:val="32"/>
                <w:szCs w:val="32"/>
              </w:rPr>
              <w:t>81.11</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1、一般预算收入：指区级财政当年拨付的资金。</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ind w:firstLine="960" w:firstLineChars="3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960" w:firstLineChars="300"/>
        <w:rPr>
          <w:rFonts w:ascii="仿宋" w:hAnsi="仿宋" w:eastAsia="仿宋"/>
          <w:sz w:val="32"/>
          <w:szCs w:val="32"/>
        </w:rPr>
      </w:pPr>
      <w:r>
        <w:rPr>
          <w:rFonts w:hint="eastAsia" w:ascii="方正仿宋简体" w:hAnsi="Times New Roman" w:eastAsia="方正仿宋简体" w:cs="Times New Roman"/>
          <w:sz w:val="32"/>
          <w:szCs w:val="24"/>
        </w:rPr>
        <w:t>无</w:t>
      </w:r>
      <w:r>
        <w:rPr>
          <w:rFonts w:hint="eastAsia" w:ascii="仿宋" w:hAnsi="仿宋" w:eastAsia="仿宋"/>
          <w:sz w:val="32"/>
          <w:szCs w:val="32"/>
        </w:rPr>
        <w:t>其他事项说明</w:t>
      </w:r>
      <w:r>
        <w:rPr>
          <w:rFonts w:hint="eastAsia" w:ascii="方正仿宋简体" w:hAnsi="Times New Roman" w:eastAsia="方正仿宋简体" w:cs="Times New Roman"/>
          <w:sz w:val="32"/>
          <w:szCs w:val="24"/>
        </w:rPr>
        <w:t>。</w:t>
      </w:r>
    </w:p>
    <w:sectPr>
      <w:pgSz w:w="16838" w:h="11906" w:orient="landscape"/>
      <w:pgMar w:top="1644" w:right="1440" w:bottom="164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roma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41994"/>
    <w:rsid w:val="00074313"/>
    <w:rsid w:val="00075D5F"/>
    <w:rsid w:val="000B04F2"/>
    <w:rsid w:val="000B3E8D"/>
    <w:rsid w:val="000B50CC"/>
    <w:rsid w:val="000C3A19"/>
    <w:rsid w:val="000C72ED"/>
    <w:rsid w:val="000D3F0D"/>
    <w:rsid w:val="001245BB"/>
    <w:rsid w:val="00241FD4"/>
    <w:rsid w:val="00251B12"/>
    <w:rsid w:val="00296113"/>
    <w:rsid w:val="002F3E58"/>
    <w:rsid w:val="0030542C"/>
    <w:rsid w:val="003076C0"/>
    <w:rsid w:val="00311B7A"/>
    <w:rsid w:val="00314C7B"/>
    <w:rsid w:val="00327B5F"/>
    <w:rsid w:val="00346B63"/>
    <w:rsid w:val="00364058"/>
    <w:rsid w:val="00380590"/>
    <w:rsid w:val="00416AC7"/>
    <w:rsid w:val="00417CCC"/>
    <w:rsid w:val="0044518E"/>
    <w:rsid w:val="00451871"/>
    <w:rsid w:val="0046661B"/>
    <w:rsid w:val="00472923"/>
    <w:rsid w:val="004C0D80"/>
    <w:rsid w:val="004D26B8"/>
    <w:rsid w:val="004D3238"/>
    <w:rsid w:val="004E3066"/>
    <w:rsid w:val="004E6DA9"/>
    <w:rsid w:val="004E74CD"/>
    <w:rsid w:val="004F6CED"/>
    <w:rsid w:val="00531F35"/>
    <w:rsid w:val="00550B67"/>
    <w:rsid w:val="00567598"/>
    <w:rsid w:val="0057247D"/>
    <w:rsid w:val="00573562"/>
    <w:rsid w:val="005A137D"/>
    <w:rsid w:val="005A68F5"/>
    <w:rsid w:val="005C430E"/>
    <w:rsid w:val="00614A29"/>
    <w:rsid w:val="006509AF"/>
    <w:rsid w:val="0068313B"/>
    <w:rsid w:val="006970BE"/>
    <w:rsid w:val="006C4641"/>
    <w:rsid w:val="006D0BF7"/>
    <w:rsid w:val="006E3FDA"/>
    <w:rsid w:val="00751FE1"/>
    <w:rsid w:val="0075393C"/>
    <w:rsid w:val="007722ED"/>
    <w:rsid w:val="00776C08"/>
    <w:rsid w:val="007E1DA8"/>
    <w:rsid w:val="007F6C26"/>
    <w:rsid w:val="0080170E"/>
    <w:rsid w:val="008334AE"/>
    <w:rsid w:val="00836FED"/>
    <w:rsid w:val="00845CD2"/>
    <w:rsid w:val="00852B0D"/>
    <w:rsid w:val="00881692"/>
    <w:rsid w:val="00882773"/>
    <w:rsid w:val="00887B5F"/>
    <w:rsid w:val="008B06DA"/>
    <w:rsid w:val="008B3CC5"/>
    <w:rsid w:val="008E4261"/>
    <w:rsid w:val="008F21E5"/>
    <w:rsid w:val="008F3E86"/>
    <w:rsid w:val="008F4662"/>
    <w:rsid w:val="00905D08"/>
    <w:rsid w:val="00925753"/>
    <w:rsid w:val="0096303D"/>
    <w:rsid w:val="00966C5C"/>
    <w:rsid w:val="00973104"/>
    <w:rsid w:val="009C31A8"/>
    <w:rsid w:val="00A3183B"/>
    <w:rsid w:val="00A31C1F"/>
    <w:rsid w:val="00A72D2E"/>
    <w:rsid w:val="00A911E7"/>
    <w:rsid w:val="00A939D9"/>
    <w:rsid w:val="00AB1673"/>
    <w:rsid w:val="00AD44A3"/>
    <w:rsid w:val="00AF0AEB"/>
    <w:rsid w:val="00B20712"/>
    <w:rsid w:val="00B43238"/>
    <w:rsid w:val="00B626E0"/>
    <w:rsid w:val="00B75216"/>
    <w:rsid w:val="00B91D52"/>
    <w:rsid w:val="00BA1ACD"/>
    <w:rsid w:val="00C229F3"/>
    <w:rsid w:val="00CA7176"/>
    <w:rsid w:val="00CC163D"/>
    <w:rsid w:val="00CD2773"/>
    <w:rsid w:val="00CE143B"/>
    <w:rsid w:val="00D6009F"/>
    <w:rsid w:val="00D74B13"/>
    <w:rsid w:val="00D8117B"/>
    <w:rsid w:val="00D81557"/>
    <w:rsid w:val="00DE674C"/>
    <w:rsid w:val="00E167C7"/>
    <w:rsid w:val="00E45EE5"/>
    <w:rsid w:val="00E5486F"/>
    <w:rsid w:val="00E61051"/>
    <w:rsid w:val="00EC47F6"/>
    <w:rsid w:val="00ED3088"/>
    <w:rsid w:val="00EF1016"/>
    <w:rsid w:val="00F24692"/>
    <w:rsid w:val="00F47277"/>
    <w:rsid w:val="00F66032"/>
    <w:rsid w:val="00F958C2"/>
    <w:rsid w:val="00FA6E63"/>
    <w:rsid w:val="00FC5B1F"/>
    <w:rsid w:val="00FF2CB9"/>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8F05ED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6FF8631C"/>
    <w:rsid w:val="724C7A91"/>
    <w:rsid w:val="72617A36"/>
    <w:rsid w:val="7EB2342C"/>
    <w:rsid w:val="7FBC7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Balloon Text"/>
    <w:basedOn w:val="1"/>
    <w:link w:val="16"/>
    <w:semiHidden/>
    <w:unhideWhenUsed/>
    <w:uiPriority w:val="0"/>
    <w:rPr>
      <w:sz w:val="18"/>
      <w:szCs w:val="18"/>
    </w:rPr>
  </w:style>
  <w:style w:type="paragraph" w:styleId="4">
    <w:name w:val="footer"/>
    <w:basedOn w:val="1"/>
    <w:link w:val="13"/>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toc 2"/>
    <w:basedOn w:val="1"/>
    <w:next w:val="1"/>
    <w:qFormat/>
    <w:uiPriority w:val="0"/>
    <w:pPr>
      <w:ind w:left="420" w:leftChars="200"/>
    </w:pPr>
    <w:rPr>
      <w:rFonts w:ascii="Times New Roman" w:hAnsi="Times New Roman" w:cs="Times New Roman"/>
      <w:szCs w:val="24"/>
    </w:rPr>
  </w:style>
  <w:style w:type="paragraph" w:styleId="8">
    <w:name w:val="annotation subject"/>
    <w:basedOn w:val="2"/>
    <w:next w:val="2"/>
    <w:link w:val="15"/>
    <w:semiHidden/>
    <w:unhideWhenUsed/>
    <w:qFormat/>
    <w:uiPriority w:val="0"/>
    <w:rPr>
      <w:b/>
      <w:bCs/>
    </w:rPr>
  </w:style>
  <w:style w:type="character" w:styleId="11">
    <w:name w:val="annotation reference"/>
    <w:basedOn w:val="10"/>
    <w:semiHidden/>
    <w:unhideWhenUsed/>
    <w:qFormat/>
    <w:uiPriority w:val="0"/>
    <w:rPr>
      <w:sz w:val="21"/>
      <w:szCs w:val="21"/>
    </w:rPr>
  </w:style>
  <w:style w:type="character" w:customStyle="1" w:styleId="12">
    <w:name w:val="页眉 Char"/>
    <w:basedOn w:val="10"/>
    <w:link w:val="5"/>
    <w:uiPriority w:val="0"/>
    <w:rPr>
      <w:rFonts w:ascii="Times New Roman" w:hAnsi="Times New Roman" w:eastAsia="宋体" w:cs="Times New Roman"/>
      <w:sz w:val="18"/>
      <w:szCs w:val="18"/>
    </w:rPr>
  </w:style>
  <w:style w:type="character" w:customStyle="1" w:styleId="13">
    <w:name w:val="页脚 Char"/>
    <w:basedOn w:val="10"/>
    <w:link w:val="4"/>
    <w:qFormat/>
    <w:uiPriority w:val="0"/>
    <w:rPr>
      <w:rFonts w:ascii="Times New Roman" w:hAnsi="Times New Roman" w:eastAsia="宋体" w:cs="Times New Roman"/>
      <w:sz w:val="18"/>
      <w:szCs w:val="18"/>
    </w:rPr>
  </w:style>
  <w:style w:type="character" w:customStyle="1" w:styleId="14">
    <w:name w:val="批注文字 Char"/>
    <w:basedOn w:val="10"/>
    <w:link w:val="2"/>
    <w:semiHidden/>
    <w:qFormat/>
    <w:uiPriority w:val="0"/>
    <w:rPr>
      <w:rFonts w:ascii="Calibri" w:hAnsi="Calibri" w:cs="黑体"/>
      <w:kern w:val="2"/>
      <w:sz w:val="21"/>
      <w:szCs w:val="22"/>
    </w:rPr>
  </w:style>
  <w:style w:type="character" w:customStyle="1" w:styleId="15">
    <w:name w:val="批注主题 Char"/>
    <w:basedOn w:val="14"/>
    <w:link w:val="8"/>
    <w:semiHidden/>
    <w:uiPriority w:val="0"/>
    <w:rPr>
      <w:rFonts w:ascii="Calibri" w:hAnsi="Calibri" w:cs="黑体"/>
      <w:b/>
      <w:bCs/>
      <w:kern w:val="2"/>
      <w:sz w:val="21"/>
      <w:szCs w:val="22"/>
    </w:rPr>
  </w:style>
  <w:style w:type="character" w:customStyle="1" w:styleId="16">
    <w:name w:val="批注框文本 Char"/>
    <w:basedOn w:val="10"/>
    <w:link w:val="3"/>
    <w:semiHidden/>
    <w:qFormat/>
    <w:uiPriority w:val="0"/>
    <w:rPr>
      <w:rFonts w:ascii="Calibri" w:hAnsi="Calibri" w:cs="黑体"/>
      <w:kern w:val="2"/>
      <w:sz w:val="18"/>
      <w:szCs w:val="18"/>
    </w:rPr>
  </w:style>
  <w:style w:type="paragraph" w:customStyle="1" w:styleId="17">
    <w:name w:val="[Normal]"/>
    <w:uiPriority w:val="99"/>
    <w:pPr>
      <w:widowControl w:val="0"/>
      <w:autoSpaceDE w:val="0"/>
      <w:autoSpaceDN w:val="0"/>
      <w:adjustRightInd w:val="0"/>
    </w:pPr>
    <w:rPr>
      <w:rFonts w:ascii="宋体" w:hAnsi="Calibri"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D80B1-62AA-498F-A2AF-185703D5EF4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1099</Words>
  <Characters>6268</Characters>
  <Lines>52</Lines>
  <Paragraphs>14</Paragraphs>
  <TotalTime>1</TotalTime>
  <ScaleCrop>false</ScaleCrop>
  <LinksUpToDate>false</LinksUpToDate>
  <CharactersWithSpaces>7353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2017-05-02T02:48:00Z</dcterms:created>
  <dc:creator>guest</dc:creator>
  <cp:lastModifiedBy>Administrator</cp:lastModifiedBy>
  <cp:lastPrinted>2017-05-04T01:20:00Z</cp:lastPrinted>
  <dcterms:modified xsi:type="dcterms:W3CDTF">2021-05-20T01:22:22Z</dcterms:modified>
  <dc:title>河北省2017年部门预算信息公开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