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bookmarkStart w:id="4" w:name="_GoBack"/>
      <w:r>
        <w:rPr>
          <w:rFonts w:hint="default" w:ascii="Times New Roman" w:hAnsi="Times New Roman" w:eastAsia="方正小标宋简体" w:cs="Times New Roman"/>
          <w:sz w:val="44"/>
          <w:szCs w:val="44"/>
        </w:rPr>
        <w:t>北戴河新区南戴河街道办事处2019年部门预算信息公开说明</w:t>
      </w:r>
    </w:p>
    <w:p>
      <w:pPr>
        <w:ind w:left="-15" w:leftChars="-7"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按照《预算法》、《河北省预决算公开操作规程实施细则》和《秦皇岛市市级预算公开办法》规定，现将秦皇岛北戴河新区南戴河街道办事处</w:t>
      </w:r>
      <w:r>
        <w:rPr>
          <w:rFonts w:hint="default" w:ascii="Times New Roman" w:hAnsi="Times New Roman" w:eastAsia="仿宋" w:cs="Times New Roman"/>
          <w:sz w:val="32"/>
          <w:szCs w:val="32"/>
        </w:rPr>
        <w:t>201</w:t>
      </w:r>
      <w:r>
        <w:rPr>
          <w:rFonts w:hint="default" w:ascii="Times New Roman" w:hAnsi="Times New Roman" w:eastAsia="仿宋" w:cs="Times New Roman"/>
          <w:sz w:val="32"/>
          <w:szCs w:val="32"/>
        </w:rPr>
        <w:t>9年部门预算公开如下：</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一、部门职责及机构设置情况</w:t>
      </w:r>
    </w:p>
    <w:p>
      <w:pPr>
        <w:snapToGrid w:val="0"/>
        <w:spacing w:line="540" w:lineRule="exact"/>
        <w:ind w:firstLine="643" w:firstLineChars="200"/>
        <w:rPr>
          <w:rFonts w:hint="default" w:ascii="Times New Roman" w:hAnsi="Times New Roman" w:eastAsia="仿宋" w:cs="Times New Roman"/>
          <w:sz w:val="32"/>
          <w:szCs w:val="32"/>
        </w:rPr>
      </w:pPr>
      <w:r>
        <w:rPr>
          <w:rFonts w:hint="default" w:ascii="Times New Roman" w:hAnsi="Times New Roman" w:eastAsia="方正仿宋简体" w:cs="Times New Roman"/>
          <w:b/>
          <w:sz w:val="32"/>
          <w:szCs w:val="32"/>
        </w:rPr>
        <w:t>部门</w:t>
      </w:r>
      <w:r>
        <w:rPr>
          <w:rFonts w:hint="default" w:ascii="Times New Roman" w:hAnsi="Times New Roman" w:eastAsia="方正仿宋简体" w:cs="Times New Roman"/>
          <w:b/>
          <w:sz w:val="32"/>
          <w:szCs w:val="32"/>
        </w:rPr>
        <w:t>职责：</w:t>
      </w:r>
      <w:r>
        <w:rPr>
          <w:rFonts w:hint="default" w:ascii="Times New Roman" w:hAnsi="Times New Roman" w:eastAsia="仿宋" w:cs="Times New Roman"/>
          <w:sz w:val="32"/>
          <w:szCs w:val="32"/>
        </w:rPr>
        <w:t>负责本区域社会管理、综合治理、普法宣传、信访调解等工作；负责本区域农业、林业、水利、畜牧、渔业管理及统计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pPr>
        <w:autoSpaceDE w:val="0"/>
        <w:autoSpaceDN w:val="0"/>
        <w:adjustRightInd w:val="0"/>
        <w:ind w:firstLine="643" w:firstLineChars="200"/>
        <w:jc w:val="lef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机构设置：</w:t>
      </w:r>
    </w:p>
    <w:p>
      <w:pPr>
        <w:jc w:val="center"/>
        <w:outlineLvl w:val="0"/>
        <w:rPr>
          <w:rFonts w:hint="default" w:ascii="Times New Roman" w:hAnsi="Times New Roman" w:eastAsia="方正小标宋_GBK" w:cs="Times New Roman"/>
          <w:sz w:val="32"/>
          <w:szCs w:val="24"/>
        </w:rPr>
      </w:pPr>
      <w:r>
        <w:rPr>
          <w:rFonts w:hint="default" w:ascii="Times New Roman" w:hAnsi="Times New Roman" w:eastAsia="方正小标宋_GBK" w:cs="Times New Roman"/>
          <w:sz w:val="32"/>
          <w:szCs w:val="24"/>
        </w:rPr>
        <w:t>部门</w:t>
      </w:r>
      <w:r>
        <w:rPr>
          <w:rFonts w:hint="default" w:ascii="Times New Roman" w:hAnsi="Times New Roman" w:eastAsia="方正小标宋_GBK" w:cs="Times New Roman"/>
          <w:sz w:val="32"/>
          <w:szCs w:val="24"/>
        </w:rPr>
        <w:t>机构设置情况</w:t>
      </w: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default" w:ascii="Times New Roman" w:hAnsi="Times New Roman" w:cs="Times New Roman"/>
                <w:szCs w:val="24"/>
              </w:rPr>
            </w:pPr>
          </w:p>
        </w:tc>
        <w:tc>
          <w:tcPr>
            <w:tcW w:w="1134" w:type="dxa"/>
            <w:vMerge w:val="continue"/>
            <w:vAlign w:val="center"/>
          </w:tcPr>
          <w:p>
            <w:pPr>
              <w:spacing w:line="300" w:lineRule="exact"/>
              <w:jc w:val="left"/>
              <w:outlineLvl w:val="0"/>
              <w:rPr>
                <w:rFonts w:hint="default" w:ascii="Times New Roman" w:hAnsi="Times New Roman" w:cs="Times New Roman"/>
                <w:szCs w:val="24"/>
              </w:rPr>
            </w:pPr>
          </w:p>
        </w:tc>
        <w:tc>
          <w:tcPr>
            <w:tcW w:w="1276" w:type="dxa"/>
            <w:vMerge w:val="continue"/>
            <w:vAlign w:val="center"/>
          </w:tcPr>
          <w:p>
            <w:pPr>
              <w:spacing w:line="300" w:lineRule="exact"/>
              <w:jc w:val="left"/>
              <w:outlineLvl w:val="0"/>
              <w:rPr>
                <w:rFonts w:hint="default" w:ascii="Times New Roman" w:hAnsi="Times New Roman" w:cs="Times New Roman"/>
                <w:szCs w:val="24"/>
              </w:rPr>
            </w:pPr>
          </w:p>
        </w:tc>
        <w:tc>
          <w:tcPr>
            <w:tcW w:w="2902" w:type="dxa"/>
            <w:vMerge w:val="continue"/>
            <w:vAlign w:val="center"/>
          </w:tcPr>
          <w:p>
            <w:pPr>
              <w:spacing w:line="300" w:lineRule="exact"/>
              <w:jc w:val="left"/>
              <w:outlineLvl w:val="0"/>
              <w:rPr>
                <w:rFonts w:hint="default"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color w:val="FF0000"/>
                <w:szCs w:val="24"/>
              </w:rPr>
            </w:pPr>
            <w:r>
              <w:rPr>
                <w:rFonts w:hint="default" w:ascii="Times New Roman" w:hAnsi="Times New Roman" w:eastAsia="方正书宋_GBK" w:cs="Times New Roman"/>
                <w:color w:val="000000"/>
              </w:rPr>
              <w:t>北戴河新区南戴河街道办事处</w:t>
            </w:r>
          </w:p>
        </w:tc>
        <w:tc>
          <w:tcPr>
            <w:tcW w:w="1134"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color w:val="000000"/>
              </w:rPr>
              <w:t>行政</w:t>
            </w:r>
          </w:p>
        </w:tc>
        <w:tc>
          <w:tcPr>
            <w:tcW w:w="1276"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color w:val="000000"/>
              </w:rPr>
              <w:t>正科级</w:t>
            </w:r>
          </w:p>
        </w:tc>
        <w:tc>
          <w:tcPr>
            <w:tcW w:w="2902"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color w:val="00000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color w:val="FF0000"/>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szCs w:val="24"/>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szCs w:val="24"/>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bl>
    <w:p>
      <w:pPr>
        <w:rPr>
          <w:rFonts w:hint="default" w:ascii="Times New Roman" w:hAnsi="Times New Roman" w:cs="Times New Roman"/>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二、部门预算安排的总体情况</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w:t>
      </w:r>
      <w:r>
        <w:rPr>
          <w:rFonts w:hint="default" w:ascii="Times New Roman" w:hAnsi="Times New Roman" w:eastAsia="方正仿宋简体" w:cs="Times New Roman"/>
          <w:sz w:val="32"/>
          <w:szCs w:val="32"/>
        </w:rPr>
        <w:t>我区</w:t>
      </w:r>
      <w:r>
        <w:rPr>
          <w:rFonts w:hint="default" w:ascii="Times New Roman" w:hAnsi="Times New Roman" w:eastAsia="方正仿宋简体" w:cs="Times New Roman"/>
          <w:sz w:val="32"/>
          <w:szCs w:val="32"/>
        </w:rPr>
        <w:t>部门预算的编制实行综合预算制度，即全部收入和支出都反映</w:t>
      </w: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sz w:val="32"/>
          <w:szCs w:val="32"/>
        </w:rPr>
        <w:t>预算中。</w:t>
      </w:r>
      <w:r>
        <w:rPr>
          <w:rFonts w:hint="default" w:ascii="Times New Roman" w:hAnsi="Times New Roman" w:eastAsia="方正仿宋简体" w:cs="Times New Roman"/>
          <w:sz w:val="32"/>
          <w:szCs w:val="32"/>
        </w:rPr>
        <w:t>南戴河街道办事处</w:t>
      </w:r>
      <w:r>
        <w:rPr>
          <w:rFonts w:hint="default" w:ascii="Times New Roman" w:hAnsi="Times New Roman" w:eastAsia="方正仿宋简体" w:cs="Times New Roman"/>
          <w:sz w:val="32"/>
          <w:szCs w:val="32"/>
        </w:rPr>
        <w:t>的收支包含在部门预算中。</w:t>
      </w:r>
    </w:p>
    <w:p>
      <w:pPr>
        <w:ind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default" w:ascii="Times New Roman" w:hAnsi="Times New Roman" w:eastAsia="方正仿宋简体" w:cs="Times New Roman"/>
          <w:b/>
          <w:sz w:val="32"/>
          <w:szCs w:val="32"/>
        </w:rPr>
        <w:t>收入说明</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反映本部门当年全部收入，2019年预算收入1121.51万元，其中：一般公共预算拨款1121.51万元（非限额补助1121.51万元）。</w:t>
      </w:r>
    </w:p>
    <w:p>
      <w:pPr>
        <w:ind w:left="64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2.支出说明</w:t>
      </w:r>
    </w:p>
    <w:p>
      <w:pPr>
        <w:ind w:firstLine="480" w:firstLineChars="15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支总表支出栏、基本支出表、项目支出表按经济分类和支出功能分类科目编制，反映部门预算中支出预算的总体情况。2019年部门支出预算为1121.51万元，其中基本支出996.51万元，包括人员经费892.66万元和日常公用经费103.85万元；项目支出125万元，全部为本级支出。</w:t>
      </w:r>
    </w:p>
    <w:p>
      <w:pPr>
        <w:ind w:left="64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3.比上年增减情况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2019年部门预算较2018年减少119.47万元，其中：基本支出增加74.53万元，主要是</w:t>
      </w:r>
      <w:r>
        <w:rPr>
          <w:rFonts w:hint="default" w:ascii="Times New Roman" w:hAnsi="Times New Roman" w:eastAsia="仿宋" w:cs="Times New Roman"/>
          <w:sz w:val="32"/>
          <w:szCs w:val="32"/>
        </w:rPr>
        <w:t>在职人员工资福利支出、对个人和家庭的补助较上年增加</w:t>
      </w:r>
      <w:r>
        <w:rPr>
          <w:rFonts w:hint="default" w:ascii="Times New Roman" w:hAnsi="Times New Roman" w:eastAsia="方正仿宋简体" w:cs="Times New Roman"/>
          <w:sz w:val="32"/>
          <w:szCs w:val="32"/>
        </w:rPr>
        <w:t>；项目支出减少194万元，主要是减少了项目支出。</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机关运行经费共计安排103.85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四、财政拨款“三公”经费预算情况及增减变化原因</w:t>
      </w:r>
    </w:p>
    <w:p>
      <w:pPr>
        <w:ind w:firstLine="640" w:firstLineChars="20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2019年，财政拨款“三公”经费预算安排7.29万元，其中：因公出国（境）费0万元；公务用车购置及运维费6.20万元（其中：公务用车运行费6.20万元)；公务接待费1.09万元。“三公”经费较上年增加0.06万元，主要原因是</w:t>
      </w:r>
      <w:r>
        <w:rPr>
          <w:rFonts w:hint="default" w:ascii="Times New Roman" w:hAnsi="Times New Roman" w:eastAsia="仿宋" w:cs="Times New Roman"/>
          <w:sz w:val="32"/>
          <w:szCs w:val="32"/>
        </w:rPr>
        <w:t>作为公务接待费计提基数的调标后导致的。</w:t>
      </w:r>
    </w:p>
    <w:p>
      <w:pPr>
        <w:numPr>
          <w:ilvl w:val="0"/>
          <w:numId w:val="1"/>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绩效预算信息</w:t>
      </w:r>
    </w:p>
    <w:p>
      <w:pPr>
        <w:ind w:firstLine="560" w:firstLineChars="200"/>
        <w:jc w:val="left"/>
        <w:outlineLvl w:val="1"/>
        <w:rPr>
          <w:rFonts w:hint="default" w:ascii="Times New Roman" w:hAnsi="Times New Roman" w:eastAsia="宋体" w:cs="Times New Roman"/>
          <w:sz w:val="28"/>
        </w:rPr>
      </w:pPr>
      <w:r>
        <w:rPr>
          <w:rFonts w:hint="default" w:ascii="Times New Roman" w:hAnsi="Times New Roman" w:eastAsia="方正黑体_GBK" w:cs="Times New Roman"/>
          <w:sz w:val="28"/>
        </w:rPr>
        <w:t>总体绩效目标</w:t>
      </w:r>
      <w:r>
        <w:rPr>
          <w:rFonts w:hint="default" w:ascii="Times New Roman" w:hAnsi="Times New Roman" w:cs="Times New Roman"/>
        </w:rPr>
        <w:fldChar w:fldCharType="begin"/>
      </w:r>
      <w:r>
        <w:rPr>
          <w:rFonts w:hint="default" w:ascii="Times New Roman" w:hAnsi="Times New Roman" w:eastAsia="方正黑体_GBK" w:cs="Times New Roman"/>
          <w:sz w:val="28"/>
        </w:rPr>
        <w:instrText xml:space="preserve"> </w:instrText>
      </w:r>
      <w:r>
        <w:rPr>
          <w:rFonts w:hint="default" w:ascii="Times New Roman" w:hAnsi="Times New Roman" w:eastAsia="方正黑体_GBK" w:cs="Times New Roman"/>
          <w:sz w:val="28"/>
        </w:rPr>
        <w:instrText xml:space="preserve">TC </w:instrText>
      </w:r>
      <w:bookmarkStart w:id="0" w:name="_Toc28872189"/>
      <w:r>
        <w:rPr>
          <w:rFonts w:hint="default" w:ascii="Times New Roman" w:hAnsi="Times New Roman" w:eastAsia="方正黑体_GBK" w:cs="Times New Roman"/>
          <w:sz w:val="28"/>
        </w:rPr>
        <w:instrText xml:space="preserve">总体绩效目标</w:instrText>
      </w:r>
      <w:bookmarkEnd w:id="0"/>
      <w:r>
        <w:rPr>
          <w:rFonts w:hint="default" w:ascii="Times New Roman" w:hAnsi="Times New Roman" w:eastAsia="方正黑体_GBK" w:cs="Times New Roman"/>
          <w:sz w:val="28"/>
        </w:rPr>
        <w:instrText xml:space="preserve"> \f A \l 1</w:instrText>
      </w:r>
      <w:r>
        <w:rPr>
          <w:rFonts w:hint="default" w:ascii="Times New Roman" w:hAnsi="Times New Roman" w:eastAsia="方正黑体_GBK" w:cs="Times New Roman"/>
          <w:sz w:val="28"/>
        </w:rPr>
        <w:instrText xml:space="preserve"> </w:instrText>
      </w:r>
      <w:r>
        <w:rPr>
          <w:rFonts w:hint="default" w:ascii="Times New Roman" w:hAnsi="Times New Roman" w:eastAsia="方正黑体_GBK" w:cs="Times New Roman"/>
          <w:sz w:val="28"/>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1、组织队伍建设和软环境建设，采取内部带、派出学等方式，不断强化对现有人员业务知识培养，使其具备完成工作的能力。</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2、加强党风廉政建设，进一步完善各项制度，实现以制度管人、按制度办事。</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3、牢记部门职责：负责本区域社会管理、综合治理、普法宣传、信访调解等工作；负责本区域农业、林业、水利、畜牧、渔业管理及统计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各项工作任务。</w:t>
      </w:r>
    </w:p>
    <w:p>
      <w:pPr>
        <w:spacing w:line="500" w:lineRule="exact"/>
        <w:ind w:firstLine="560" w:firstLineChars="200"/>
        <w:jc w:val="left"/>
        <w:outlineLvl w:val="1"/>
        <w:rPr>
          <w:rFonts w:hint="default" w:ascii="Times New Roman" w:hAnsi="Times New Roman" w:eastAsia="宋体" w:cs="Times New Roman"/>
          <w:sz w:val="28"/>
        </w:rPr>
      </w:pPr>
      <w:r>
        <w:rPr>
          <w:rFonts w:hint="default" w:ascii="Times New Roman" w:hAnsi="Times New Roman" w:eastAsia="方正黑体_GBK" w:cs="Times New Roman"/>
          <w:sz w:val="28"/>
        </w:rPr>
        <w:t>分项绩效目标</w:t>
      </w:r>
      <w:r>
        <w:rPr>
          <w:rFonts w:hint="default" w:ascii="Times New Roman" w:hAnsi="Times New Roman" w:cs="Times New Roman"/>
        </w:rPr>
        <w:fldChar w:fldCharType="begin"/>
      </w:r>
      <w:r>
        <w:rPr>
          <w:rFonts w:hint="default" w:ascii="Times New Roman" w:hAnsi="Times New Roman" w:eastAsia="方正黑体_GBK" w:cs="Times New Roman"/>
          <w:sz w:val="28"/>
        </w:rPr>
        <w:instrText xml:space="preserve"> TC </w:instrText>
      </w:r>
      <w:bookmarkStart w:id="1" w:name="_Toc28872190"/>
      <w:r>
        <w:rPr>
          <w:rFonts w:hint="default" w:ascii="Times New Roman" w:hAnsi="Times New Roman" w:eastAsia="方正黑体_GBK" w:cs="Times New Roman"/>
          <w:sz w:val="28"/>
        </w:rPr>
        <w:instrText xml:space="preserve">分项绩效目标</w:instrText>
      </w:r>
      <w:bookmarkEnd w:id="1"/>
      <w:r>
        <w:rPr>
          <w:rFonts w:hint="default" w:ascii="Times New Roman" w:hAnsi="Times New Roman" w:eastAsia="方正黑体_GBK" w:cs="Times New Roman"/>
          <w:sz w:val="28"/>
        </w:rPr>
        <w:instrText xml:space="preserve"> \f A \l 1 </w:instrText>
      </w:r>
      <w:r>
        <w:rPr>
          <w:rFonts w:hint="default" w:ascii="Times New Roman" w:hAnsi="Times New Roman" w:eastAsia="方正黑体_GBK" w:cs="Times New Roman"/>
          <w:sz w:val="28"/>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1、推进区域经济与可持续发展</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研究制定区域经济的政策措施，强化政策协调，统筹推进新型城镇化建设，组织实施主体功能区规划，强化北戴河新区农村及社区监督管理工作，各项惠农政策落实到位，做好南戴河片区面貌提升改造升级工作。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2、促进节能降耗、资源合理利用和生态建设</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推倒可持续发展战略，组织拟定发展循环经济、全社会资源节约和综合利用，协调生态建设、能源资源节约和综合利用及做好农村垃圾治理等工作。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3、固定资产投资调控与管理</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4、发展和改革政务管理</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（1）街道办事处日常工作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更好的完成上级下达的各项工作，管理好党务、组织工作向社会做好各项方针政策的宣传工作。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（2）涉农事务管理</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执行好各项惠农政策，惠农资金、各项专项资金拨付到位，不挪用、节留。</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（3）社会事务管理</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贯彻执行国家计划剩生育政策，解决计生、民生各类问题。</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（4）综合治理工作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做好安全生产、食品安全和社区矫正、信访维稳工作。</w:t>
      </w:r>
    </w:p>
    <w:p>
      <w:pPr>
        <w:spacing w:line="500" w:lineRule="exact"/>
        <w:ind w:firstLine="560" w:firstLineChars="200"/>
        <w:jc w:val="left"/>
        <w:outlineLvl w:val="1"/>
        <w:rPr>
          <w:rFonts w:hint="default" w:ascii="Times New Roman" w:hAnsi="Times New Roman" w:eastAsia="宋体" w:cs="Times New Roman"/>
          <w:sz w:val="28"/>
        </w:rPr>
      </w:pPr>
      <w:r>
        <w:rPr>
          <w:rFonts w:hint="default" w:ascii="Times New Roman" w:hAnsi="Times New Roman" w:eastAsia="方正黑体_GBK" w:cs="Times New Roman"/>
          <w:sz w:val="28"/>
        </w:rPr>
        <w:t>工作保障措施</w:t>
      </w:r>
      <w:r>
        <w:rPr>
          <w:rFonts w:hint="default" w:ascii="Times New Roman" w:hAnsi="Times New Roman" w:cs="Times New Roman"/>
        </w:rPr>
        <w:fldChar w:fldCharType="begin"/>
      </w:r>
      <w:r>
        <w:rPr>
          <w:rFonts w:hint="default" w:ascii="Times New Roman" w:hAnsi="Times New Roman" w:eastAsia="方正黑体_GBK" w:cs="Times New Roman"/>
          <w:sz w:val="28"/>
        </w:rPr>
        <w:instrText xml:space="preserve"> TC </w:instrText>
      </w:r>
      <w:bookmarkStart w:id="2" w:name="_Toc28872191"/>
      <w:r>
        <w:rPr>
          <w:rFonts w:hint="default" w:ascii="Times New Roman" w:hAnsi="Times New Roman" w:eastAsia="方正黑体_GBK" w:cs="Times New Roman"/>
          <w:sz w:val="28"/>
        </w:rPr>
        <w:instrText xml:space="preserve">工作保障措施</w:instrText>
      </w:r>
      <w:bookmarkEnd w:id="2"/>
      <w:r>
        <w:rPr>
          <w:rFonts w:hint="default" w:ascii="Times New Roman" w:hAnsi="Times New Roman" w:eastAsia="方正黑体_GBK" w:cs="Times New Roman"/>
          <w:sz w:val="28"/>
        </w:rPr>
        <w:instrText xml:space="preserve"> \f A \l 1 </w:instrText>
      </w:r>
      <w:r>
        <w:rPr>
          <w:rFonts w:hint="default" w:ascii="Times New Roman" w:hAnsi="Times New Roman" w:eastAsia="方正黑体_GBK" w:cs="Times New Roman"/>
          <w:sz w:val="28"/>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1、贯彻执行上级文件精神，坚持绿色发展。调整农业种植结构，开发利用土地资源，扩大绿化植物种植面积，推动美丽乡村建设。</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2、加快补齐区域发展短板，力促交通、生态环保、产业领域取得更大突破。</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3、深植改革创新理念，深化重点领域改革，促进区域合作迈上新水平。</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4、大力推动精准扶贫、精准脱贫，统筹抓好涉及群众利益的重点工作，做好城乡低保、农村五保、医疗救助、临时救助的审核工作。</w:t>
      </w:r>
    </w:p>
    <w:p>
      <w:pPr>
        <w:numPr>
          <w:ilvl w:val="0"/>
          <w:numId w:val="0"/>
        </w:numPr>
        <w:rPr>
          <w:rFonts w:hint="default" w:ascii="Times New Roman" w:hAnsi="Times New Roman" w:eastAsia="黑体" w:cs="Times New Roman"/>
          <w:sz w:val="32"/>
          <w:szCs w:val="32"/>
        </w:rPr>
      </w:pPr>
    </w:p>
    <w:p>
      <w:pPr>
        <w:jc w:val="center"/>
        <w:outlineLvl w:val="0"/>
        <w:rPr>
          <w:rFonts w:hint="default" w:ascii="Times New Roman" w:hAnsi="Times New Roman" w:eastAsia="方正小标宋_GBK" w:cs="Times New Roman"/>
          <w:sz w:val="32"/>
        </w:rPr>
      </w:pPr>
      <w:bookmarkStart w:id="3" w:name="_Toc503434893"/>
      <w:r>
        <w:rPr>
          <w:rFonts w:hint="default" w:ascii="Times New Roman" w:hAnsi="Times New Roman" w:eastAsia="方正小标宋_GBK" w:cs="Times New Roman"/>
          <w:sz w:val="32"/>
        </w:rPr>
        <w:t>部门职责-工作活动绩效目标</w:t>
      </w:r>
      <w:bookmarkEnd w:id="3"/>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0"/>
        <w:gridCol w:w="1275"/>
        <w:gridCol w:w="2976"/>
        <w:gridCol w:w="2976"/>
        <w:gridCol w:w="1419"/>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339</w:t>
            </w:r>
            <w:r>
              <w:rPr>
                <w:rFonts w:hint="default" w:ascii="Times New Roman" w:hAnsi="Times New Roman" w:eastAsia="方正小标宋_GBK" w:cs="Times New Roman"/>
                <w:sz w:val="24"/>
              </w:rPr>
              <w:t>秦皇岛北戴河新区南戴河街道办事处</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Times New Roman" w:hAnsi="Times New Roman" w:eastAsia="方正书宋_GBK" w:cs="Times New Roman"/>
                <w:sz w:val="24"/>
              </w:rPr>
            </w:pPr>
            <w:r>
              <w:rPr>
                <w:rFonts w:hint="default"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职责活动</w:t>
            </w:r>
          </w:p>
        </w:tc>
        <w:tc>
          <w:tcPr>
            <w:tcW w:w="1276"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年度预算数</w:t>
            </w:r>
          </w:p>
        </w:tc>
        <w:tc>
          <w:tcPr>
            <w:tcW w:w="2976"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内容描述</w:t>
            </w:r>
          </w:p>
        </w:tc>
        <w:tc>
          <w:tcPr>
            <w:tcW w:w="2976"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1417"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w:t>
            </w:r>
          </w:p>
        </w:tc>
        <w:tc>
          <w:tcPr>
            <w:tcW w:w="2948" w:type="dxa"/>
            <w:gridSpan w:val="4"/>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1276"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2976"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2976"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1417"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优</w:t>
            </w:r>
          </w:p>
        </w:tc>
        <w:tc>
          <w:tcPr>
            <w:tcW w:w="737"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良</w:t>
            </w:r>
          </w:p>
        </w:tc>
        <w:tc>
          <w:tcPr>
            <w:tcW w:w="737"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中</w:t>
            </w:r>
          </w:p>
        </w:tc>
        <w:tc>
          <w:tcPr>
            <w:tcW w:w="737"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一、管理处日常工作</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全面贯彻执行党和国家的方针政策，认真执行上级政府及管理处党委的指示、决定，协调各部门落实。做好党政、组织、宣传工作。</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更好的完成上级下达的各项工作，管理好党务、组织工作，向社会做好各项方针政策的宣传工作。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1、　综合事务管理</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管理处的文秘、组织、宣传、纪检、统战民族宗教、工会共青团妇联等工作，负责行文交往档案管理草拟各类上报材料等文秘工作和做好保密工作，公章管理、办公采购、机关及食堂后勤保障工作，办理人事工作。汇总单位信息，上报宣传部，订阅党报党刊。</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文秘、组织、宣传、纪检、统战、宗教、工青妇工作落实，行文、档案管理规范，公章管理、政府采购规范，后勤保障认真管理，人事、宣传工作积极配合上级部门完成。</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综合事务保障率</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严格落实，执行</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认真管理，积极配合</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二、涉农事务管理</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做好三农工作，负责农村经济的统计、普查工作。</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执行好各种惠农政策，惠农资金、各项专项资金拨付到位，不挪用、截留。</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1、　农村财政、财务管理</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落实减轻农民负担有关政策，贯彻执行上级文件精神，加强对农村财务工作管理，切实做好村财务代理，加强财务监督力度，严格执行管理制度。统计辖区内惠农资金，为老百姓办好惠农一卡通，确保惠农资金直接打到一卡通上。</w:t>
            </w:r>
          </w:p>
        </w:tc>
        <w:tc>
          <w:tcPr>
            <w:tcW w:w="2976" w:type="dxa"/>
            <w:vMerge w:val="restart"/>
            <w:tcBorders>
              <w:righ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按要求落实政策、执行文件，加强财务管理及监管力度，惠农资金严格发放。</w:t>
            </w:r>
          </w:p>
        </w:tc>
        <w:tc>
          <w:tcPr>
            <w:tcW w:w="1417" w:type="dxa"/>
            <w:tcBorders>
              <w:left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按照法律法规，依法办事</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tcBorders>
              <w:righ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left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落实政策到位率（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left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tcBorders>
              <w:righ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p>
        </w:tc>
        <w:tc>
          <w:tcPr>
            <w:tcW w:w="1419"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惠农资金及时发放率（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5"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left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2、防汛抗旱</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落实好涉水工程汛前隐患排查整改，汛中应急抢险、灾情核查等工作。遇干旱灾害积极参与水资源调度、水事纠纷调处、抗旱服务等工作。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加强汛前排查，消除隐患。</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加强管理</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排查频次</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移民政策落实率</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3、农村经济统计、普查</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搞好财务、资产收益年报与各类农经统计报表的编报工作你，认真做好经济普查工作。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统计工作及时、准确，资产管理合规。</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准确率</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监管符合规范</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及时率</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4、　森林防火</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贯彻执行上级文件精神，配合林业局做好森林林防火工作。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积极配合</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积极配合</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巡查次数（次）</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巡查覆盖率</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5、　农业</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贯彻执行党和国家的各项农业方针政策，认真落实各项农业发展计划，促进农村农业的全面发展。</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落实农业政策，促进发展</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落实宣传政策及时率（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落实计划进度（</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农业支持保护补贴发放率（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三、社会事务管理</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112.00</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做好计生、民生工作</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贯彻执行国家计划生育政策。解决计生、民生各类问题。</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1、　计生事务管理</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相关证件审核、办理，落实计划生育奖励优待政策计生统计、流动人口服务管理，生殖健康检查及孕前优生健康检查，避孕药具管理发放，计划生育宣传教育，计生协会工作，协助社会抚养费征收。</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计生工作按照政策法规办理，按时间完成</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落实政策率（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计划生育家庭特别扶助政策落实率（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计划生育重点工作任务完成率（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9"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2、　民生事务管理</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112.00</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查灾、核灾、记灾、上报灾情，协助主管接收局接收、分配、管理救灾款物的使用，指导灾民开展生产自救，重建家园；低保、五保、医疗救助的审核，上报。统计</w:t>
            </w:r>
            <w:r>
              <w:rPr>
                <w:rFonts w:hint="default" w:ascii="Times New Roman" w:hAnsi="Times New Roman" w:eastAsia="方正书宋_GBK" w:cs="Times New Roman"/>
              </w:rPr>
              <w:t>80</w:t>
            </w:r>
            <w:r>
              <w:rPr>
                <w:rFonts w:hint="default" w:ascii="Times New Roman" w:hAnsi="Times New Roman" w:eastAsia="方正书宋_GBK" w:cs="Times New Roman"/>
              </w:rPr>
              <w:t>岁以上老人数量，发放高龄补贴。拥军优属工作和革命伤残军人及现役军人、复员退伍军人、参战民兵民工、烈军属等优抚对象的抚恤、补助、优待工作。收缴城乡居民养老保险金，如实录入养老保险系统，按月发放</w:t>
            </w:r>
            <w:r>
              <w:rPr>
                <w:rFonts w:hint="default" w:ascii="Times New Roman" w:hAnsi="Times New Roman" w:eastAsia="方正书宋_GBK" w:cs="Times New Roman"/>
              </w:rPr>
              <w:t>60</w:t>
            </w:r>
            <w:r>
              <w:rPr>
                <w:rFonts w:hint="default" w:ascii="Times New Roman" w:hAnsi="Times New Roman" w:eastAsia="方正书宋_GBK" w:cs="Times New Roman"/>
              </w:rPr>
              <w:t>岁以上人员的养老保险金。移民生产生活补贴的发放，移民人数的核查残疾人统计、核查，残疾人扶贫资金、托养资金的发放。</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民生事务按时落实。</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核查、统计、工作完成率</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困难残疾人生活补贴发放</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优抚对象抚恤和生活补助兑现率</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3"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3、卫生</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接受区级卫生计生行政部门指导，指导开展农村爱国卫生运动，协助做好辖区内免疫规划实施、共公卫生监督检查等工作。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卫生按期指导，按时完成。</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按期指导</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系统安全运行情况</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安全高效</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正常稳定</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正常运行</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发生故障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卫生计生监督覆盖率（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四、土地规划、城乡建设管理工作</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管理处范围内土地规划管理</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做好辖区内土地规划、大气污染治理工作</w:t>
            </w:r>
          </w:p>
        </w:tc>
        <w:tc>
          <w:tcPr>
            <w:tcW w:w="1417" w:type="dxa"/>
            <w:shd w:val="clear" w:color="auto" w:fill="auto"/>
            <w:vAlign w:val="center"/>
          </w:tcPr>
          <w:p>
            <w:pPr>
              <w:spacing w:line="300" w:lineRule="exact"/>
              <w:jc w:val="left"/>
              <w:rPr>
                <w:rFonts w:hint="default" w:ascii="Times New Roman" w:hAnsi="Times New Roman" w:eastAsia="方正书宋_GBK" w:cs="Times New Roman"/>
                <w:i/>
                <w:iCs/>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1、负责本辖区</w:t>
            </w:r>
            <w:r>
              <w:rPr>
                <w:rFonts w:hint="default" w:ascii="Times New Roman" w:hAnsi="Times New Roman" w:eastAsia="方正书宋_GBK" w:cs="Times New Roman"/>
                <w:b/>
              </w:rPr>
              <w:t>11</w:t>
            </w:r>
            <w:r>
              <w:rPr>
                <w:rFonts w:hint="default" w:ascii="Times New Roman" w:hAnsi="Times New Roman" w:eastAsia="方正书宋_GBK" w:cs="Times New Roman"/>
                <w:b/>
              </w:rPr>
              <w:t>个行政村的土地规划</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负责本辖区内农用地转用，土地征用报批的前期准备工作。负责土地收购储备的前期核查工作。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土地收储、项目建设、规划编制。</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严格按要求完成</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项目建设完成进度</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规划编制完整</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2、　危房改造</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负责本辖区内低保、五保、困难户等危房改造申报工作。</w:t>
            </w:r>
          </w:p>
        </w:tc>
        <w:tc>
          <w:tcPr>
            <w:tcW w:w="2976" w:type="dxa"/>
            <w:vMerge w:val="restart"/>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入户调查符合条件的正常申报</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申报</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tcBorders>
              <w:righ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left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审核</w:t>
            </w:r>
          </w:p>
        </w:tc>
        <w:tc>
          <w:tcPr>
            <w:tcW w:w="737" w:type="dxa"/>
            <w:tcBorders>
              <w:top w:val="single" w:color="auto" w:sz="4" w:space="0"/>
              <w:bottom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tcBorders>
              <w:righ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lef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入户调查率（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3、环保</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加强环保法宣传，健全环保三级网格化监管机制，建立环保档案，协助上级环保部门防治水、噪声和大气污染工作。</w:t>
            </w:r>
          </w:p>
        </w:tc>
        <w:tc>
          <w:tcPr>
            <w:tcW w:w="2976" w:type="dxa"/>
            <w:vMerge w:val="restart"/>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加强宣传、管理、规范档案。</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密切配合、协助上级工作</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政策宣传率（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环保监察管理</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4、　美丽乡村</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积极配合新型城镇化办公室，推进美丽乡村建设，加大农村环境综合整治，切实改善居住环境。</w:t>
            </w:r>
          </w:p>
        </w:tc>
        <w:tc>
          <w:tcPr>
            <w:tcW w:w="2976" w:type="dxa"/>
            <w:vMerge w:val="restart"/>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积极配合，加强整治和管理</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建设按要求完成</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居住环境改善</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市政公用设施管理</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五、综合治理工作</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13.00</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安全生产、司法、信访维稳</w:t>
            </w:r>
          </w:p>
        </w:tc>
        <w:tc>
          <w:tcPr>
            <w:tcW w:w="29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做好安全生产和社区矫正、信访稳定工作</w:t>
            </w:r>
          </w:p>
        </w:tc>
        <w:tc>
          <w:tcPr>
            <w:tcW w:w="1417" w:type="dxa"/>
            <w:shd w:val="clear" w:color="auto" w:fill="auto"/>
            <w:vAlign w:val="center"/>
          </w:tcPr>
          <w:p>
            <w:pPr>
              <w:spacing w:line="300" w:lineRule="exact"/>
              <w:jc w:val="left"/>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shd w:val="clear" w:color="auto" w:fill="auto"/>
            <w:vAlign w:val="center"/>
          </w:tcPr>
          <w:p>
            <w:pPr>
              <w:spacing w:line="300" w:lineRule="exact"/>
              <w:jc w:val="center"/>
              <w:rPr>
                <w:rFonts w:hint="default" w:ascii="Times New Roman" w:hAnsi="Times New Roman" w:eastAsia="方正书宋_GBK" w:cs="Times New Roman"/>
              </w:rPr>
            </w:pP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3"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1、安全生产、食品安全</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宣传、贯彻、执行相关法律法规，定期向上级报告安全生产工作情况，协助新区城市管理和交通局食药监科做好食品安全工作</w:t>
            </w:r>
          </w:p>
        </w:tc>
        <w:tc>
          <w:tcPr>
            <w:tcW w:w="2976" w:type="dxa"/>
            <w:vMerge w:val="restart"/>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宣传及时，贯彻落实，协助做好食品安全检查工作</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及时上报、预防</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宣传、贯彻落实</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积极配合</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41" w:type="dxa"/>
            <w:vMerge w:val="restart"/>
            <w:shd w:val="clear" w:color="auto" w:fill="auto"/>
            <w:vAlign w:val="center"/>
          </w:tcPr>
          <w:p>
            <w:pPr>
              <w:spacing w:line="300" w:lineRule="exact"/>
              <w:rPr>
                <w:rFonts w:hint="default" w:ascii="Times New Roman" w:hAnsi="Times New Roman" w:eastAsia="方正书宋_GBK" w:cs="Times New Roman"/>
                <w:b/>
              </w:rPr>
            </w:pPr>
            <w:r>
              <w:rPr>
                <w:rFonts w:hint="default" w:ascii="Times New Roman" w:hAnsi="Times New Roman" w:eastAsia="方正书宋_GBK" w:cs="Times New Roman"/>
                <w:b/>
              </w:rPr>
              <w:t>　　2、社区矫正</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协助管理社区矫正人员，宣传普及法律知识</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积极协助</w:t>
            </w:r>
          </w:p>
        </w:tc>
        <w:tc>
          <w:tcPr>
            <w:tcW w:w="1417" w:type="dxa"/>
            <w:tcBorders>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开展法律援助工作</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按时组织矫正人员培训</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加强管理，减少犯罪</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341" w:type="dxa"/>
            <w:vMerge w:val="restart"/>
            <w:shd w:val="clear" w:color="auto" w:fill="auto"/>
            <w:vAlign w:val="center"/>
          </w:tcPr>
          <w:p>
            <w:pPr>
              <w:spacing w:line="300" w:lineRule="exact"/>
              <w:rPr>
                <w:rFonts w:hint="default" w:ascii="Times New Roman" w:hAnsi="Times New Roman" w:eastAsia="方正书宋_GBK" w:cs="Times New Roman"/>
                <w:b/>
              </w:rPr>
            </w:pPr>
            <w:r>
              <w:rPr>
                <w:rFonts w:hint="default" w:ascii="Times New Roman" w:hAnsi="Times New Roman" w:eastAsia="方正书宋_GBK" w:cs="Times New Roman"/>
                <w:b/>
              </w:rPr>
              <w:t>　　3、信访稳定</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13.00</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依法治访、信访稳控、解决矛盾纠纷</w:t>
            </w:r>
          </w:p>
        </w:tc>
        <w:tc>
          <w:tcPr>
            <w:tcW w:w="2976" w:type="dxa"/>
            <w:vMerge w:val="restart"/>
            <w:tcBorders>
              <w:righ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依法、依归解决</w:t>
            </w:r>
          </w:p>
        </w:tc>
        <w:tc>
          <w:tcPr>
            <w:tcW w:w="1417" w:type="dxa"/>
            <w:tcBorders>
              <w:left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规范信访行为</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tcBorders>
              <w:righ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left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落实维护稳定工作的责任措施</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tcBorders>
              <w:righ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left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矛盾纠纷调处率（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7"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4、　　综治</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社会治安综合治理工作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规范管理，掌握工作信息及动态，开展防范和处理邪教问题</w:t>
            </w:r>
          </w:p>
        </w:tc>
        <w:tc>
          <w:tcPr>
            <w:tcW w:w="1417" w:type="dxa"/>
            <w:tcBorders>
              <w:bottom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按照规范化、制度化建立台账</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邪教排查</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打击违法犯罪，维护社会治安。</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41" w:type="dxa"/>
            <w:vMerge w:val="restart"/>
            <w:shd w:val="clear" w:color="auto" w:fill="auto"/>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5、应急</w:t>
            </w:r>
          </w:p>
        </w:tc>
        <w:tc>
          <w:tcPr>
            <w:tcW w:w="1276" w:type="dxa"/>
            <w:vMerge w:val="restart"/>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做好突发事件的应急处置工作</w:t>
            </w:r>
          </w:p>
        </w:tc>
        <w:tc>
          <w:tcPr>
            <w:tcW w:w="2976"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规范管理</w:t>
            </w:r>
          </w:p>
        </w:tc>
        <w:tc>
          <w:tcPr>
            <w:tcW w:w="1417" w:type="dxa"/>
            <w:tcBorders>
              <w:bottom w:val="single" w:color="auto" w:sz="4" w:space="0"/>
            </w:tcBorders>
            <w:shd w:val="clear" w:color="auto" w:fill="auto"/>
            <w:vAlign w:val="center"/>
          </w:tcPr>
          <w:p>
            <w:pPr>
              <w:spacing w:line="300" w:lineRule="exact"/>
              <w:rPr>
                <w:rFonts w:hint="default" w:ascii="Times New Roman" w:hAnsi="Times New Roman" w:eastAsia="方正书宋_GBK" w:cs="Times New Roman"/>
              </w:rPr>
            </w:pPr>
            <w:r>
              <w:rPr>
                <w:rFonts w:hint="default" w:ascii="Times New Roman" w:hAnsi="Times New Roman" w:eastAsia="方正书宋_GBK" w:cs="Times New Roman"/>
              </w:rPr>
              <w:t>积极宣传</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bottom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突发事件报告及时率（</w:t>
            </w:r>
            <w:r>
              <w:rPr>
                <w:rFonts w:hint="default" w:ascii="Times New Roman" w:hAnsi="Times New Roman" w:eastAsia="方正书宋_GBK" w:cs="Times New Roman"/>
              </w:rPr>
              <w:t>%</w:t>
            </w:r>
            <w:r>
              <w:rPr>
                <w:rFonts w:hint="default" w:ascii="Times New Roman" w:hAnsi="Times New Roman" w:eastAsia="方正书宋_GBK" w:cs="Times New Roman"/>
              </w:rPr>
              <w:t>）</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bottom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 w:hRule="atLeast"/>
          <w:jc w:val="center"/>
        </w:trPr>
        <w:tc>
          <w:tcPr>
            <w:tcW w:w="2341" w:type="dxa"/>
            <w:vMerge w:val="continue"/>
            <w:shd w:val="clear" w:color="auto" w:fill="auto"/>
            <w:vAlign w:val="center"/>
          </w:tcPr>
          <w:p>
            <w:pPr>
              <w:spacing w:line="300" w:lineRule="exact"/>
              <w:jc w:val="left"/>
              <w:rPr>
                <w:rFonts w:hint="default"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417" w:type="dxa"/>
            <w:tcBorders>
              <w:top w:val="single" w:color="auto" w:sz="4" w:space="0"/>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加强管理</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95%</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c>
          <w:tcPr>
            <w:tcW w:w="737" w:type="dxa"/>
            <w:tcBorders>
              <w:top w:val="single" w:color="auto" w:sz="4" w:space="0"/>
            </w:tcBorders>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rPr>
              <w:t>90%</w:t>
            </w:r>
          </w:p>
        </w:tc>
      </w:tr>
    </w:tbl>
    <w:p>
      <w:pPr>
        <w:spacing w:line="300" w:lineRule="exact"/>
        <w:jc w:val="left"/>
        <w:outlineLvl w:val="0"/>
        <w:rPr>
          <w:rFonts w:hint="default" w:ascii="Times New Roman" w:hAnsi="Times New Roman" w:cs="Times New Roman"/>
        </w:rPr>
        <w:sectPr>
          <w:pgSz w:w="16839" w:h="11907" w:orient="landscape"/>
          <w:pgMar w:top="1020" w:right="1361" w:bottom="1020" w:left="1361" w:header="851" w:footer="992" w:gutter="0"/>
          <w:cols w:space="425" w:num="1"/>
          <w:docGrid w:type="lines" w:linePitch="312" w:charSpace="0"/>
        </w:sectPr>
      </w:pPr>
    </w:p>
    <w:p>
      <w:pPr>
        <w:ind w:firstLine="640" w:firstLineChars="200"/>
        <w:rPr>
          <w:rFonts w:hint="default" w:ascii="Times New Roman" w:hAnsi="Times New Roman" w:eastAsia="方正仿宋_GBK" w:cs="Times New Roman"/>
          <w:color w:val="FF0000"/>
          <w:sz w:val="32"/>
          <w:szCs w:val="24"/>
        </w:rPr>
      </w:pPr>
      <w:r>
        <w:rPr>
          <w:rFonts w:hint="default" w:ascii="Times New Roman" w:hAnsi="Times New Roman" w:eastAsia="黑体" w:cs="Times New Roman"/>
          <w:sz w:val="32"/>
          <w:szCs w:val="32"/>
        </w:rPr>
        <w:t>六、政府采购预算情况</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24"/>
        </w:rPr>
        <w:t>本部门无政府采购预算。</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七、国有资产信息</w:t>
      </w:r>
    </w:p>
    <w:p>
      <w:pPr>
        <w:ind w:firstLine="640"/>
        <w:rPr>
          <w:rFonts w:hint="default" w:ascii="Times New Roman" w:hAnsi="Times New Roman" w:eastAsia="仿宋_GB2312" w:cs="Times New Roman"/>
          <w:color w:val="FF0000"/>
          <w:sz w:val="32"/>
          <w:szCs w:val="32"/>
        </w:rPr>
      </w:pPr>
      <w:r>
        <w:rPr>
          <w:rFonts w:hint="default" w:ascii="Times New Roman" w:hAnsi="Times New Roman" w:eastAsia="方正仿宋简体" w:cs="Times New Roman"/>
          <w:sz w:val="32"/>
          <w:szCs w:val="24"/>
        </w:rPr>
        <w:t>上年末固定资产金额为</w:t>
      </w:r>
      <w:r>
        <w:rPr>
          <w:rFonts w:hint="default" w:ascii="Times New Roman" w:hAnsi="Times New Roman" w:eastAsia="方正仿宋简体" w:cs="Times New Roman"/>
          <w:sz w:val="32"/>
          <w:szCs w:val="32"/>
        </w:rPr>
        <w:t>4189.41</w:t>
      </w:r>
      <w:r>
        <w:rPr>
          <w:rFonts w:hint="default" w:ascii="Times New Roman" w:hAnsi="Times New Roman" w:eastAsia="方正仿宋简体" w:cs="Times New Roman"/>
          <w:sz w:val="32"/>
          <w:szCs w:val="24"/>
        </w:rPr>
        <w:t>万元（详见下表）。</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秦皇岛北戴河新区南戴河街道办事处固定资产占用情况表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编制部门：秦皇岛北戴河新区南戴河街道办事处</w:t>
            </w:r>
          </w:p>
        </w:tc>
        <w:tc>
          <w:tcPr>
            <w:tcW w:w="5103" w:type="dxa"/>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4189.41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78549</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3561.15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78549</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3561.15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16</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327.20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301.06</w:t>
            </w:r>
          </w:p>
        </w:tc>
      </w:tr>
    </w:tbl>
    <w:p>
      <w:pPr>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说明：1、实有车辆2辆，其余为公车改革按规定封存待上缴未办理处置手续的车辆。</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八、名词解释</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九、其他需要说明的事项</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无。</w:t>
      </w:r>
    </w:p>
    <w:p>
      <w:pPr>
        <w:ind w:firstLine="640" w:firstLineChars="200"/>
        <w:rPr>
          <w:rFonts w:hint="default" w:ascii="Times New Roman" w:hAnsi="Times New Roman" w:eastAsia="仿宋_GB2312" w:cs="Times New Roman"/>
          <w:sz w:val="32"/>
          <w:szCs w:val="32"/>
        </w:rPr>
      </w:pPr>
    </w:p>
    <w:bookmarkEnd w:id="4"/>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227F2"/>
    <w:multiLevelType w:val="singleLevel"/>
    <w:tmpl w:val="5E5227F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279"/>
    <w:rsid w:val="00037AF6"/>
    <w:rsid w:val="00041994"/>
    <w:rsid w:val="00075D5F"/>
    <w:rsid w:val="000A6B33"/>
    <w:rsid w:val="000B3E8D"/>
    <w:rsid w:val="000C3A19"/>
    <w:rsid w:val="000D3F0D"/>
    <w:rsid w:val="001245BB"/>
    <w:rsid w:val="00174EBC"/>
    <w:rsid w:val="001E4577"/>
    <w:rsid w:val="00232292"/>
    <w:rsid w:val="00241FD4"/>
    <w:rsid w:val="00251B12"/>
    <w:rsid w:val="00256F62"/>
    <w:rsid w:val="00292E8E"/>
    <w:rsid w:val="00296113"/>
    <w:rsid w:val="002F3E58"/>
    <w:rsid w:val="0030542C"/>
    <w:rsid w:val="00311B7A"/>
    <w:rsid w:val="00314C7B"/>
    <w:rsid w:val="00346B63"/>
    <w:rsid w:val="00364058"/>
    <w:rsid w:val="003D0926"/>
    <w:rsid w:val="003F082D"/>
    <w:rsid w:val="00425522"/>
    <w:rsid w:val="00451871"/>
    <w:rsid w:val="004547AD"/>
    <w:rsid w:val="00472923"/>
    <w:rsid w:val="004E3066"/>
    <w:rsid w:val="004E74CD"/>
    <w:rsid w:val="005549F6"/>
    <w:rsid w:val="00573562"/>
    <w:rsid w:val="00614A29"/>
    <w:rsid w:val="006509AF"/>
    <w:rsid w:val="0065186F"/>
    <w:rsid w:val="006C3478"/>
    <w:rsid w:val="006D0BF7"/>
    <w:rsid w:val="006E3FDA"/>
    <w:rsid w:val="00751FE1"/>
    <w:rsid w:val="0075393C"/>
    <w:rsid w:val="00776C08"/>
    <w:rsid w:val="007D10FB"/>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99264D"/>
    <w:rsid w:val="00A72D2E"/>
    <w:rsid w:val="00A911E7"/>
    <w:rsid w:val="00A939D9"/>
    <w:rsid w:val="00AB1673"/>
    <w:rsid w:val="00AD44A3"/>
    <w:rsid w:val="00B20712"/>
    <w:rsid w:val="00B43238"/>
    <w:rsid w:val="00B75216"/>
    <w:rsid w:val="00B91D52"/>
    <w:rsid w:val="00BA1ACD"/>
    <w:rsid w:val="00BA49AE"/>
    <w:rsid w:val="00CA7176"/>
    <w:rsid w:val="00CB0DD3"/>
    <w:rsid w:val="00CC163D"/>
    <w:rsid w:val="00CD2773"/>
    <w:rsid w:val="00CE143B"/>
    <w:rsid w:val="00D74B13"/>
    <w:rsid w:val="00D8117B"/>
    <w:rsid w:val="00DA16A9"/>
    <w:rsid w:val="00E167C7"/>
    <w:rsid w:val="00E60BB5"/>
    <w:rsid w:val="00EC47F6"/>
    <w:rsid w:val="00F212E0"/>
    <w:rsid w:val="00F24692"/>
    <w:rsid w:val="00F66032"/>
    <w:rsid w:val="00F958C2"/>
    <w:rsid w:val="01FB23CB"/>
    <w:rsid w:val="08FC39EA"/>
    <w:rsid w:val="0B0D77B0"/>
    <w:rsid w:val="0C3D5924"/>
    <w:rsid w:val="0D9F1876"/>
    <w:rsid w:val="105A554E"/>
    <w:rsid w:val="10ED36A0"/>
    <w:rsid w:val="114917E9"/>
    <w:rsid w:val="123662F7"/>
    <w:rsid w:val="14182FF4"/>
    <w:rsid w:val="141A027B"/>
    <w:rsid w:val="15D150E4"/>
    <w:rsid w:val="15F42192"/>
    <w:rsid w:val="1676077C"/>
    <w:rsid w:val="19C36DAA"/>
    <w:rsid w:val="1A5D684E"/>
    <w:rsid w:val="1ABE55EE"/>
    <w:rsid w:val="1CCD46A7"/>
    <w:rsid w:val="1D954D97"/>
    <w:rsid w:val="2A012DF7"/>
    <w:rsid w:val="2B336029"/>
    <w:rsid w:val="303D4E30"/>
    <w:rsid w:val="30C94CFA"/>
    <w:rsid w:val="316E2FA4"/>
    <w:rsid w:val="33C7513B"/>
    <w:rsid w:val="34101B80"/>
    <w:rsid w:val="348E0DE0"/>
    <w:rsid w:val="3507028C"/>
    <w:rsid w:val="3595643A"/>
    <w:rsid w:val="38E01BC5"/>
    <w:rsid w:val="3CD42DDC"/>
    <w:rsid w:val="3E872173"/>
    <w:rsid w:val="3F4328FC"/>
    <w:rsid w:val="429960CF"/>
    <w:rsid w:val="43620292"/>
    <w:rsid w:val="43774C5E"/>
    <w:rsid w:val="45C76287"/>
    <w:rsid w:val="468F0209"/>
    <w:rsid w:val="471D5503"/>
    <w:rsid w:val="47AC6EEA"/>
    <w:rsid w:val="492C0AE6"/>
    <w:rsid w:val="4A5B700A"/>
    <w:rsid w:val="4A767302"/>
    <w:rsid w:val="4AD55D9B"/>
    <w:rsid w:val="4DF57B76"/>
    <w:rsid w:val="519B2027"/>
    <w:rsid w:val="541C1C0A"/>
    <w:rsid w:val="55145A25"/>
    <w:rsid w:val="55383E38"/>
    <w:rsid w:val="55CC589A"/>
    <w:rsid w:val="5911172D"/>
    <w:rsid w:val="59870472"/>
    <w:rsid w:val="5E731884"/>
    <w:rsid w:val="6047180F"/>
    <w:rsid w:val="62A21B46"/>
    <w:rsid w:val="636A2005"/>
    <w:rsid w:val="66E33E76"/>
    <w:rsid w:val="67706CC4"/>
    <w:rsid w:val="678A783D"/>
    <w:rsid w:val="685B7F7B"/>
    <w:rsid w:val="68885548"/>
    <w:rsid w:val="69F911E0"/>
    <w:rsid w:val="6B271584"/>
    <w:rsid w:val="6C053E44"/>
    <w:rsid w:val="6CA86ED0"/>
    <w:rsid w:val="724C7A91"/>
    <w:rsid w:val="72617A36"/>
    <w:rsid w:val="77F30958"/>
    <w:rsid w:val="78CE4D75"/>
    <w:rsid w:val="7C886FFB"/>
    <w:rsid w:val="7DCE7E52"/>
    <w:rsid w:val="7EB2342C"/>
    <w:rsid w:val="7FBC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6"/>
    <w:semiHidden/>
    <w:unhideWhenUsed/>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toc 2"/>
    <w:basedOn w:val="1"/>
    <w:next w:val="1"/>
    <w:qFormat/>
    <w:uiPriority w:val="0"/>
    <w:pPr>
      <w:ind w:left="420" w:leftChars="200"/>
    </w:pPr>
    <w:rPr>
      <w:rFonts w:ascii="Times New Roman" w:hAnsi="Times New Roman" w:cs="Times New Roman"/>
      <w:szCs w:val="24"/>
    </w:rPr>
  </w:style>
  <w:style w:type="paragraph" w:styleId="8">
    <w:name w:val="annotation subject"/>
    <w:basedOn w:val="2"/>
    <w:next w:val="2"/>
    <w:link w:val="15"/>
    <w:semiHidden/>
    <w:unhideWhenUsed/>
    <w:qFormat/>
    <w:uiPriority w:val="0"/>
    <w:rPr>
      <w:b/>
      <w:bCs/>
    </w:rPr>
  </w:style>
  <w:style w:type="character" w:styleId="11">
    <w:name w:val="annotation reference"/>
    <w:basedOn w:val="10"/>
    <w:semiHidden/>
    <w:unhideWhenUsed/>
    <w:qFormat/>
    <w:uiPriority w:val="0"/>
    <w:rPr>
      <w:sz w:val="21"/>
      <w:szCs w:val="21"/>
    </w:rPr>
  </w:style>
  <w:style w:type="character" w:customStyle="1" w:styleId="12">
    <w:name w:val="页眉 Char"/>
    <w:basedOn w:val="10"/>
    <w:link w:val="5"/>
    <w:qFormat/>
    <w:uiPriority w:val="0"/>
    <w:rPr>
      <w:rFonts w:ascii="Times New Roman" w:hAnsi="Times New Roman" w:eastAsia="宋体" w:cs="Times New Roman"/>
      <w:sz w:val="18"/>
      <w:szCs w:val="18"/>
    </w:rPr>
  </w:style>
  <w:style w:type="character" w:customStyle="1" w:styleId="13">
    <w:name w:val="页脚 Char"/>
    <w:basedOn w:val="10"/>
    <w:link w:val="4"/>
    <w:qFormat/>
    <w:uiPriority w:val="0"/>
    <w:rPr>
      <w:rFonts w:ascii="Times New Roman" w:hAnsi="Times New Roman" w:eastAsia="宋体" w:cs="Times New Roman"/>
      <w:sz w:val="18"/>
      <w:szCs w:val="18"/>
    </w:rPr>
  </w:style>
  <w:style w:type="character" w:customStyle="1" w:styleId="14">
    <w:name w:val="批注文字 Char"/>
    <w:basedOn w:val="10"/>
    <w:link w:val="2"/>
    <w:semiHidden/>
    <w:qFormat/>
    <w:uiPriority w:val="0"/>
    <w:rPr>
      <w:rFonts w:ascii="Calibri" w:hAnsi="Calibri" w:cs="黑体"/>
      <w:kern w:val="2"/>
      <w:sz w:val="21"/>
      <w:szCs w:val="22"/>
    </w:rPr>
  </w:style>
  <w:style w:type="character" w:customStyle="1" w:styleId="15">
    <w:name w:val="批注主题 Char"/>
    <w:basedOn w:val="14"/>
    <w:link w:val="8"/>
    <w:semiHidden/>
    <w:qFormat/>
    <w:uiPriority w:val="0"/>
    <w:rPr>
      <w:rFonts w:ascii="Calibri" w:hAnsi="Calibri" w:cs="黑体"/>
      <w:b/>
      <w:bCs/>
      <w:kern w:val="2"/>
      <w:sz w:val="21"/>
      <w:szCs w:val="22"/>
    </w:rPr>
  </w:style>
  <w:style w:type="character" w:customStyle="1" w:styleId="16">
    <w:name w:val="批注框文本 Char"/>
    <w:basedOn w:val="10"/>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802</Words>
  <Characters>4572</Characters>
  <Lines>38</Lines>
  <Paragraphs>10</Paragraphs>
  <TotalTime>0</TotalTime>
  <ScaleCrop>false</ScaleCrop>
  <LinksUpToDate>false</LinksUpToDate>
  <CharactersWithSpaces>5364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2019-02-26T08:44:00Z</cp:lastPrinted>
  <dcterms:modified xsi:type="dcterms:W3CDTF">2021-05-20T07:22:33Z</dcterms:modified>
  <dc:title>河北省2017年部门预算信息公开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