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北戴河新区商务合作局</w:t>
      </w:r>
      <w:r>
        <w:rPr>
          <w:rFonts w:hint="default" w:ascii="Times New Roman" w:hAnsi="Times New Roman" w:eastAsia="方正小标宋简体" w:cs="Times New Roman"/>
          <w:sz w:val="44"/>
          <w:szCs w:val="44"/>
        </w:rPr>
        <w:t>2019</w:t>
      </w:r>
      <w:r>
        <w:rPr>
          <w:rFonts w:hint="default" w:ascii="Times New Roman" w:hAnsi="Times New Roman" w:eastAsia="方正小标宋简体" w:cs="Times New Roman"/>
          <w:sz w:val="44"/>
          <w:szCs w:val="44"/>
        </w:rPr>
        <w:t>年部门预算信息公开说明</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按照《预算法》、《地方预决算公开操作规程》和《河北省省级预算公开办法》规定，现将</w:t>
      </w:r>
      <w:r>
        <w:rPr>
          <w:rFonts w:hint="default" w:ascii="Times New Roman" w:hAnsi="Times New Roman" w:eastAsia="方正仿宋简体" w:cs="Times New Roman"/>
          <w:sz w:val="32"/>
          <w:szCs w:val="32"/>
        </w:rPr>
        <w:t>2019</w:t>
      </w:r>
      <w:r>
        <w:rPr>
          <w:rFonts w:hint="default" w:ascii="Times New Roman" w:hAnsi="Times New Roman" w:eastAsia="方正仿宋简体" w:cs="Times New Roman"/>
          <w:sz w:val="32"/>
          <w:szCs w:val="32"/>
        </w:rPr>
        <w:t>年部门预算公开如下：</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一、部门职责及机构设置情况</w:t>
      </w:r>
    </w:p>
    <w:p>
      <w:pPr>
        <w:spacing w:line="52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部门职责：</w:t>
      </w:r>
      <w:r>
        <w:rPr>
          <w:rFonts w:hint="default" w:ascii="Times New Roman" w:hAnsi="Times New Roman" w:eastAsia="方正仿宋简体" w:cs="Times New Roman"/>
          <w:sz w:val="32"/>
          <w:szCs w:val="32"/>
        </w:rPr>
        <w:t>对内商贸管理；开拓国内市场</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农村电子商务建设</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促进商贸流通</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消费市场调控</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对外贸易管理</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招商引资</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发展服务贸易和服务外包</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促进对外经贸服务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提高外贸市场竞争能力</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综合业务管理</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综合事务管理。</w:t>
      </w:r>
    </w:p>
    <w:p>
      <w:pPr>
        <w:spacing w:line="300" w:lineRule="exact"/>
        <w:rPr>
          <w:rFonts w:hint="default" w:ascii="Times New Roman" w:hAnsi="Times New Roman" w:eastAsia="方正书宋_GBK" w:cs="Times New Roman"/>
        </w:rPr>
      </w:pPr>
    </w:p>
    <w:p>
      <w:pPr>
        <w:autoSpaceDE w:val="0"/>
        <w:autoSpaceDN w:val="0"/>
        <w:adjustRightInd w:val="0"/>
        <w:ind w:firstLine="643" w:firstLineChars="200"/>
        <w:jc w:val="lef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机构设置：</w:t>
      </w:r>
    </w:p>
    <w:p>
      <w:pPr>
        <w:jc w:val="center"/>
        <w:outlineLvl w:val="0"/>
        <w:rPr>
          <w:rFonts w:hint="default" w:ascii="Times New Roman" w:hAnsi="Times New Roman" w:eastAsia="方正小标宋_GBK" w:cs="Times New Roman"/>
          <w:sz w:val="32"/>
          <w:szCs w:val="24"/>
        </w:rPr>
      </w:pPr>
      <w:r>
        <w:rPr>
          <w:rFonts w:hint="default" w:ascii="Times New Roman" w:hAnsi="Times New Roman" w:eastAsia="方正小标宋_GBK" w:cs="Times New Roman"/>
          <w:sz w:val="32"/>
          <w:szCs w:val="24"/>
        </w:rPr>
        <w:t>部门机构设置情况</w:t>
      </w:r>
    </w:p>
    <w:tbl>
      <w:tblPr>
        <w:tblStyle w:val="9"/>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hint="default" w:ascii="Times New Roman" w:hAnsi="Times New Roman" w:cs="Times New Roman"/>
                <w:szCs w:val="24"/>
              </w:rPr>
            </w:pPr>
          </w:p>
        </w:tc>
        <w:tc>
          <w:tcPr>
            <w:tcW w:w="1134" w:type="dxa"/>
            <w:vMerge w:val="continue"/>
            <w:vAlign w:val="center"/>
          </w:tcPr>
          <w:p>
            <w:pPr>
              <w:spacing w:line="300" w:lineRule="exact"/>
              <w:jc w:val="left"/>
              <w:outlineLvl w:val="0"/>
              <w:rPr>
                <w:rFonts w:hint="default" w:ascii="Times New Roman" w:hAnsi="Times New Roman" w:cs="Times New Roman"/>
                <w:szCs w:val="24"/>
              </w:rPr>
            </w:pPr>
          </w:p>
        </w:tc>
        <w:tc>
          <w:tcPr>
            <w:tcW w:w="1276" w:type="dxa"/>
            <w:vMerge w:val="continue"/>
            <w:vAlign w:val="center"/>
          </w:tcPr>
          <w:p>
            <w:pPr>
              <w:spacing w:line="300" w:lineRule="exact"/>
              <w:jc w:val="left"/>
              <w:outlineLvl w:val="0"/>
              <w:rPr>
                <w:rFonts w:hint="default" w:ascii="Times New Roman" w:hAnsi="Times New Roman" w:cs="Times New Roman"/>
                <w:szCs w:val="24"/>
              </w:rPr>
            </w:pPr>
          </w:p>
        </w:tc>
        <w:tc>
          <w:tcPr>
            <w:tcW w:w="2902" w:type="dxa"/>
            <w:vMerge w:val="continue"/>
            <w:vAlign w:val="center"/>
          </w:tcPr>
          <w:p>
            <w:pPr>
              <w:spacing w:line="300" w:lineRule="exact"/>
              <w:jc w:val="left"/>
              <w:outlineLvl w:val="0"/>
              <w:rPr>
                <w:rFonts w:hint="default"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Times New Roman" w:hAnsi="Times New Roman" w:eastAsia="方正书宋_GBK" w:cs="Times New Roman"/>
                <w:szCs w:val="24"/>
              </w:rPr>
            </w:pPr>
            <w:r>
              <w:rPr>
                <w:rFonts w:hint="default" w:ascii="Times New Roman" w:hAnsi="Times New Roman" w:eastAsia="方正书宋_GBK" w:cs="Times New Roman"/>
              </w:rPr>
              <w:t>北戴河新区商务合作局</w:t>
            </w:r>
          </w:p>
        </w:tc>
        <w:tc>
          <w:tcPr>
            <w:tcW w:w="1134" w:type="dxa"/>
            <w:vAlign w:val="center"/>
          </w:tcPr>
          <w:p>
            <w:pPr>
              <w:spacing w:line="300" w:lineRule="exact"/>
              <w:jc w:val="center"/>
              <w:rPr>
                <w:rFonts w:hint="default" w:ascii="Times New Roman" w:hAnsi="Times New Roman" w:eastAsia="方正书宋_GBK" w:cs="Times New Roman"/>
                <w:szCs w:val="24"/>
              </w:rPr>
            </w:pPr>
            <w:r>
              <w:rPr>
                <w:rFonts w:hint="default" w:ascii="Times New Roman" w:hAnsi="Times New Roman" w:eastAsia="方正书宋_GBK" w:cs="Times New Roman"/>
              </w:rPr>
              <w:t>行政</w:t>
            </w:r>
          </w:p>
        </w:tc>
        <w:tc>
          <w:tcPr>
            <w:tcW w:w="1276" w:type="dxa"/>
            <w:vAlign w:val="center"/>
          </w:tcPr>
          <w:p>
            <w:pPr>
              <w:spacing w:line="300" w:lineRule="exact"/>
              <w:jc w:val="center"/>
              <w:rPr>
                <w:rFonts w:hint="default" w:ascii="Times New Roman" w:hAnsi="Times New Roman" w:eastAsia="方正书宋_GBK" w:cs="Times New Roman"/>
                <w:szCs w:val="24"/>
              </w:rPr>
            </w:pPr>
            <w:r>
              <w:rPr>
                <w:rFonts w:hint="default" w:ascii="Times New Roman" w:hAnsi="Times New Roman" w:eastAsia="方正书宋_GBK" w:cs="Times New Roman"/>
              </w:rPr>
              <w:t>副处级</w:t>
            </w:r>
          </w:p>
        </w:tc>
        <w:tc>
          <w:tcPr>
            <w:tcW w:w="2902" w:type="dxa"/>
            <w:vAlign w:val="center"/>
          </w:tcPr>
          <w:p>
            <w:pPr>
              <w:spacing w:line="300" w:lineRule="exact"/>
              <w:jc w:val="center"/>
              <w:rPr>
                <w:rFonts w:hint="default" w:ascii="Times New Roman" w:hAnsi="Times New Roman" w:eastAsia="方正书宋_GBK" w:cs="Times New Roman"/>
                <w:szCs w:val="24"/>
              </w:rPr>
            </w:pPr>
            <w:r>
              <w:rPr>
                <w:rFonts w:hint="default" w:ascii="Times New Roman" w:hAnsi="Times New Roman" w:eastAsia="方正书宋_GBK" w:cs="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Times New Roman" w:hAnsi="Times New Roman" w:eastAsia="方正书宋_GBK" w:cs="Times New Roman"/>
                <w:color w:val="FF0000"/>
              </w:rPr>
            </w:pPr>
          </w:p>
        </w:tc>
        <w:tc>
          <w:tcPr>
            <w:tcW w:w="1134" w:type="dxa"/>
            <w:vAlign w:val="center"/>
          </w:tcPr>
          <w:p>
            <w:pPr>
              <w:spacing w:line="300" w:lineRule="exact"/>
              <w:jc w:val="center"/>
              <w:rPr>
                <w:rFonts w:hint="default" w:ascii="Times New Roman" w:hAnsi="Times New Roman" w:eastAsia="方正书宋_GBK" w:cs="Times New Roman"/>
                <w:szCs w:val="24"/>
              </w:rPr>
            </w:pPr>
          </w:p>
        </w:tc>
        <w:tc>
          <w:tcPr>
            <w:tcW w:w="1276" w:type="dxa"/>
            <w:vAlign w:val="center"/>
          </w:tcPr>
          <w:p>
            <w:pPr>
              <w:spacing w:line="300" w:lineRule="exact"/>
              <w:jc w:val="center"/>
              <w:rPr>
                <w:rFonts w:hint="default" w:ascii="Times New Roman" w:hAnsi="Times New Roman" w:eastAsia="方正书宋_GBK" w:cs="Times New Roman"/>
                <w:szCs w:val="24"/>
              </w:rPr>
            </w:pPr>
          </w:p>
        </w:tc>
        <w:tc>
          <w:tcPr>
            <w:tcW w:w="2902" w:type="dxa"/>
            <w:vAlign w:val="center"/>
          </w:tcPr>
          <w:p>
            <w:pPr>
              <w:spacing w:line="300" w:lineRule="exact"/>
              <w:jc w:val="center"/>
              <w:rPr>
                <w:rFonts w:hint="default"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Times New Roman" w:hAnsi="Times New Roman" w:eastAsia="方正书宋_GBK" w:cs="Times New Roman"/>
                <w:szCs w:val="24"/>
              </w:rPr>
            </w:pPr>
          </w:p>
        </w:tc>
        <w:tc>
          <w:tcPr>
            <w:tcW w:w="1134" w:type="dxa"/>
            <w:vAlign w:val="center"/>
          </w:tcPr>
          <w:p>
            <w:pPr>
              <w:spacing w:line="300" w:lineRule="exact"/>
              <w:jc w:val="center"/>
              <w:rPr>
                <w:rFonts w:hint="default" w:ascii="Times New Roman" w:hAnsi="Times New Roman" w:eastAsia="方正书宋_GBK" w:cs="Times New Roman"/>
                <w:szCs w:val="24"/>
              </w:rPr>
            </w:pPr>
          </w:p>
        </w:tc>
        <w:tc>
          <w:tcPr>
            <w:tcW w:w="1276" w:type="dxa"/>
            <w:vAlign w:val="center"/>
          </w:tcPr>
          <w:p>
            <w:pPr>
              <w:spacing w:line="300" w:lineRule="exact"/>
              <w:jc w:val="center"/>
              <w:rPr>
                <w:rFonts w:hint="default" w:ascii="Times New Roman" w:hAnsi="Times New Roman" w:eastAsia="方正书宋_GBK" w:cs="Times New Roman"/>
                <w:szCs w:val="24"/>
              </w:rPr>
            </w:pPr>
          </w:p>
        </w:tc>
        <w:tc>
          <w:tcPr>
            <w:tcW w:w="2902" w:type="dxa"/>
            <w:vAlign w:val="center"/>
          </w:tcPr>
          <w:p>
            <w:pPr>
              <w:spacing w:line="300" w:lineRule="exact"/>
              <w:jc w:val="center"/>
              <w:rPr>
                <w:rFonts w:hint="default"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Times New Roman" w:hAnsi="Times New Roman" w:eastAsia="方正书宋_GBK" w:cs="Times New Roman"/>
                <w:szCs w:val="24"/>
              </w:rPr>
            </w:pPr>
          </w:p>
        </w:tc>
        <w:tc>
          <w:tcPr>
            <w:tcW w:w="1134" w:type="dxa"/>
            <w:vAlign w:val="center"/>
          </w:tcPr>
          <w:p>
            <w:pPr>
              <w:spacing w:line="300" w:lineRule="exact"/>
              <w:jc w:val="center"/>
              <w:rPr>
                <w:rFonts w:hint="default" w:ascii="Times New Roman" w:hAnsi="Times New Roman" w:eastAsia="方正书宋_GBK" w:cs="Times New Roman"/>
                <w:szCs w:val="24"/>
              </w:rPr>
            </w:pPr>
          </w:p>
        </w:tc>
        <w:tc>
          <w:tcPr>
            <w:tcW w:w="1276" w:type="dxa"/>
            <w:vAlign w:val="center"/>
          </w:tcPr>
          <w:p>
            <w:pPr>
              <w:spacing w:line="300" w:lineRule="exact"/>
              <w:jc w:val="center"/>
              <w:rPr>
                <w:rFonts w:hint="default" w:ascii="Times New Roman" w:hAnsi="Times New Roman" w:eastAsia="方正书宋_GBK" w:cs="Times New Roman"/>
                <w:szCs w:val="24"/>
              </w:rPr>
            </w:pPr>
          </w:p>
        </w:tc>
        <w:tc>
          <w:tcPr>
            <w:tcW w:w="2902" w:type="dxa"/>
            <w:vAlign w:val="center"/>
          </w:tcPr>
          <w:p>
            <w:pPr>
              <w:spacing w:line="300" w:lineRule="exact"/>
              <w:jc w:val="center"/>
              <w:rPr>
                <w:rFonts w:hint="default" w:ascii="Times New Roman" w:hAnsi="Times New Roman" w:eastAsia="方正书宋_GBK" w:cs="Times New Roman"/>
                <w:szCs w:val="24"/>
              </w:rPr>
            </w:pPr>
          </w:p>
        </w:tc>
      </w:tr>
    </w:tbl>
    <w:p>
      <w:pPr>
        <w:rPr>
          <w:rFonts w:hint="default" w:ascii="Times New Roman" w:hAnsi="Times New Roman" w:cs="Times New Roman"/>
        </w:rPr>
      </w:pP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二、部门预算安排的总体情况</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按照预算管理有关规定，目前我区部门预算的编制实行综合预算制度，即全部收入和支出都反映在预算中。商务合作局的收支包含在部门预算中。</w:t>
      </w:r>
    </w:p>
    <w:p>
      <w:pPr>
        <w:ind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1.</w:t>
      </w:r>
      <w:r>
        <w:rPr>
          <w:rFonts w:hint="default" w:ascii="Times New Roman" w:hAnsi="Times New Roman" w:eastAsia="方正仿宋简体" w:cs="Times New Roman"/>
          <w:b/>
          <w:sz w:val="32"/>
          <w:szCs w:val="32"/>
        </w:rPr>
        <w:t>收入说明</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反映本部门当年全部收入，</w:t>
      </w:r>
      <w:r>
        <w:rPr>
          <w:rFonts w:hint="default" w:ascii="Times New Roman" w:hAnsi="Times New Roman" w:eastAsia="方正仿宋简体" w:cs="Times New Roman"/>
          <w:sz w:val="32"/>
          <w:szCs w:val="32"/>
        </w:rPr>
        <w:t>2019</w:t>
      </w:r>
      <w:r>
        <w:rPr>
          <w:rFonts w:hint="default" w:ascii="Times New Roman" w:hAnsi="Times New Roman" w:eastAsia="方正仿宋简体" w:cs="Times New Roman"/>
          <w:sz w:val="32"/>
          <w:szCs w:val="32"/>
        </w:rPr>
        <w:t>年预算收入</w:t>
      </w:r>
      <w:r>
        <w:rPr>
          <w:rFonts w:hint="default" w:ascii="Times New Roman" w:hAnsi="Times New Roman" w:eastAsia="方正仿宋简体" w:cs="Times New Roman"/>
          <w:sz w:val="32"/>
          <w:szCs w:val="32"/>
        </w:rPr>
        <w:t>598.03</w:t>
      </w:r>
      <w:r>
        <w:rPr>
          <w:rFonts w:hint="default" w:ascii="Times New Roman" w:hAnsi="Times New Roman" w:eastAsia="方正仿宋简体" w:cs="Times New Roman"/>
          <w:sz w:val="32"/>
          <w:szCs w:val="32"/>
        </w:rPr>
        <w:t>万元，其中：一般公共预算拨款</w:t>
      </w:r>
      <w:r>
        <w:rPr>
          <w:rFonts w:hint="default" w:ascii="Times New Roman" w:hAnsi="Times New Roman" w:eastAsia="方正仿宋简体" w:cs="Times New Roman"/>
          <w:sz w:val="32"/>
          <w:szCs w:val="32"/>
        </w:rPr>
        <w:t>598.03</w:t>
      </w:r>
      <w:r>
        <w:rPr>
          <w:rFonts w:hint="default" w:ascii="Times New Roman" w:hAnsi="Times New Roman" w:eastAsia="方正仿宋简体" w:cs="Times New Roman"/>
          <w:sz w:val="32"/>
          <w:szCs w:val="32"/>
        </w:rPr>
        <w:t>万元（无非限额补助，无提前通知转移支付）；无基金预算拨款。</w:t>
      </w:r>
    </w:p>
    <w:p>
      <w:pPr>
        <w:ind w:left="64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w:t>
      </w:r>
      <w:r>
        <w:rPr>
          <w:rFonts w:hint="default" w:ascii="Times New Roman" w:hAnsi="Times New Roman" w:eastAsia="方正仿宋简体" w:cs="Times New Roman"/>
          <w:b/>
          <w:sz w:val="32"/>
          <w:szCs w:val="32"/>
        </w:rPr>
        <w:t>支出说明</w:t>
      </w:r>
    </w:p>
    <w:p>
      <w:pPr>
        <w:ind w:firstLine="480" w:firstLineChars="15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部门预算收支总表支出栏、基本支出表、项目支出表按经济分类和支出功能分类科目编制，反映部门预算中支出预算的总体情况。</w:t>
      </w:r>
      <w:r>
        <w:rPr>
          <w:rFonts w:hint="default" w:ascii="Times New Roman" w:hAnsi="Times New Roman" w:eastAsia="方正仿宋简体" w:cs="Times New Roman"/>
          <w:sz w:val="32"/>
          <w:szCs w:val="32"/>
        </w:rPr>
        <w:t>2019</w:t>
      </w:r>
      <w:r>
        <w:rPr>
          <w:rFonts w:hint="default" w:ascii="Times New Roman" w:hAnsi="Times New Roman" w:eastAsia="方正仿宋简体" w:cs="Times New Roman"/>
          <w:sz w:val="32"/>
          <w:szCs w:val="32"/>
        </w:rPr>
        <w:t>年部门支出预算为</w:t>
      </w:r>
      <w:r>
        <w:rPr>
          <w:rFonts w:hint="default" w:ascii="Times New Roman" w:hAnsi="Times New Roman" w:eastAsia="方正仿宋简体" w:cs="Times New Roman"/>
          <w:sz w:val="32"/>
          <w:szCs w:val="32"/>
        </w:rPr>
        <w:t>598.03</w:t>
      </w:r>
      <w:r>
        <w:rPr>
          <w:rFonts w:hint="default" w:ascii="Times New Roman" w:hAnsi="Times New Roman" w:eastAsia="方正仿宋简体" w:cs="Times New Roman"/>
          <w:sz w:val="32"/>
          <w:szCs w:val="32"/>
        </w:rPr>
        <w:t>万元，其中基本支出</w:t>
      </w:r>
      <w:r>
        <w:rPr>
          <w:rFonts w:hint="default" w:ascii="Times New Roman" w:hAnsi="Times New Roman" w:eastAsia="方正仿宋简体" w:cs="Times New Roman"/>
          <w:sz w:val="32"/>
          <w:szCs w:val="32"/>
        </w:rPr>
        <w:t>354.03</w:t>
      </w:r>
      <w:r>
        <w:rPr>
          <w:rFonts w:hint="default" w:ascii="Times New Roman" w:hAnsi="Times New Roman" w:eastAsia="方正仿宋简体" w:cs="Times New Roman"/>
          <w:sz w:val="32"/>
          <w:szCs w:val="32"/>
        </w:rPr>
        <w:t>万元，包括人员经费</w:t>
      </w:r>
      <w:r>
        <w:rPr>
          <w:rFonts w:hint="default" w:ascii="Times New Roman" w:hAnsi="Times New Roman" w:eastAsia="方正仿宋简体" w:cs="Times New Roman"/>
          <w:sz w:val="32"/>
          <w:szCs w:val="32"/>
        </w:rPr>
        <w:t>324.49</w:t>
      </w:r>
      <w:r>
        <w:rPr>
          <w:rFonts w:hint="default" w:ascii="Times New Roman" w:hAnsi="Times New Roman" w:eastAsia="方正仿宋简体" w:cs="Times New Roman"/>
          <w:sz w:val="32"/>
          <w:szCs w:val="32"/>
        </w:rPr>
        <w:t>万元和日常公用经费</w:t>
      </w:r>
      <w:r>
        <w:rPr>
          <w:rFonts w:hint="default" w:ascii="Times New Roman" w:hAnsi="Times New Roman" w:eastAsia="方正仿宋简体" w:cs="Times New Roman"/>
          <w:sz w:val="32"/>
          <w:szCs w:val="32"/>
        </w:rPr>
        <w:t>29.54</w:t>
      </w:r>
      <w:r>
        <w:rPr>
          <w:rFonts w:hint="default" w:ascii="Times New Roman" w:hAnsi="Times New Roman" w:eastAsia="方正仿宋简体" w:cs="Times New Roman"/>
          <w:sz w:val="32"/>
          <w:szCs w:val="32"/>
        </w:rPr>
        <w:t>万元；项目支出</w:t>
      </w:r>
      <w:r>
        <w:rPr>
          <w:rFonts w:hint="default" w:ascii="Times New Roman" w:hAnsi="Times New Roman" w:eastAsia="方正仿宋简体" w:cs="Times New Roman"/>
          <w:sz w:val="32"/>
          <w:szCs w:val="32"/>
        </w:rPr>
        <w:t>244</w:t>
      </w:r>
      <w:r>
        <w:rPr>
          <w:rFonts w:hint="default" w:ascii="Times New Roman" w:hAnsi="Times New Roman" w:eastAsia="方正仿宋简体" w:cs="Times New Roman"/>
          <w:sz w:val="32"/>
          <w:szCs w:val="32"/>
        </w:rPr>
        <w:t>万元，包括商务日常工作经费</w:t>
      </w:r>
      <w:r>
        <w:rPr>
          <w:rFonts w:hint="default" w:ascii="Times New Roman" w:hAnsi="Times New Roman" w:eastAsia="方正仿宋简体" w:cs="Times New Roman"/>
          <w:sz w:val="32"/>
          <w:szCs w:val="32"/>
        </w:rPr>
        <w:t>10</w:t>
      </w:r>
      <w:r>
        <w:rPr>
          <w:rFonts w:hint="default" w:ascii="Times New Roman" w:hAnsi="Times New Roman" w:eastAsia="方正仿宋简体" w:cs="Times New Roman"/>
          <w:sz w:val="32"/>
          <w:szCs w:val="32"/>
        </w:rPr>
        <w:t>万元、招商活动经费</w:t>
      </w:r>
      <w:r>
        <w:rPr>
          <w:rFonts w:hint="default" w:ascii="Times New Roman" w:hAnsi="Times New Roman" w:eastAsia="方正仿宋简体" w:cs="Times New Roman"/>
          <w:sz w:val="32"/>
          <w:szCs w:val="32"/>
        </w:rPr>
        <w:t>120</w:t>
      </w:r>
      <w:r>
        <w:rPr>
          <w:rFonts w:hint="default" w:ascii="Times New Roman" w:hAnsi="Times New Roman" w:eastAsia="方正仿宋简体" w:cs="Times New Roman"/>
          <w:sz w:val="32"/>
          <w:szCs w:val="32"/>
        </w:rPr>
        <w:t>万元、招商日常工作经费</w:t>
      </w:r>
      <w:r>
        <w:rPr>
          <w:rFonts w:hint="default" w:ascii="Times New Roman" w:hAnsi="Times New Roman" w:eastAsia="方正仿宋简体" w:cs="Times New Roman"/>
          <w:sz w:val="32"/>
          <w:szCs w:val="32"/>
        </w:rPr>
        <w:t>14</w:t>
      </w:r>
      <w:r>
        <w:rPr>
          <w:rFonts w:hint="default" w:ascii="Times New Roman" w:hAnsi="Times New Roman" w:eastAsia="方正仿宋简体" w:cs="Times New Roman"/>
          <w:sz w:val="32"/>
          <w:szCs w:val="32"/>
        </w:rPr>
        <w:t>万元、外贸出口奖励区级配套资金</w:t>
      </w:r>
      <w:r>
        <w:rPr>
          <w:rFonts w:hint="default" w:ascii="Times New Roman" w:hAnsi="Times New Roman" w:eastAsia="方正仿宋简体" w:cs="Times New Roman"/>
          <w:sz w:val="32"/>
          <w:szCs w:val="32"/>
        </w:rPr>
        <w:t>100</w:t>
      </w:r>
      <w:r>
        <w:rPr>
          <w:rFonts w:hint="default" w:ascii="Times New Roman" w:hAnsi="Times New Roman" w:eastAsia="方正仿宋简体" w:cs="Times New Roman"/>
          <w:sz w:val="32"/>
          <w:szCs w:val="32"/>
        </w:rPr>
        <w:t>万元。全部为本级支出。</w:t>
      </w:r>
    </w:p>
    <w:p>
      <w:pPr>
        <w:ind w:left="64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3.</w:t>
      </w:r>
      <w:r>
        <w:rPr>
          <w:rFonts w:hint="default" w:ascii="Times New Roman" w:hAnsi="Times New Roman" w:eastAsia="方正仿宋简体" w:cs="Times New Roman"/>
          <w:b/>
          <w:sz w:val="32"/>
          <w:szCs w:val="32"/>
        </w:rPr>
        <w:t>比上年增减情况</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2019</w:t>
      </w:r>
      <w:r>
        <w:rPr>
          <w:rFonts w:hint="default" w:ascii="Times New Roman" w:hAnsi="Times New Roman" w:eastAsia="方正仿宋简体" w:cs="Times New Roman"/>
          <w:sz w:val="32"/>
          <w:szCs w:val="32"/>
        </w:rPr>
        <w:t>年部门预算较</w:t>
      </w:r>
      <w:r>
        <w:rPr>
          <w:rFonts w:hint="default" w:ascii="Times New Roman" w:hAnsi="Times New Roman" w:eastAsia="方正仿宋简体" w:cs="Times New Roman"/>
          <w:sz w:val="32"/>
          <w:szCs w:val="32"/>
        </w:rPr>
        <w:t>2018</w:t>
      </w:r>
      <w:r>
        <w:rPr>
          <w:rFonts w:hint="default" w:ascii="Times New Roman" w:hAnsi="Times New Roman" w:eastAsia="方正仿宋简体" w:cs="Times New Roman"/>
          <w:sz w:val="32"/>
          <w:szCs w:val="32"/>
        </w:rPr>
        <w:t>年增长</w:t>
      </w:r>
      <w:r>
        <w:rPr>
          <w:rFonts w:hint="default" w:ascii="Times New Roman" w:hAnsi="Times New Roman" w:eastAsia="方正仿宋简体" w:cs="Times New Roman"/>
          <w:sz w:val="32"/>
          <w:szCs w:val="32"/>
        </w:rPr>
        <w:t>84.07</w:t>
      </w:r>
      <w:r>
        <w:rPr>
          <w:rFonts w:hint="default" w:ascii="Times New Roman" w:hAnsi="Times New Roman" w:eastAsia="方正仿宋简体" w:cs="Times New Roman"/>
          <w:sz w:val="32"/>
          <w:szCs w:val="32"/>
        </w:rPr>
        <w:t>元，其中：基本支出增长</w:t>
      </w:r>
      <w:r>
        <w:rPr>
          <w:rFonts w:hint="default" w:ascii="Times New Roman" w:hAnsi="Times New Roman" w:eastAsia="方正仿宋简体" w:cs="Times New Roman"/>
          <w:sz w:val="32"/>
          <w:szCs w:val="32"/>
        </w:rPr>
        <w:t>108.57</w:t>
      </w:r>
      <w:r>
        <w:rPr>
          <w:rFonts w:hint="default" w:ascii="Times New Roman" w:hAnsi="Times New Roman" w:eastAsia="方正仿宋简体" w:cs="Times New Roman"/>
          <w:sz w:val="32"/>
          <w:szCs w:val="32"/>
        </w:rPr>
        <w:t>万元，主要是增加人员经费；项目支出减少</w:t>
      </w:r>
      <w:r>
        <w:rPr>
          <w:rFonts w:hint="default" w:ascii="Times New Roman" w:hAnsi="Times New Roman" w:eastAsia="方正仿宋简体" w:cs="Times New Roman"/>
          <w:sz w:val="32"/>
          <w:szCs w:val="32"/>
        </w:rPr>
        <w:t>24.5</w:t>
      </w:r>
      <w:r>
        <w:rPr>
          <w:rFonts w:hint="default" w:ascii="Times New Roman" w:hAnsi="Times New Roman" w:eastAsia="方正仿宋简体" w:cs="Times New Roman"/>
          <w:sz w:val="32"/>
          <w:szCs w:val="32"/>
        </w:rPr>
        <w:t>万元，主要是减少招商引资奖励资金。</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三、机关运行经费安排情况</w:t>
      </w:r>
    </w:p>
    <w:p>
      <w:pPr>
        <w:ind w:firstLine="640"/>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机关运行经费共计安排</w:t>
      </w:r>
      <w:r>
        <w:rPr>
          <w:rFonts w:hint="default" w:ascii="Times New Roman" w:hAnsi="Times New Roman" w:eastAsia="方正仿宋简体" w:cs="Times New Roman"/>
          <w:sz w:val="32"/>
          <w:szCs w:val="32"/>
        </w:rPr>
        <w:t>29.54</w:t>
      </w:r>
      <w:r>
        <w:rPr>
          <w:rFonts w:hint="default" w:ascii="Times New Roman" w:hAnsi="Times New Roman" w:eastAsia="方正仿宋简体"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四、财政拨款“三公”经费预算情况及增减变化原因</w:t>
      </w:r>
    </w:p>
    <w:p>
      <w:pPr>
        <w:ind w:firstLine="640"/>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rPr>
        <w:t>2019</w:t>
      </w:r>
      <w:r>
        <w:rPr>
          <w:rFonts w:hint="default" w:ascii="Times New Roman" w:hAnsi="Times New Roman" w:eastAsia="方正仿宋简体" w:cs="Times New Roman"/>
          <w:sz w:val="32"/>
          <w:szCs w:val="32"/>
        </w:rPr>
        <w:t>年，财政拨款“三公”经费预算安排</w:t>
      </w:r>
      <w:r>
        <w:rPr>
          <w:rFonts w:hint="default" w:ascii="Times New Roman" w:hAnsi="Times New Roman" w:eastAsia="方正仿宋简体" w:cs="Times New Roman"/>
          <w:sz w:val="32"/>
          <w:szCs w:val="32"/>
        </w:rPr>
        <w:t>33.47</w:t>
      </w:r>
      <w:r>
        <w:rPr>
          <w:rFonts w:hint="default" w:ascii="Times New Roman" w:hAnsi="Times New Roman" w:eastAsia="方正仿宋简体" w:cs="Times New Roman"/>
          <w:sz w:val="32"/>
          <w:szCs w:val="32"/>
        </w:rPr>
        <w:t>万元，其中：因公出国（境）费</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sz w:val="32"/>
          <w:szCs w:val="32"/>
        </w:rPr>
        <w:t>万元；公务用车购置及运维费</w:t>
      </w:r>
      <w:r>
        <w:rPr>
          <w:rFonts w:hint="default" w:ascii="Times New Roman" w:hAnsi="Times New Roman" w:eastAsia="方正仿宋简体" w:cs="Times New Roman"/>
          <w:sz w:val="32"/>
          <w:szCs w:val="32"/>
        </w:rPr>
        <w:t>3.1</w:t>
      </w:r>
      <w:r>
        <w:rPr>
          <w:rFonts w:hint="default" w:ascii="Times New Roman" w:hAnsi="Times New Roman" w:eastAsia="方正仿宋简体" w:cs="Times New Roman"/>
          <w:sz w:val="32"/>
          <w:szCs w:val="32"/>
        </w:rPr>
        <w:t>万元（其中：公务用车运行费</w:t>
      </w:r>
      <w:r>
        <w:rPr>
          <w:rFonts w:hint="default" w:ascii="Times New Roman" w:hAnsi="Times New Roman" w:eastAsia="方正仿宋简体" w:cs="Times New Roman"/>
          <w:sz w:val="32"/>
          <w:szCs w:val="32"/>
        </w:rPr>
        <w:t>3.1</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；公务接待费</w:t>
      </w:r>
      <w:r>
        <w:rPr>
          <w:rFonts w:hint="default" w:ascii="Times New Roman" w:hAnsi="Times New Roman" w:eastAsia="方正仿宋简体" w:cs="Times New Roman"/>
          <w:sz w:val="32"/>
          <w:szCs w:val="32"/>
        </w:rPr>
        <w:t>30.37</w:t>
      </w:r>
      <w:r>
        <w:rPr>
          <w:rFonts w:hint="default" w:ascii="Times New Roman" w:hAnsi="Times New Roman" w:eastAsia="方正仿宋简体" w:cs="Times New Roman"/>
          <w:sz w:val="32"/>
          <w:szCs w:val="32"/>
        </w:rPr>
        <w:t>万元。“三公”经费较上年增加</w:t>
      </w:r>
      <w:r>
        <w:rPr>
          <w:rFonts w:hint="default" w:ascii="Times New Roman" w:hAnsi="Times New Roman" w:eastAsia="方正仿宋简体" w:cs="Times New Roman"/>
          <w:sz w:val="32"/>
          <w:szCs w:val="32"/>
        </w:rPr>
        <w:t>0.01</w:t>
      </w:r>
      <w:r>
        <w:rPr>
          <w:rFonts w:hint="default" w:ascii="Times New Roman" w:hAnsi="Times New Roman" w:eastAsia="方正仿宋简体" w:cs="Times New Roman"/>
          <w:sz w:val="32"/>
          <w:szCs w:val="32"/>
        </w:rPr>
        <w:t>万元。原因是</w:t>
      </w:r>
      <w:r>
        <w:rPr>
          <w:rFonts w:hint="default" w:ascii="Times New Roman" w:hAnsi="Times New Roman" w:eastAsia="方正仿宋简体" w:cs="Times New Roman"/>
          <w:sz w:val="32"/>
          <w:szCs w:val="32"/>
        </w:rPr>
        <w:t>公务接待有增加</w:t>
      </w:r>
      <w:r>
        <w:rPr>
          <w:rFonts w:hint="default" w:ascii="Times New Roman" w:hAnsi="Times New Roman" w:eastAsia="方正仿宋简体" w:cs="Times New Roman"/>
          <w:sz w:val="32"/>
          <w:szCs w:val="32"/>
        </w:rPr>
        <w:t>。</w:t>
      </w:r>
    </w:p>
    <w:p>
      <w:pPr>
        <w:numPr>
          <w:ilvl w:val="0"/>
          <w:numId w:val="1"/>
        </w:num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绩效预算信息</w:t>
      </w:r>
    </w:p>
    <w:p>
      <w:pPr>
        <w:ind w:firstLine="640" w:firstLineChars="200"/>
        <w:jc w:val="left"/>
        <w:outlineLvl w:val="1"/>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（一）总体绩效目标</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负责贯彻执</w:t>
      </w:r>
      <w:r>
        <w:rPr>
          <w:rFonts w:hint="default" w:ascii="Times New Roman" w:hAnsi="Times New Roman" w:eastAsia="方正仿宋_GBK" w:cs="Times New Roman"/>
          <w:sz w:val="28"/>
        </w:rPr>
        <w:t>行国家、省、市有关内外</w:t>
      </w:r>
      <w:r>
        <w:rPr>
          <w:rFonts w:hint="default" w:ascii="Times New Roman" w:hAnsi="Times New Roman" w:eastAsia="方正仿宋_GBK" w:cs="Times New Roman"/>
          <w:sz w:val="28"/>
        </w:rPr>
        <w:t>贸</w:t>
      </w:r>
      <w:r>
        <w:rPr>
          <w:rFonts w:hint="default" w:ascii="Times New Roman" w:hAnsi="Times New Roman" w:eastAsia="方正仿宋_GBK" w:cs="Times New Roman"/>
          <w:sz w:val="28"/>
        </w:rPr>
        <w:t>易、</w:t>
      </w:r>
      <w:r>
        <w:rPr>
          <w:rFonts w:hint="default" w:ascii="Times New Roman" w:hAnsi="Times New Roman" w:eastAsia="方正仿宋_GBK" w:cs="Times New Roman"/>
          <w:sz w:val="28"/>
        </w:rPr>
        <w:t>经济</w:t>
      </w:r>
      <w:r>
        <w:rPr>
          <w:rFonts w:hint="default" w:ascii="Times New Roman" w:hAnsi="Times New Roman" w:eastAsia="方正仿宋_GBK" w:cs="Times New Roman"/>
          <w:sz w:val="28"/>
        </w:rPr>
        <w:t>合作和投</w:t>
      </w:r>
      <w:r>
        <w:rPr>
          <w:rFonts w:hint="default" w:ascii="Times New Roman" w:hAnsi="Times New Roman" w:eastAsia="方正仿宋_GBK" w:cs="Times New Roman"/>
          <w:sz w:val="28"/>
        </w:rPr>
        <w:t>资</w:t>
      </w:r>
      <w:r>
        <w:rPr>
          <w:rFonts w:hint="default" w:ascii="Times New Roman" w:hAnsi="Times New Roman" w:eastAsia="方正仿宋_GBK" w:cs="Times New Roman"/>
          <w:sz w:val="28"/>
        </w:rPr>
        <w:t>促</w:t>
      </w:r>
      <w:r>
        <w:rPr>
          <w:rFonts w:hint="default" w:ascii="Times New Roman" w:hAnsi="Times New Roman" w:eastAsia="方正仿宋_GBK" w:cs="Times New Roman"/>
          <w:sz w:val="28"/>
        </w:rPr>
        <w:t>进</w:t>
      </w:r>
      <w:r>
        <w:rPr>
          <w:rFonts w:hint="default" w:ascii="Times New Roman" w:hAnsi="Times New Roman" w:eastAsia="方正仿宋_GBK" w:cs="Times New Roman"/>
          <w:sz w:val="28"/>
        </w:rPr>
        <w:t>的</w:t>
      </w:r>
      <w:r>
        <w:rPr>
          <w:rFonts w:hint="default" w:ascii="Times New Roman" w:hAnsi="Times New Roman" w:eastAsia="方正仿宋_GBK" w:cs="Times New Roman"/>
          <w:sz w:val="28"/>
        </w:rPr>
        <w:t>发</w:t>
      </w:r>
      <w:r>
        <w:rPr>
          <w:rFonts w:hint="default" w:ascii="Times New Roman" w:hAnsi="Times New Roman" w:eastAsia="方正仿宋_GBK" w:cs="Times New Roman"/>
          <w:sz w:val="28"/>
        </w:rPr>
        <w:t>展</w:t>
      </w:r>
      <w:r>
        <w:rPr>
          <w:rFonts w:hint="default" w:ascii="Times New Roman" w:hAnsi="Times New Roman" w:eastAsia="方正仿宋_GBK" w:cs="Times New Roman"/>
          <w:sz w:val="28"/>
        </w:rPr>
        <w:t>战</w:t>
      </w:r>
      <w:r>
        <w:rPr>
          <w:rFonts w:hint="default" w:ascii="Times New Roman" w:hAnsi="Times New Roman" w:eastAsia="方正仿宋_GBK" w:cs="Times New Roman"/>
          <w:sz w:val="28"/>
        </w:rPr>
        <w:t>略、方</w:t>
      </w:r>
      <w:r>
        <w:rPr>
          <w:rFonts w:hint="default" w:ascii="Times New Roman" w:hAnsi="Times New Roman" w:eastAsia="方正仿宋_GBK" w:cs="Times New Roman"/>
          <w:sz w:val="28"/>
        </w:rPr>
        <w:t>针</w:t>
      </w:r>
      <w:r>
        <w:rPr>
          <w:rFonts w:hint="default" w:ascii="Times New Roman" w:hAnsi="Times New Roman" w:eastAsia="方正仿宋_GBK" w:cs="Times New Roman"/>
          <w:sz w:val="28"/>
        </w:rPr>
        <w:t>政策和相关法律法</w:t>
      </w:r>
      <w:r>
        <w:rPr>
          <w:rFonts w:hint="default" w:ascii="Times New Roman" w:hAnsi="Times New Roman" w:eastAsia="方正仿宋_GBK" w:cs="Times New Roman"/>
          <w:sz w:val="28"/>
        </w:rPr>
        <w:t>规</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负责</w:t>
      </w:r>
      <w:r>
        <w:rPr>
          <w:rFonts w:hint="default" w:ascii="Times New Roman" w:hAnsi="Times New Roman" w:eastAsia="方正仿宋_GBK" w:cs="Times New Roman"/>
          <w:sz w:val="28"/>
        </w:rPr>
        <w:t>投</w:t>
      </w:r>
      <w:r>
        <w:rPr>
          <w:rFonts w:hint="default" w:ascii="Times New Roman" w:hAnsi="Times New Roman" w:eastAsia="方正仿宋_GBK" w:cs="Times New Roman"/>
          <w:sz w:val="28"/>
        </w:rPr>
        <w:t>资</w:t>
      </w:r>
      <w:r>
        <w:rPr>
          <w:rFonts w:hint="default" w:ascii="Times New Roman" w:hAnsi="Times New Roman" w:eastAsia="方正仿宋_GBK" w:cs="Times New Roman"/>
          <w:sz w:val="28"/>
        </w:rPr>
        <w:t>促</w:t>
      </w:r>
      <w:r>
        <w:rPr>
          <w:rFonts w:hint="default" w:ascii="Times New Roman" w:hAnsi="Times New Roman" w:eastAsia="方正仿宋_GBK" w:cs="Times New Roman"/>
          <w:sz w:val="28"/>
        </w:rPr>
        <w:t>进</w:t>
      </w:r>
      <w:r>
        <w:rPr>
          <w:rFonts w:hint="default" w:ascii="Times New Roman" w:hAnsi="Times New Roman" w:eastAsia="方正仿宋_GBK" w:cs="Times New Roman"/>
          <w:sz w:val="28"/>
        </w:rPr>
        <w:t>活</w:t>
      </w:r>
      <w:r>
        <w:rPr>
          <w:rFonts w:hint="default" w:ascii="Times New Roman" w:hAnsi="Times New Roman" w:eastAsia="方正仿宋_GBK" w:cs="Times New Roman"/>
          <w:sz w:val="28"/>
        </w:rPr>
        <w:t>动</w:t>
      </w:r>
      <w:r>
        <w:rPr>
          <w:rFonts w:hint="default" w:ascii="Times New Roman" w:hAnsi="Times New Roman" w:eastAsia="方正仿宋_GBK" w:cs="Times New Roman"/>
          <w:sz w:val="28"/>
        </w:rPr>
        <w:t>的</w:t>
      </w:r>
      <w:r>
        <w:rPr>
          <w:rFonts w:hint="default" w:ascii="Times New Roman" w:hAnsi="Times New Roman" w:eastAsia="方正仿宋_GBK" w:cs="Times New Roman"/>
          <w:sz w:val="28"/>
        </w:rPr>
        <w:t>组织协调</w:t>
      </w:r>
      <w:r>
        <w:rPr>
          <w:rFonts w:hint="default" w:ascii="Times New Roman" w:hAnsi="Times New Roman" w:eastAsia="方正仿宋_GBK" w:cs="Times New Roman"/>
          <w:sz w:val="28"/>
        </w:rPr>
        <w:t>和</w:t>
      </w:r>
      <w:r>
        <w:rPr>
          <w:rFonts w:hint="default" w:ascii="Times New Roman" w:hAnsi="Times New Roman" w:eastAsia="方正仿宋_GBK" w:cs="Times New Roman"/>
          <w:sz w:val="28"/>
        </w:rPr>
        <w:t>项</w:t>
      </w:r>
      <w:r>
        <w:rPr>
          <w:rFonts w:hint="default" w:ascii="Times New Roman" w:hAnsi="Times New Roman" w:eastAsia="方正仿宋_GBK" w:cs="Times New Roman"/>
          <w:sz w:val="28"/>
        </w:rPr>
        <w:t>目的</w:t>
      </w:r>
      <w:r>
        <w:rPr>
          <w:rFonts w:hint="default" w:ascii="Times New Roman" w:hAnsi="Times New Roman" w:eastAsia="方正仿宋_GBK" w:cs="Times New Roman"/>
          <w:sz w:val="28"/>
        </w:rPr>
        <w:t>筛选</w:t>
      </w:r>
      <w:r>
        <w:rPr>
          <w:rFonts w:hint="default" w:ascii="Times New Roman" w:hAnsi="Times New Roman" w:eastAsia="方正仿宋_GBK" w:cs="Times New Roman"/>
          <w:sz w:val="28"/>
        </w:rPr>
        <w:t>、推介、落</w:t>
      </w:r>
      <w:r>
        <w:rPr>
          <w:rFonts w:hint="default" w:ascii="Times New Roman" w:hAnsi="Times New Roman" w:eastAsia="方正仿宋_GBK" w:cs="Times New Roman"/>
          <w:sz w:val="28"/>
        </w:rPr>
        <w:t>实</w:t>
      </w:r>
      <w:r>
        <w:rPr>
          <w:rFonts w:hint="default" w:ascii="Times New Roman" w:hAnsi="Times New Roman" w:eastAsia="方正仿宋_GBK" w:cs="Times New Roman"/>
          <w:sz w:val="28"/>
        </w:rPr>
        <w:t>等工作，</w:t>
      </w:r>
      <w:r>
        <w:rPr>
          <w:rFonts w:hint="default" w:ascii="Times New Roman" w:hAnsi="Times New Roman" w:eastAsia="方正仿宋_GBK" w:cs="Times New Roman"/>
          <w:sz w:val="28"/>
        </w:rPr>
        <w:t>拟订</w:t>
      </w:r>
      <w:r>
        <w:rPr>
          <w:rFonts w:hint="default" w:ascii="Times New Roman" w:hAnsi="Times New Roman" w:eastAsia="方正仿宋_GBK" w:cs="Times New Roman"/>
          <w:sz w:val="28"/>
        </w:rPr>
        <w:t>并</w:t>
      </w:r>
      <w:r>
        <w:rPr>
          <w:rFonts w:hint="default" w:ascii="Times New Roman" w:hAnsi="Times New Roman" w:eastAsia="方正仿宋_GBK" w:cs="Times New Roman"/>
          <w:sz w:val="28"/>
        </w:rPr>
        <w:t>组织实</w:t>
      </w:r>
      <w:r>
        <w:rPr>
          <w:rFonts w:hint="default" w:ascii="Times New Roman" w:hAnsi="Times New Roman" w:eastAsia="方正仿宋_GBK" w:cs="Times New Roman"/>
          <w:sz w:val="28"/>
        </w:rPr>
        <w:t>施投</w:t>
      </w:r>
      <w:r>
        <w:rPr>
          <w:rFonts w:hint="default" w:ascii="Times New Roman" w:hAnsi="Times New Roman" w:eastAsia="方正仿宋_GBK" w:cs="Times New Roman"/>
          <w:sz w:val="28"/>
        </w:rPr>
        <w:t>资</w:t>
      </w:r>
      <w:r>
        <w:rPr>
          <w:rFonts w:hint="default" w:ascii="Times New Roman" w:hAnsi="Times New Roman" w:eastAsia="方正仿宋_GBK" w:cs="Times New Roman"/>
          <w:sz w:val="28"/>
        </w:rPr>
        <w:t>促</w:t>
      </w:r>
      <w:r>
        <w:rPr>
          <w:rFonts w:hint="default" w:ascii="Times New Roman" w:hAnsi="Times New Roman" w:eastAsia="方正仿宋_GBK" w:cs="Times New Roman"/>
          <w:sz w:val="28"/>
        </w:rPr>
        <w:t>进</w:t>
      </w:r>
      <w:r>
        <w:rPr>
          <w:rFonts w:hint="default" w:ascii="Times New Roman" w:hAnsi="Times New Roman" w:eastAsia="方正仿宋_GBK" w:cs="Times New Roman"/>
          <w:sz w:val="28"/>
        </w:rPr>
        <w:t>有关政策和考核</w:t>
      </w:r>
      <w:r>
        <w:rPr>
          <w:rFonts w:hint="default" w:ascii="Times New Roman" w:hAnsi="Times New Roman" w:eastAsia="方正仿宋_GBK" w:cs="Times New Roman"/>
          <w:sz w:val="28"/>
        </w:rPr>
        <w:t>办</w:t>
      </w:r>
      <w:r>
        <w:rPr>
          <w:rFonts w:hint="default" w:ascii="Times New Roman" w:hAnsi="Times New Roman" w:eastAsia="方正仿宋_GBK" w:cs="Times New Roman"/>
          <w:sz w:val="28"/>
        </w:rPr>
        <w:t>法；</w:t>
      </w:r>
      <w:r>
        <w:rPr>
          <w:rFonts w:hint="default" w:ascii="Times New Roman" w:hAnsi="Times New Roman" w:eastAsia="方正仿宋_GBK" w:cs="Times New Roman"/>
          <w:sz w:val="28"/>
        </w:rPr>
        <w:t>负责对</w:t>
      </w:r>
      <w:r>
        <w:rPr>
          <w:rFonts w:hint="default" w:ascii="Times New Roman" w:hAnsi="Times New Roman" w:eastAsia="方正仿宋_GBK" w:cs="Times New Roman"/>
          <w:sz w:val="28"/>
        </w:rPr>
        <w:t>外</w:t>
      </w:r>
      <w:r>
        <w:rPr>
          <w:rFonts w:hint="default" w:ascii="Times New Roman" w:hAnsi="Times New Roman" w:eastAsia="方正仿宋_GBK" w:cs="Times New Roman"/>
          <w:sz w:val="28"/>
        </w:rPr>
        <w:t>经济</w:t>
      </w:r>
      <w:r>
        <w:rPr>
          <w:rFonts w:hint="default" w:ascii="Times New Roman" w:hAnsi="Times New Roman" w:eastAsia="方正仿宋_GBK" w:cs="Times New Roman"/>
          <w:sz w:val="28"/>
        </w:rPr>
        <w:t>工作，依法管理和</w:t>
      </w:r>
      <w:r>
        <w:rPr>
          <w:rFonts w:hint="default" w:ascii="Times New Roman" w:hAnsi="Times New Roman" w:eastAsia="方正仿宋_GBK" w:cs="Times New Roman"/>
          <w:sz w:val="28"/>
        </w:rPr>
        <w:t>监</w:t>
      </w:r>
      <w:r>
        <w:rPr>
          <w:rFonts w:hint="default" w:ascii="Times New Roman" w:hAnsi="Times New Roman" w:eastAsia="方正仿宋_GBK" w:cs="Times New Roman"/>
          <w:sz w:val="28"/>
        </w:rPr>
        <w:t>督</w:t>
      </w:r>
      <w:r>
        <w:rPr>
          <w:rFonts w:hint="default" w:ascii="Times New Roman" w:hAnsi="Times New Roman" w:eastAsia="方正仿宋_GBK" w:cs="Times New Roman"/>
          <w:sz w:val="28"/>
        </w:rPr>
        <w:t>对</w:t>
      </w:r>
      <w:r>
        <w:rPr>
          <w:rFonts w:hint="default" w:ascii="Times New Roman" w:hAnsi="Times New Roman" w:eastAsia="方正仿宋_GBK" w:cs="Times New Roman"/>
          <w:sz w:val="28"/>
        </w:rPr>
        <w:t>外</w:t>
      </w:r>
      <w:r>
        <w:rPr>
          <w:rFonts w:hint="default" w:ascii="Times New Roman" w:hAnsi="Times New Roman" w:eastAsia="方正仿宋_GBK" w:cs="Times New Roman"/>
          <w:sz w:val="28"/>
        </w:rPr>
        <w:t>经济</w:t>
      </w:r>
      <w:r>
        <w:rPr>
          <w:rFonts w:hint="default" w:ascii="Times New Roman" w:hAnsi="Times New Roman" w:eastAsia="方正仿宋_GBK" w:cs="Times New Roman"/>
          <w:sz w:val="28"/>
        </w:rPr>
        <w:t>合作</w:t>
      </w:r>
      <w:r>
        <w:rPr>
          <w:rFonts w:hint="default" w:ascii="Times New Roman" w:hAnsi="Times New Roman" w:eastAsia="方正仿宋_GBK" w:cs="Times New Roman"/>
          <w:sz w:val="28"/>
        </w:rPr>
        <w:t>业务</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负责对</w:t>
      </w:r>
      <w:r>
        <w:rPr>
          <w:rFonts w:hint="default" w:ascii="Times New Roman" w:hAnsi="Times New Roman" w:eastAsia="方正仿宋_GBK" w:cs="Times New Roman"/>
          <w:sz w:val="28"/>
        </w:rPr>
        <w:t>外</w:t>
      </w:r>
      <w:r>
        <w:rPr>
          <w:rFonts w:hint="default" w:ascii="Times New Roman" w:hAnsi="Times New Roman" w:eastAsia="方正仿宋_GBK" w:cs="Times New Roman"/>
          <w:sz w:val="28"/>
        </w:rPr>
        <w:t>经济</w:t>
      </w:r>
      <w:r>
        <w:rPr>
          <w:rFonts w:hint="default" w:ascii="Times New Roman" w:hAnsi="Times New Roman" w:eastAsia="方正仿宋_GBK" w:cs="Times New Roman"/>
          <w:sz w:val="28"/>
        </w:rPr>
        <w:t>合作企</w:t>
      </w:r>
      <w:r>
        <w:rPr>
          <w:rFonts w:hint="default" w:ascii="Times New Roman" w:hAnsi="Times New Roman" w:eastAsia="方正仿宋_GBK" w:cs="Times New Roman"/>
          <w:sz w:val="28"/>
        </w:rPr>
        <w:t>业</w:t>
      </w:r>
      <w:r>
        <w:rPr>
          <w:rFonts w:hint="default" w:ascii="Times New Roman" w:hAnsi="Times New Roman" w:eastAsia="方正仿宋_GBK" w:cs="Times New Roman"/>
          <w:sz w:val="28"/>
        </w:rPr>
        <w:t>及境外就</w:t>
      </w:r>
      <w:r>
        <w:rPr>
          <w:rFonts w:hint="default" w:ascii="Times New Roman" w:hAnsi="Times New Roman" w:eastAsia="方正仿宋_GBK" w:cs="Times New Roman"/>
          <w:sz w:val="28"/>
        </w:rPr>
        <w:t>业职业</w:t>
      </w:r>
      <w:r>
        <w:rPr>
          <w:rFonts w:hint="default" w:ascii="Times New Roman" w:hAnsi="Times New Roman" w:eastAsia="方正仿宋_GBK" w:cs="Times New Roman"/>
          <w:sz w:val="28"/>
        </w:rPr>
        <w:t>介</w:t>
      </w:r>
      <w:r>
        <w:rPr>
          <w:rFonts w:hint="default" w:ascii="Times New Roman" w:hAnsi="Times New Roman" w:eastAsia="方正仿宋_GBK" w:cs="Times New Roman"/>
          <w:sz w:val="28"/>
        </w:rPr>
        <w:t>绍</w:t>
      </w:r>
      <w:r>
        <w:rPr>
          <w:rFonts w:hint="default" w:ascii="Times New Roman" w:hAnsi="Times New Roman" w:eastAsia="方正仿宋_GBK" w:cs="Times New Roman"/>
          <w:sz w:val="28"/>
        </w:rPr>
        <w:t>机构</w:t>
      </w:r>
      <w:r>
        <w:rPr>
          <w:rFonts w:hint="default" w:ascii="Times New Roman" w:hAnsi="Times New Roman" w:eastAsia="方正仿宋_GBK" w:cs="Times New Roman"/>
          <w:sz w:val="28"/>
        </w:rPr>
        <w:t>经营资</w:t>
      </w:r>
      <w:r>
        <w:rPr>
          <w:rFonts w:hint="default" w:ascii="Times New Roman" w:hAnsi="Times New Roman" w:eastAsia="方正仿宋_GBK" w:cs="Times New Roman"/>
          <w:sz w:val="28"/>
        </w:rPr>
        <w:t>格</w:t>
      </w:r>
      <w:r>
        <w:rPr>
          <w:rFonts w:hint="default" w:ascii="Times New Roman" w:hAnsi="Times New Roman" w:eastAsia="方正仿宋_GBK" w:cs="Times New Roman"/>
          <w:sz w:val="28"/>
        </w:rPr>
        <w:t>认</w:t>
      </w:r>
      <w:r>
        <w:rPr>
          <w:rFonts w:hint="default" w:ascii="Times New Roman" w:hAnsi="Times New Roman" w:eastAsia="方正仿宋_GBK" w:cs="Times New Roman"/>
          <w:sz w:val="28"/>
        </w:rPr>
        <w:t>定和</w:t>
      </w:r>
      <w:r>
        <w:rPr>
          <w:rFonts w:hint="default" w:ascii="Times New Roman" w:hAnsi="Times New Roman" w:eastAsia="方正仿宋_GBK" w:cs="Times New Roman"/>
          <w:sz w:val="28"/>
        </w:rPr>
        <w:t>监</w:t>
      </w:r>
      <w:r>
        <w:rPr>
          <w:rFonts w:hint="default" w:ascii="Times New Roman" w:hAnsi="Times New Roman" w:eastAsia="方正仿宋_GBK" w:cs="Times New Roman"/>
          <w:sz w:val="28"/>
        </w:rPr>
        <w:t>督</w:t>
      </w:r>
      <w:r>
        <w:rPr>
          <w:rFonts w:hint="default" w:ascii="Times New Roman" w:hAnsi="Times New Roman" w:eastAsia="方正仿宋_GBK" w:cs="Times New Roman"/>
          <w:sz w:val="28"/>
        </w:rPr>
        <w:t>检查</w:t>
      </w:r>
      <w:r>
        <w:rPr>
          <w:rFonts w:hint="default" w:ascii="Times New Roman" w:hAnsi="Times New Roman" w:eastAsia="方正仿宋_GBK" w:cs="Times New Roman"/>
          <w:sz w:val="28"/>
        </w:rPr>
        <w:t>工作，</w:t>
      </w:r>
      <w:r>
        <w:rPr>
          <w:rFonts w:hint="default" w:ascii="Times New Roman" w:hAnsi="Times New Roman" w:eastAsia="方正仿宋_GBK" w:cs="Times New Roman"/>
          <w:sz w:val="28"/>
        </w:rPr>
        <w:t>执</w:t>
      </w:r>
      <w:r>
        <w:rPr>
          <w:rFonts w:hint="default" w:ascii="Times New Roman" w:hAnsi="Times New Roman" w:eastAsia="方正仿宋_GBK" w:cs="Times New Roman"/>
          <w:sz w:val="28"/>
        </w:rPr>
        <w:t>行中国公民出境就</w:t>
      </w:r>
      <w:r>
        <w:rPr>
          <w:rFonts w:hint="default" w:ascii="Times New Roman" w:hAnsi="Times New Roman" w:eastAsia="方正仿宋_GBK" w:cs="Times New Roman"/>
          <w:sz w:val="28"/>
        </w:rPr>
        <w:t>业</w:t>
      </w:r>
      <w:r>
        <w:rPr>
          <w:rFonts w:hint="default" w:ascii="Times New Roman" w:hAnsi="Times New Roman" w:eastAsia="方正仿宋_GBK" w:cs="Times New Roman"/>
          <w:sz w:val="28"/>
        </w:rPr>
        <w:t>管理政策；</w:t>
      </w:r>
      <w:r>
        <w:rPr>
          <w:rFonts w:hint="default" w:ascii="Times New Roman" w:hAnsi="Times New Roman" w:eastAsia="方正仿宋_GBK" w:cs="Times New Roman"/>
          <w:sz w:val="28"/>
        </w:rPr>
        <w:t>负责进</w:t>
      </w:r>
      <w:r>
        <w:rPr>
          <w:rFonts w:hint="default" w:ascii="Times New Roman" w:hAnsi="Times New Roman" w:eastAsia="方正仿宋_GBK" w:cs="Times New Roman"/>
          <w:sz w:val="28"/>
        </w:rPr>
        <w:t>出口</w:t>
      </w:r>
      <w:r>
        <w:rPr>
          <w:rFonts w:hint="default" w:ascii="Times New Roman" w:hAnsi="Times New Roman" w:eastAsia="方正仿宋_GBK" w:cs="Times New Roman"/>
          <w:sz w:val="28"/>
        </w:rPr>
        <w:t>贸</w:t>
      </w:r>
      <w:r>
        <w:rPr>
          <w:rFonts w:hint="default" w:ascii="Times New Roman" w:hAnsi="Times New Roman" w:eastAsia="方正仿宋_GBK" w:cs="Times New Roman"/>
          <w:sz w:val="28"/>
        </w:rPr>
        <w:t>易的相关工作，推</w:t>
      </w:r>
      <w:r>
        <w:rPr>
          <w:rFonts w:hint="default" w:ascii="Times New Roman" w:hAnsi="Times New Roman" w:eastAsia="方正仿宋_GBK" w:cs="Times New Roman"/>
          <w:sz w:val="28"/>
        </w:rPr>
        <w:t>进进</w:t>
      </w:r>
      <w:r>
        <w:rPr>
          <w:rFonts w:hint="default" w:ascii="Times New Roman" w:hAnsi="Times New Roman" w:eastAsia="方正仿宋_GBK" w:cs="Times New Roman"/>
          <w:sz w:val="28"/>
        </w:rPr>
        <w:t>出口</w:t>
      </w:r>
      <w:r>
        <w:rPr>
          <w:rFonts w:hint="default" w:ascii="Times New Roman" w:hAnsi="Times New Roman" w:eastAsia="方正仿宋_GBK" w:cs="Times New Roman"/>
          <w:sz w:val="28"/>
        </w:rPr>
        <w:t>贸</w:t>
      </w:r>
      <w:r>
        <w:rPr>
          <w:rFonts w:hint="default" w:ascii="Times New Roman" w:hAnsi="Times New Roman" w:eastAsia="方正仿宋_GBK" w:cs="Times New Roman"/>
          <w:sz w:val="28"/>
        </w:rPr>
        <w:t>易</w:t>
      </w:r>
      <w:r>
        <w:rPr>
          <w:rFonts w:hint="default" w:ascii="Times New Roman" w:hAnsi="Times New Roman" w:eastAsia="方正仿宋_GBK" w:cs="Times New Roman"/>
          <w:sz w:val="28"/>
        </w:rPr>
        <w:t>标</w:t>
      </w:r>
      <w:r>
        <w:rPr>
          <w:rFonts w:hint="default" w:ascii="Times New Roman" w:hAnsi="Times New Roman" w:eastAsia="方正仿宋_GBK" w:cs="Times New Roman"/>
          <w:sz w:val="28"/>
        </w:rPr>
        <w:t>准化建</w:t>
      </w:r>
      <w:r>
        <w:rPr>
          <w:rFonts w:hint="default" w:ascii="Times New Roman" w:hAnsi="Times New Roman" w:eastAsia="方正仿宋_GBK" w:cs="Times New Roman"/>
          <w:sz w:val="28"/>
        </w:rPr>
        <w:t>设</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负责</w:t>
      </w:r>
      <w:r>
        <w:rPr>
          <w:rFonts w:hint="default" w:ascii="Times New Roman" w:hAnsi="Times New Roman" w:eastAsia="方正仿宋_GBK" w:cs="Times New Roman"/>
          <w:sz w:val="28"/>
        </w:rPr>
        <w:t>受理、</w:t>
      </w:r>
      <w:r>
        <w:rPr>
          <w:rFonts w:hint="default" w:ascii="Times New Roman" w:hAnsi="Times New Roman" w:eastAsia="方正仿宋_GBK" w:cs="Times New Roman"/>
          <w:sz w:val="28"/>
        </w:rPr>
        <w:t>协调</w:t>
      </w:r>
      <w:r>
        <w:rPr>
          <w:rFonts w:hint="default" w:ascii="Times New Roman" w:hAnsi="Times New Roman" w:eastAsia="方正仿宋_GBK" w:cs="Times New Roman"/>
          <w:sz w:val="28"/>
        </w:rPr>
        <w:t>外商及外商投</w:t>
      </w:r>
      <w:r>
        <w:rPr>
          <w:rFonts w:hint="default" w:ascii="Times New Roman" w:hAnsi="Times New Roman" w:eastAsia="方正仿宋_GBK" w:cs="Times New Roman"/>
          <w:sz w:val="28"/>
        </w:rPr>
        <w:t>资</w:t>
      </w:r>
      <w:r>
        <w:rPr>
          <w:rFonts w:hint="default" w:ascii="Times New Roman" w:hAnsi="Times New Roman" w:eastAsia="方正仿宋_GBK" w:cs="Times New Roman"/>
          <w:sz w:val="28"/>
        </w:rPr>
        <w:t>企</w:t>
      </w:r>
      <w:r>
        <w:rPr>
          <w:rFonts w:hint="default" w:ascii="Times New Roman" w:hAnsi="Times New Roman" w:eastAsia="方正仿宋_GBK" w:cs="Times New Roman"/>
          <w:sz w:val="28"/>
        </w:rPr>
        <w:t>业</w:t>
      </w:r>
      <w:r>
        <w:rPr>
          <w:rFonts w:hint="default" w:ascii="Times New Roman" w:hAnsi="Times New Roman" w:eastAsia="方正仿宋_GBK" w:cs="Times New Roman"/>
          <w:sz w:val="28"/>
        </w:rPr>
        <w:t>的投</w:t>
      </w:r>
      <w:r>
        <w:rPr>
          <w:rFonts w:hint="default" w:ascii="Times New Roman" w:hAnsi="Times New Roman" w:eastAsia="方正仿宋_GBK" w:cs="Times New Roman"/>
          <w:sz w:val="28"/>
        </w:rPr>
        <w:t>诉</w:t>
      </w:r>
      <w:r>
        <w:rPr>
          <w:rFonts w:hint="default" w:ascii="Times New Roman" w:hAnsi="Times New Roman" w:eastAsia="方正仿宋_GBK" w:cs="Times New Roman"/>
          <w:sz w:val="28"/>
        </w:rPr>
        <w:t>工作；</w:t>
      </w:r>
      <w:r>
        <w:rPr>
          <w:rFonts w:hint="default" w:ascii="Times New Roman" w:hAnsi="Times New Roman" w:eastAsia="方正仿宋_GBK" w:cs="Times New Roman"/>
          <w:sz w:val="28"/>
        </w:rPr>
        <w:t>负责</w:t>
      </w:r>
      <w:r>
        <w:rPr>
          <w:rFonts w:hint="default" w:ascii="Times New Roman" w:hAnsi="Times New Roman" w:eastAsia="方正仿宋_GBK" w:cs="Times New Roman"/>
          <w:sz w:val="28"/>
        </w:rPr>
        <w:t>新区涉外事</w:t>
      </w:r>
      <w:r>
        <w:rPr>
          <w:rFonts w:hint="default" w:ascii="Times New Roman" w:hAnsi="Times New Roman" w:eastAsia="方正仿宋_GBK" w:cs="Times New Roman"/>
          <w:sz w:val="28"/>
        </w:rPr>
        <w:t>务</w:t>
      </w:r>
      <w:r>
        <w:rPr>
          <w:rFonts w:hint="default" w:ascii="Times New Roman" w:hAnsi="Times New Roman" w:eastAsia="方正仿宋_GBK" w:cs="Times New Roman"/>
          <w:sz w:val="28"/>
        </w:rPr>
        <w:t>工作；</w:t>
      </w:r>
      <w:r>
        <w:rPr>
          <w:rFonts w:hint="default" w:ascii="Times New Roman" w:hAnsi="Times New Roman" w:eastAsia="方正仿宋_GBK" w:cs="Times New Roman"/>
          <w:sz w:val="28"/>
        </w:rPr>
        <w:t>负责对</w:t>
      </w:r>
      <w:r>
        <w:rPr>
          <w:rFonts w:hint="default" w:ascii="Times New Roman" w:hAnsi="Times New Roman" w:eastAsia="方正仿宋_GBK" w:cs="Times New Roman"/>
          <w:sz w:val="28"/>
        </w:rPr>
        <w:t>各平台商</w:t>
      </w:r>
      <w:r>
        <w:rPr>
          <w:rFonts w:hint="default" w:ascii="Times New Roman" w:hAnsi="Times New Roman" w:eastAsia="方正仿宋_GBK" w:cs="Times New Roman"/>
          <w:sz w:val="28"/>
        </w:rPr>
        <w:t>务</w:t>
      </w:r>
      <w:r>
        <w:rPr>
          <w:rFonts w:hint="default" w:ascii="Times New Roman" w:hAnsi="Times New Roman" w:eastAsia="方正仿宋_GBK" w:cs="Times New Roman"/>
          <w:sz w:val="28"/>
        </w:rPr>
        <w:t>合作</w:t>
      </w:r>
      <w:r>
        <w:rPr>
          <w:rFonts w:hint="default" w:ascii="Times New Roman" w:hAnsi="Times New Roman" w:eastAsia="方正仿宋_GBK" w:cs="Times New Roman"/>
          <w:sz w:val="28"/>
        </w:rPr>
        <w:t>类</w:t>
      </w:r>
      <w:r>
        <w:rPr>
          <w:rFonts w:hint="default" w:ascii="Times New Roman" w:hAnsi="Times New Roman" w:eastAsia="方正仿宋_GBK" w:cs="Times New Roman"/>
          <w:sz w:val="28"/>
        </w:rPr>
        <w:t>工作的指</w:t>
      </w:r>
      <w:r>
        <w:rPr>
          <w:rFonts w:hint="default" w:ascii="Times New Roman" w:hAnsi="Times New Roman" w:eastAsia="方正仿宋_GBK" w:cs="Times New Roman"/>
          <w:sz w:val="28"/>
        </w:rPr>
        <w:t>导协调</w:t>
      </w:r>
      <w:r>
        <w:rPr>
          <w:rFonts w:hint="default" w:ascii="Times New Roman" w:hAnsi="Times New Roman" w:eastAsia="方正仿宋_GBK" w:cs="Times New Roman"/>
          <w:sz w:val="28"/>
        </w:rPr>
        <w:t>。挂招商工作局、</w:t>
      </w:r>
      <w:r>
        <w:rPr>
          <w:rFonts w:hint="default" w:ascii="Times New Roman" w:hAnsi="Times New Roman" w:eastAsia="方正仿宋_GBK" w:cs="Times New Roman"/>
          <w:sz w:val="28"/>
        </w:rPr>
        <w:t>商</w:t>
      </w:r>
      <w:r>
        <w:rPr>
          <w:rFonts w:hint="default" w:ascii="Times New Roman" w:hAnsi="Times New Roman" w:eastAsia="方正仿宋_GBK" w:cs="Times New Roman"/>
          <w:sz w:val="28"/>
        </w:rPr>
        <w:t>务</w:t>
      </w:r>
      <w:r>
        <w:rPr>
          <w:rFonts w:hint="default" w:ascii="Times New Roman" w:hAnsi="Times New Roman" w:eastAsia="方正仿宋_GBK" w:cs="Times New Roman"/>
          <w:sz w:val="28"/>
        </w:rPr>
        <w:t>局、</w:t>
      </w:r>
      <w:r>
        <w:rPr>
          <w:rFonts w:hint="default" w:ascii="Times New Roman" w:hAnsi="Times New Roman" w:eastAsia="方正仿宋_GBK" w:cs="Times New Roman"/>
          <w:sz w:val="28"/>
        </w:rPr>
        <w:t>贸</w:t>
      </w:r>
      <w:r>
        <w:rPr>
          <w:rFonts w:hint="default" w:ascii="Times New Roman" w:hAnsi="Times New Roman" w:eastAsia="方正仿宋_GBK" w:cs="Times New Roman"/>
          <w:sz w:val="28"/>
        </w:rPr>
        <w:t>促会（国</w:t>
      </w:r>
      <w:r>
        <w:rPr>
          <w:rFonts w:hint="default" w:ascii="Times New Roman" w:hAnsi="Times New Roman" w:eastAsia="方正仿宋_GBK" w:cs="Times New Roman"/>
          <w:sz w:val="28"/>
        </w:rPr>
        <w:t>际</w:t>
      </w:r>
      <w:r>
        <w:rPr>
          <w:rFonts w:hint="default" w:ascii="Times New Roman" w:hAnsi="Times New Roman" w:eastAsia="方正仿宋_GBK" w:cs="Times New Roman"/>
          <w:sz w:val="28"/>
        </w:rPr>
        <w:t>商会）牌子。</w:t>
      </w:r>
      <w:r>
        <w:rPr>
          <w:rFonts w:hint="default" w:ascii="Times New Roman" w:hAnsi="Times New Roman" w:eastAsia="方正仿宋_GBK" w:cs="Times New Roman"/>
          <w:sz w:val="28"/>
        </w:rPr>
        <w:fldChar w:fldCharType="begin"/>
      </w:r>
      <w:r>
        <w:rPr>
          <w:rFonts w:hint="default" w:ascii="Times New Roman" w:hAnsi="Times New Roman" w:eastAsia="方正黑体_GBK" w:cs="Times New Roman"/>
          <w:sz w:val="28"/>
        </w:rPr>
        <w:instrText xml:space="preserve">tc "</w:instrText>
      </w:r>
      <w:bookmarkStart w:id="0" w:name="_Toc28866444"/>
      <w:r>
        <w:rPr>
          <w:rFonts w:hint="default" w:ascii="Times New Roman" w:hAnsi="Times New Roman" w:eastAsia="方正黑体_GBK" w:cs="Times New Roman"/>
          <w:sz w:val="28"/>
        </w:rPr>
        <w:instrText xml:space="preserve">总体绩效目标</w:instrText>
      </w:r>
      <w:bookmarkEnd w:id="0"/>
      <w:r>
        <w:rPr>
          <w:rFonts w:hint="default" w:ascii="Times New Roman" w:hAnsi="Times New Roman" w:eastAsia="方正黑体_GBK" w:cs="Times New Roman"/>
          <w:sz w:val="28"/>
        </w:rPr>
        <w:instrText xml:space="preserve">" \f A \l 001</w:instrText>
      </w:r>
      <w:r>
        <w:rPr>
          <w:rFonts w:hint="default" w:ascii="Times New Roman" w:hAnsi="Times New Roman" w:eastAsia="方正仿宋_GBK" w:cs="Times New Roman"/>
          <w:sz w:val="28"/>
        </w:rPr>
        <w:fldChar w:fldCharType="end"/>
      </w:r>
    </w:p>
    <w:p>
      <w:pPr>
        <w:ind w:firstLine="627" w:firstLineChars="196"/>
        <w:jc w:val="left"/>
        <w:outlineLvl w:val="1"/>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（二）分项绩效目标</w:t>
      </w:r>
      <w:r>
        <w:rPr>
          <w:rFonts w:hint="default" w:ascii="Times New Roman" w:hAnsi="Times New Roman" w:eastAsia="方正楷体简体" w:cs="Times New Roman"/>
          <w:sz w:val="32"/>
          <w:szCs w:val="32"/>
        </w:rPr>
        <w:fldChar w:fldCharType="begin"/>
      </w:r>
      <w:r>
        <w:rPr>
          <w:rFonts w:hint="default" w:ascii="Times New Roman" w:hAnsi="Times New Roman" w:eastAsia="方正楷体简体" w:cs="Times New Roman"/>
          <w:sz w:val="32"/>
          <w:szCs w:val="32"/>
        </w:rPr>
        <w:instrText xml:space="preserve">tc "</w:instrText>
      </w:r>
      <w:bookmarkStart w:id="1" w:name="_Toc28866445"/>
      <w:r>
        <w:rPr>
          <w:rFonts w:hint="default" w:ascii="Times New Roman" w:hAnsi="Times New Roman" w:eastAsia="方正楷体简体" w:cs="Times New Roman"/>
          <w:sz w:val="32"/>
          <w:szCs w:val="32"/>
        </w:rPr>
        <w:instrText xml:space="preserve">分项绩效目标</w:instrText>
      </w:r>
      <w:bookmarkEnd w:id="1"/>
      <w:r>
        <w:rPr>
          <w:rFonts w:hint="default" w:ascii="Times New Roman" w:hAnsi="Times New Roman" w:eastAsia="方正楷体简体" w:cs="Times New Roman"/>
          <w:sz w:val="32"/>
          <w:szCs w:val="32"/>
        </w:rPr>
        <w:instrText xml:space="preserve">" \f A \l 001</w:instrText>
      </w:r>
      <w:r>
        <w:rPr>
          <w:rFonts w:hint="default" w:ascii="Times New Roman" w:hAnsi="Times New Roman" w:eastAsia="方正楷体简体" w:cs="Times New Roman"/>
          <w:sz w:val="32"/>
          <w:szCs w:val="32"/>
        </w:rPr>
        <w:fldChar w:fldCharType="end"/>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1.</w:t>
      </w:r>
      <w:r>
        <w:rPr>
          <w:rFonts w:hint="default" w:ascii="Times New Roman" w:hAnsi="Times New Roman" w:eastAsia="方正仿宋_GBK" w:cs="Times New Roman"/>
          <w:sz w:val="28"/>
        </w:rPr>
        <w:t>精心谋划招商平台，创新推进以商招商活动。一是打造产业招商平台。</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2.</w:t>
      </w:r>
      <w:r>
        <w:rPr>
          <w:rFonts w:hint="default" w:ascii="Times New Roman" w:hAnsi="Times New Roman" w:eastAsia="方正仿宋_GBK" w:cs="Times New Roman"/>
          <w:sz w:val="28"/>
        </w:rPr>
        <w:t>科学研判招商重点，快速打开招商工作新局面。一是科学研判招商重点。</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3.</w:t>
      </w:r>
      <w:r>
        <w:rPr>
          <w:rFonts w:hint="default" w:ascii="Times New Roman" w:hAnsi="Times New Roman" w:eastAsia="方正仿宋_GBK" w:cs="Times New Roman"/>
          <w:sz w:val="28"/>
        </w:rPr>
        <w:t>坚持</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走出去</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请进来</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并重，全方位多渠道推进精准招商。一是积极</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走出去</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4.</w:t>
      </w:r>
      <w:r>
        <w:rPr>
          <w:rFonts w:hint="default" w:ascii="Times New Roman" w:hAnsi="Times New Roman" w:eastAsia="方正仿宋_GBK" w:cs="Times New Roman"/>
          <w:sz w:val="28"/>
        </w:rPr>
        <w:t>探索建立行业监管长效管理机制。</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5.</w:t>
      </w:r>
      <w:r>
        <w:rPr>
          <w:rFonts w:hint="default" w:ascii="Times New Roman" w:hAnsi="Times New Roman" w:eastAsia="方正仿宋_GBK" w:cs="Times New Roman"/>
          <w:sz w:val="28"/>
        </w:rPr>
        <w:t>大力推进</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美食海岸</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建设工作。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6.</w:t>
      </w:r>
      <w:r>
        <w:rPr>
          <w:rFonts w:hint="default" w:ascii="Times New Roman" w:hAnsi="Times New Roman" w:eastAsia="方正仿宋_GBK" w:cs="Times New Roman"/>
          <w:sz w:val="28"/>
        </w:rPr>
        <w:t>切实加强便民市场规划和管理。</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7.</w:t>
      </w:r>
      <w:r>
        <w:rPr>
          <w:rFonts w:hint="default" w:ascii="Times New Roman" w:hAnsi="Times New Roman" w:eastAsia="方正仿宋_GBK" w:cs="Times New Roman"/>
          <w:sz w:val="28"/>
        </w:rPr>
        <w:t>持续开展成品油市场整治工作。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8.</w:t>
      </w:r>
      <w:r>
        <w:rPr>
          <w:rFonts w:hint="default" w:ascii="Times New Roman" w:hAnsi="Times New Roman" w:eastAsia="方正仿宋_GBK" w:cs="Times New Roman"/>
          <w:sz w:val="28"/>
        </w:rPr>
        <w:t>进一步提升服务外贸企业水平。</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9.</w:t>
      </w:r>
      <w:r>
        <w:rPr>
          <w:rFonts w:hint="default" w:ascii="Times New Roman" w:hAnsi="Times New Roman" w:eastAsia="方正仿宋_GBK" w:cs="Times New Roman"/>
          <w:sz w:val="28"/>
        </w:rPr>
        <w:t>努力推动社零额增速保持全市前列。</w:t>
      </w:r>
    </w:p>
    <w:p>
      <w:pPr>
        <w:spacing w:line="500" w:lineRule="exact"/>
        <w:ind w:firstLine="640" w:firstLineChars="200"/>
        <w:jc w:val="left"/>
        <w:outlineLvl w:val="1"/>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（三）工作保障措施</w:t>
      </w:r>
      <w:r>
        <w:rPr>
          <w:rFonts w:hint="default" w:ascii="Times New Roman" w:hAnsi="Times New Roman" w:eastAsia="方正楷体简体" w:cs="Times New Roman"/>
          <w:sz w:val="32"/>
          <w:szCs w:val="32"/>
        </w:rPr>
        <w:fldChar w:fldCharType="begin"/>
      </w:r>
      <w:r>
        <w:rPr>
          <w:rFonts w:hint="default" w:ascii="Times New Roman" w:hAnsi="Times New Roman" w:eastAsia="方正楷体简体" w:cs="Times New Roman"/>
          <w:sz w:val="32"/>
          <w:szCs w:val="32"/>
        </w:rPr>
        <w:instrText xml:space="preserve">tc "</w:instrText>
      </w:r>
      <w:bookmarkStart w:id="2" w:name="_Toc28866446"/>
      <w:r>
        <w:rPr>
          <w:rFonts w:hint="default" w:ascii="Times New Roman" w:hAnsi="Times New Roman" w:eastAsia="方正楷体简体" w:cs="Times New Roman"/>
          <w:sz w:val="32"/>
          <w:szCs w:val="32"/>
        </w:rPr>
        <w:instrText xml:space="preserve">工作保障措施</w:instrText>
      </w:r>
      <w:bookmarkEnd w:id="2"/>
      <w:r>
        <w:rPr>
          <w:rFonts w:hint="default" w:ascii="Times New Roman" w:hAnsi="Times New Roman" w:eastAsia="方正楷体简体" w:cs="Times New Roman"/>
          <w:sz w:val="32"/>
          <w:szCs w:val="32"/>
        </w:rPr>
        <w:instrText xml:space="preserve">" \f A \l 001</w:instrText>
      </w:r>
      <w:r>
        <w:rPr>
          <w:rFonts w:hint="default" w:ascii="Times New Roman" w:hAnsi="Times New Roman" w:eastAsia="方正楷体简体" w:cs="Times New Roman"/>
          <w:sz w:val="32"/>
          <w:szCs w:val="32"/>
        </w:rPr>
        <w:fldChar w:fldCharType="end"/>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积极参加会议会展活动，发挥企业、协会、商会、中介组织等社会组织参与招商活动，借助企业、商会的信息、人脉资源促进招商的针对性、有效性，化解招商</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路子窄、线索少</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的问题，创新推进以商招商活动。</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加快推进产业集聚区建设。统筹协调全区招商引资工作。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将上门精准招商作为项目对接的主要抓手，加大</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走出去</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频次，精准目标上门对接。对于重点招商项目坚持</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高位推动</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，管委主要负责同志牵头组织外出招商，走访企业，拜会客商。</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认真落实成品油市场、安全生产、食品安全、环境保护、再生资源、电子商务、</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双随机一公开</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等多个行业领域管理职责，坚持日常巡查与集中检查相结合、公共区域与重点部位相结合，做到整改到位、不留死角，探索建立长效管理机制，切实将行业管理贯穿全年工作始终。</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加强美食配套建设</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加强便民市场建设，编制北戴河新区便民市场发展规划，科学布局便民市场网点，为本地人口提供便捷的购物网点，拉动新区旅游消费增长。加强南戴河市场、渔港道市场日常管理，规范市场经营秩序，并配合相关部门做好创建国家文明城市等我市和新区重点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牵头组织开展成品油市场检查，深入开展扫除</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黑加油站（点）</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工作，确保成品油市场经营秩序稳定；全面完成加油站车用乙醇汽油置换工作，严厉查处销售非乙醇汽油的违法行为，保障消费市场油品供应充。</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深入外贸企业进行走访调研，了解企业经营情况和面临的问题，为外贸企业排忧解难</w:t>
      </w:r>
    </w:p>
    <w:p>
      <w:pPr>
        <w:numPr>
          <w:ilvl w:val="0"/>
          <w:numId w:val="0"/>
        </w:numPr>
        <w:rPr>
          <w:rFonts w:hint="default" w:ascii="Times New Roman" w:hAnsi="Times New Roman" w:eastAsia="黑体" w:cs="Times New Roman"/>
          <w:sz w:val="32"/>
          <w:szCs w:val="32"/>
        </w:rPr>
      </w:pP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322</w:t>
            </w:r>
            <w:r>
              <w:rPr>
                <w:rFonts w:hint="default" w:ascii="Times New Roman" w:hAnsi="Times New Roman" w:eastAsia="方正小标宋_GBK" w:cs="Times New Roman"/>
                <w:sz w:val="24"/>
              </w:rPr>
              <w:t>秦皇岛北戴河新区商务合作局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hint="default" w:ascii="Times New Roman" w:hAnsi="Times New Roman" w:eastAsia="方正书宋_GBK" w:cs="Times New Roman"/>
                <w:sz w:val="24"/>
              </w:rPr>
            </w:pPr>
            <w:r>
              <w:rPr>
                <w:rFonts w:hint="default" w:ascii="Times New Roman" w:hAnsi="Times New Roman"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职责活动</w:t>
            </w:r>
          </w:p>
        </w:tc>
        <w:tc>
          <w:tcPr>
            <w:tcW w:w="1276" w:type="dxa"/>
            <w:vMerge w:val="restar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年度预算数</w:t>
            </w:r>
          </w:p>
        </w:tc>
        <w:tc>
          <w:tcPr>
            <w:tcW w:w="2976" w:type="dxa"/>
            <w:vMerge w:val="restar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内容描述</w:t>
            </w:r>
          </w:p>
        </w:tc>
        <w:tc>
          <w:tcPr>
            <w:tcW w:w="2976" w:type="dxa"/>
            <w:vMerge w:val="restar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1417" w:type="dxa"/>
            <w:vMerge w:val="restar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w:t>
            </w:r>
          </w:p>
        </w:tc>
        <w:tc>
          <w:tcPr>
            <w:tcW w:w="2948" w:type="dxa"/>
            <w:gridSpan w:val="4"/>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hint="default" w:ascii="Times New Roman" w:hAnsi="Times New Roman" w:cs="Times New Roman"/>
              </w:rPr>
            </w:pPr>
          </w:p>
        </w:tc>
        <w:tc>
          <w:tcPr>
            <w:tcW w:w="1276" w:type="dxa"/>
            <w:vMerge w:val="continue"/>
            <w:vAlign w:val="center"/>
          </w:tcPr>
          <w:p>
            <w:pPr>
              <w:spacing w:line="300" w:lineRule="exact"/>
              <w:jc w:val="left"/>
              <w:outlineLvl w:val="0"/>
              <w:rPr>
                <w:rFonts w:hint="default" w:ascii="Times New Roman" w:hAnsi="Times New Roman" w:cs="Times New Roman"/>
              </w:rPr>
            </w:pPr>
          </w:p>
        </w:tc>
        <w:tc>
          <w:tcPr>
            <w:tcW w:w="2976" w:type="dxa"/>
            <w:vMerge w:val="continue"/>
            <w:vAlign w:val="center"/>
          </w:tcPr>
          <w:p>
            <w:pPr>
              <w:spacing w:line="300" w:lineRule="exact"/>
              <w:jc w:val="left"/>
              <w:outlineLvl w:val="0"/>
              <w:rPr>
                <w:rFonts w:hint="default" w:ascii="Times New Roman" w:hAnsi="Times New Roman" w:cs="Times New Roman"/>
              </w:rPr>
            </w:pPr>
          </w:p>
        </w:tc>
        <w:tc>
          <w:tcPr>
            <w:tcW w:w="2976" w:type="dxa"/>
            <w:vMerge w:val="continue"/>
            <w:vAlign w:val="center"/>
          </w:tcPr>
          <w:p>
            <w:pPr>
              <w:spacing w:line="300" w:lineRule="exact"/>
              <w:jc w:val="left"/>
              <w:outlineLvl w:val="0"/>
              <w:rPr>
                <w:rFonts w:hint="default" w:ascii="Times New Roman" w:hAnsi="Times New Roman" w:cs="Times New Roman"/>
              </w:rPr>
            </w:pPr>
          </w:p>
        </w:tc>
        <w:tc>
          <w:tcPr>
            <w:tcW w:w="1417" w:type="dxa"/>
            <w:vMerge w:val="continue"/>
            <w:vAlign w:val="center"/>
          </w:tcPr>
          <w:p>
            <w:pPr>
              <w:spacing w:line="300" w:lineRule="exact"/>
              <w:jc w:val="left"/>
              <w:outlineLvl w:val="0"/>
              <w:rPr>
                <w:rFonts w:hint="default" w:ascii="Times New Roman" w:hAnsi="Times New Roman" w:cs="Times New Roman"/>
              </w:rPr>
            </w:pPr>
          </w:p>
        </w:tc>
        <w:tc>
          <w:tcPr>
            <w:tcW w:w="737" w:type="dxa"/>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优</w:t>
            </w:r>
          </w:p>
        </w:tc>
        <w:tc>
          <w:tcPr>
            <w:tcW w:w="737" w:type="dxa"/>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良</w:t>
            </w:r>
          </w:p>
        </w:tc>
        <w:tc>
          <w:tcPr>
            <w:tcW w:w="737" w:type="dxa"/>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中</w:t>
            </w:r>
          </w:p>
        </w:tc>
        <w:tc>
          <w:tcPr>
            <w:tcW w:w="737" w:type="dxa"/>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对内商贸管理</w:t>
            </w:r>
          </w:p>
        </w:tc>
        <w:tc>
          <w:tcPr>
            <w:tcW w:w="12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10</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拟定新区国内贸易发展规划，推进农村区场体系建设，组织实施农村现代流通网络工程；推进流通产业结构调整，推动流通标准化和现代流通方式的发展；承担组织实施重要消费品区场调控和重要生产资料流通管理的责任。</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按照新区关于搞活商贸流通的相关要求，完成任务分解、资金安排等相关工作</w:t>
            </w:r>
          </w:p>
        </w:tc>
        <w:tc>
          <w:tcPr>
            <w:tcW w:w="1417" w:type="dxa"/>
            <w:vAlign w:val="center"/>
          </w:tcPr>
          <w:p>
            <w:pPr>
              <w:spacing w:line="300" w:lineRule="exact"/>
              <w:jc w:val="left"/>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开拓国内市场</w:t>
            </w:r>
          </w:p>
        </w:tc>
        <w:tc>
          <w:tcPr>
            <w:tcW w:w="1276" w:type="dxa"/>
            <w:vMerge w:val="restart"/>
            <w:vAlign w:val="center"/>
          </w:tcPr>
          <w:p>
            <w:pPr>
              <w:spacing w:line="300" w:lineRule="exact"/>
              <w:jc w:val="left"/>
              <w:rPr>
                <w:rFonts w:hint="default" w:ascii="Times New Roman" w:hAnsi="Times New Roman" w:eastAsia="方正书宋_GBK" w:cs="Times New Roman"/>
              </w:rPr>
            </w:pPr>
          </w:p>
        </w:tc>
        <w:tc>
          <w:tcPr>
            <w:tcW w:w="2976" w:type="dxa"/>
            <w:vMerge w:val="restar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组织新区企业参加商务部组织的商贸洽谈活动。</w:t>
            </w:r>
          </w:p>
        </w:tc>
        <w:tc>
          <w:tcPr>
            <w:tcW w:w="2976" w:type="dxa"/>
            <w:vMerge w:val="restar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推进新区商贸企业工贸、农贸和内外贸结合，扩大新区产品的知名度，增加国内市场份额。</w:t>
            </w: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企业现场签订意向合同金额（万元）</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100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70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50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default" w:ascii="Times New Roman" w:hAnsi="Times New Roman" w:eastAsia="方正书宋_GBK" w:cs="Times New Roman"/>
                <w:b/>
              </w:rPr>
            </w:pPr>
          </w:p>
        </w:tc>
        <w:tc>
          <w:tcPr>
            <w:tcW w:w="12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企业现场销售金额（万</w:t>
            </w:r>
            <w:bookmarkStart w:id="4" w:name="_GoBack"/>
            <w:bookmarkEnd w:id="4"/>
            <w:r>
              <w:rPr>
                <w:rFonts w:hint="default" w:ascii="Times New Roman" w:hAnsi="Times New Roman" w:eastAsia="方正书宋_GBK" w:cs="Times New Roman"/>
              </w:rPr>
              <w:t>元）</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10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7</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5</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default" w:ascii="Times New Roman" w:hAnsi="Times New Roman" w:eastAsia="方正书宋_GBK" w:cs="Times New Roman"/>
                <w:b/>
              </w:rPr>
            </w:pPr>
          </w:p>
        </w:tc>
        <w:tc>
          <w:tcPr>
            <w:tcW w:w="12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参展企业数量</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5</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4</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default" w:ascii="Times New Roman" w:hAnsi="Times New Roman" w:eastAsia="方正书宋_GBK" w:cs="Times New Roman"/>
                <w:b/>
              </w:rPr>
            </w:pPr>
          </w:p>
        </w:tc>
        <w:tc>
          <w:tcPr>
            <w:tcW w:w="12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国内展会次数</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3</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农村电子商务建设</w:t>
            </w:r>
          </w:p>
        </w:tc>
        <w:tc>
          <w:tcPr>
            <w:tcW w:w="1276" w:type="dxa"/>
            <w:vMerge w:val="restart"/>
            <w:vAlign w:val="center"/>
          </w:tcPr>
          <w:p>
            <w:pPr>
              <w:spacing w:line="300" w:lineRule="exact"/>
              <w:jc w:val="left"/>
              <w:rPr>
                <w:rFonts w:hint="default" w:ascii="Times New Roman" w:hAnsi="Times New Roman" w:eastAsia="方正书宋_GBK" w:cs="Times New Roman"/>
              </w:rPr>
            </w:pPr>
          </w:p>
        </w:tc>
        <w:tc>
          <w:tcPr>
            <w:tcW w:w="2976" w:type="dxa"/>
            <w:vMerge w:val="restar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支持农村电子商务基础设施建设，完善服务体系。</w:t>
            </w:r>
          </w:p>
        </w:tc>
        <w:tc>
          <w:tcPr>
            <w:tcW w:w="2976" w:type="dxa"/>
            <w:vMerge w:val="restar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提高农村电子商务应用，扩大农村网络消费规模。推动农村电子商务基础设施建设，提高电子商务执业人员素质；建立与农村电子商务发展相适应的机制和体系。</w:t>
            </w: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培训农村电商人员数量</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52</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40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25</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default" w:ascii="Times New Roman" w:hAnsi="Times New Roman" w:eastAsia="方正书宋_GBK" w:cs="Times New Roman"/>
                <w:b/>
              </w:rPr>
            </w:pPr>
          </w:p>
        </w:tc>
        <w:tc>
          <w:tcPr>
            <w:tcW w:w="12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农村电商企业营业额增长率</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10%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5%</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促进商贸流通</w:t>
            </w:r>
          </w:p>
        </w:tc>
        <w:tc>
          <w:tcPr>
            <w:tcW w:w="12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10</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扶持商贸流通领域中小企业发展，支持大型商贸企业、商贸连锁经营企业或第三方商贸物流企业的标准化配送中心建设及改造、物流信息平台建设</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统筹城乡商贸物流配送中心建设，提高共同配送率。</w:t>
            </w: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商贸物流配送中心家数</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3</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消费市场调控</w:t>
            </w:r>
          </w:p>
        </w:tc>
        <w:tc>
          <w:tcPr>
            <w:tcW w:w="1276" w:type="dxa"/>
            <w:vMerge w:val="restart"/>
            <w:vAlign w:val="center"/>
          </w:tcPr>
          <w:p>
            <w:pPr>
              <w:spacing w:line="300" w:lineRule="exact"/>
              <w:jc w:val="left"/>
              <w:rPr>
                <w:rFonts w:hint="default" w:ascii="Times New Roman" w:hAnsi="Times New Roman" w:eastAsia="方正书宋_GBK" w:cs="Times New Roman"/>
              </w:rPr>
            </w:pPr>
          </w:p>
        </w:tc>
        <w:tc>
          <w:tcPr>
            <w:tcW w:w="2976" w:type="dxa"/>
            <w:vMerge w:val="restar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承担肉菜等重要消费品储备管理和市场调控工作，组织开展消费促进活动，监测市场运行、商品供求状况，进行预测预警。</w:t>
            </w:r>
          </w:p>
        </w:tc>
        <w:tc>
          <w:tcPr>
            <w:tcW w:w="2976" w:type="dxa"/>
            <w:vMerge w:val="restar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确保储备商品质量完好，数量充足，准确监测新区市场运行情况，及时预测预警，指导生产经营。</w:t>
            </w: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参与企业数</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10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5</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default" w:ascii="Times New Roman" w:hAnsi="Times New Roman" w:eastAsia="方正书宋_GBK" w:cs="Times New Roman"/>
                <w:b/>
              </w:rPr>
            </w:pPr>
          </w:p>
        </w:tc>
        <w:tc>
          <w:tcPr>
            <w:tcW w:w="12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监测信息报送率</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70%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default" w:ascii="Times New Roman" w:hAnsi="Times New Roman" w:eastAsia="方正书宋_GBK" w:cs="Times New Roman"/>
                <w:b/>
              </w:rPr>
            </w:pPr>
          </w:p>
        </w:tc>
        <w:tc>
          <w:tcPr>
            <w:tcW w:w="12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储备商品计划数量完成率</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100%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85%</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default" w:ascii="Times New Roman" w:hAnsi="Times New Roman" w:eastAsia="方正书宋_GBK" w:cs="Times New Roman"/>
                <w:b/>
              </w:rPr>
            </w:pPr>
          </w:p>
        </w:tc>
        <w:tc>
          <w:tcPr>
            <w:tcW w:w="12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参与企业销售额增长率</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4%</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3%</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2%</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对外贸易管理</w:t>
            </w:r>
          </w:p>
        </w:tc>
        <w:tc>
          <w:tcPr>
            <w:tcW w:w="12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234.00</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拟订新区外经济合作及外商投资政策、进出口总量计划并组织实施，协调大宗进出口商品，依法监督技术引进、设备进口、国家限制出口的技术工作，拟订新区服务贸易发展规划并组织实施；负责对外贸易相关行政审批。</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促进对外贸易稳定增长，优化产品结构。完成市政府下达的外贸进出口指标。</w:t>
            </w:r>
          </w:p>
        </w:tc>
        <w:tc>
          <w:tcPr>
            <w:tcW w:w="1417" w:type="dxa"/>
            <w:vAlign w:val="center"/>
          </w:tcPr>
          <w:p>
            <w:pPr>
              <w:spacing w:line="300" w:lineRule="exact"/>
              <w:jc w:val="left"/>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招商引资</w:t>
            </w:r>
          </w:p>
        </w:tc>
        <w:tc>
          <w:tcPr>
            <w:tcW w:w="1276" w:type="dxa"/>
            <w:vMerge w:val="restar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134.00</w:t>
            </w:r>
          </w:p>
        </w:tc>
        <w:tc>
          <w:tcPr>
            <w:tcW w:w="2976" w:type="dxa"/>
            <w:vMerge w:val="restar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规范新区对外招商引资活动，组织实施投资贸易洽谈会等活动。组织新区企业走出去，开展贸易洽谈、招商合作等活动，促进贸易往来。</w:t>
            </w:r>
          </w:p>
        </w:tc>
        <w:tc>
          <w:tcPr>
            <w:tcW w:w="2976" w:type="dxa"/>
            <w:vMerge w:val="restar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瞄准重点区域、重点客商和商务机构，加强企业对接、园区对接，项目对接，宣传新区投资环境，力争在重点产业引进一批战略支撑项目、龙头企业和协力配套企业。</w:t>
            </w: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到会客商人数</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400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300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200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default" w:ascii="Times New Roman" w:hAnsi="Times New Roman" w:eastAsia="方正书宋_GBK" w:cs="Times New Roman"/>
                <w:b/>
              </w:rPr>
            </w:pPr>
          </w:p>
        </w:tc>
        <w:tc>
          <w:tcPr>
            <w:tcW w:w="12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招商引资规模增长率</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5</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default" w:ascii="Times New Roman" w:hAnsi="Times New Roman" w:eastAsia="方正书宋_GBK" w:cs="Times New Roman"/>
                <w:b/>
              </w:rPr>
            </w:pPr>
          </w:p>
        </w:tc>
        <w:tc>
          <w:tcPr>
            <w:tcW w:w="12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举办活动数量</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3</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发展服务贸易和服务外包</w:t>
            </w:r>
          </w:p>
        </w:tc>
        <w:tc>
          <w:tcPr>
            <w:tcW w:w="1276" w:type="dxa"/>
            <w:vMerge w:val="restart"/>
            <w:vAlign w:val="center"/>
          </w:tcPr>
          <w:p>
            <w:pPr>
              <w:spacing w:line="300" w:lineRule="exact"/>
              <w:jc w:val="left"/>
              <w:rPr>
                <w:rFonts w:hint="default" w:ascii="Times New Roman" w:hAnsi="Times New Roman" w:eastAsia="方正书宋_GBK" w:cs="Times New Roman"/>
              </w:rPr>
            </w:pPr>
          </w:p>
        </w:tc>
        <w:tc>
          <w:tcPr>
            <w:tcW w:w="2976" w:type="dxa"/>
            <w:vMerge w:val="restar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推介新区服务贸易和服务外包企业、扩大技术进出口、软件信息服务业和离岸服务外包出口，宣传新区服务贸易政策、开拓国内外市场。</w:t>
            </w:r>
          </w:p>
        </w:tc>
        <w:tc>
          <w:tcPr>
            <w:tcW w:w="2976" w:type="dxa"/>
            <w:vMerge w:val="restar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促进服务贸易进出口额增长，结构不断优化，对外开放水平日益提升，加速推进全省服务业的对外开放水平促进我市现代服务业增长，转变外贸产业结构。</w:t>
            </w: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签订意向协议金额（亿美元）</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0.15</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0.1</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0.5</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default" w:ascii="Times New Roman" w:hAnsi="Times New Roman" w:eastAsia="方正书宋_GBK" w:cs="Times New Roman"/>
                <w:b/>
              </w:rPr>
            </w:pPr>
          </w:p>
        </w:tc>
        <w:tc>
          <w:tcPr>
            <w:tcW w:w="12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组织参展参会企业个数</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20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15</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10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促进对外经贸服务</w:t>
            </w:r>
          </w:p>
        </w:tc>
        <w:tc>
          <w:tcPr>
            <w:tcW w:w="12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推动新区企业到境外投资建厂，建立或收购国际营销网络；做好进出口数据采集、贸易救济措施调查、产业损害预警、利用外资管理等工作</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完成上级部门下达目标，确保对外投资和经济合作业务稳定增长。</w:t>
            </w: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对外投资额增长率</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15%</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12%</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10%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提高外贸市场竞争能力</w:t>
            </w:r>
          </w:p>
        </w:tc>
        <w:tc>
          <w:tcPr>
            <w:tcW w:w="1276" w:type="dxa"/>
            <w:vMerge w:val="restart"/>
            <w:vAlign w:val="center"/>
          </w:tcPr>
          <w:p>
            <w:pPr>
              <w:spacing w:line="300" w:lineRule="exact"/>
              <w:jc w:val="left"/>
              <w:rPr>
                <w:rFonts w:hint="default" w:ascii="Times New Roman" w:hAnsi="Times New Roman" w:eastAsia="方正书宋_GBK" w:cs="Times New Roman"/>
              </w:rPr>
            </w:pPr>
          </w:p>
        </w:tc>
        <w:tc>
          <w:tcPr>
            <w:tcW w:w="2976" w:type="dxa"/>
            <w:vMerge w:val="restar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打造以技术、质量、品牌、服务为核心的国际竞争新优势，支持外贸基地、品牌、境外营销网络建设，发展跨境电子商务、内外贸结合商品市场、外贸综合服务企业等新业态。</w:t>
            </w:r>
          </w:p>
        </w:tc>
        <w:tc>
          <w:tcPr>
            <w:tcW w:w="2976" w:type="dxa"/>
            <w:vMerge w:val="restar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创新外贸发展模式，提高外贸发展质量，促进外贸发展方式转变。</w:t>
            </w: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外贸综合服务企业出口额（亿美元）</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0.25</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0.15</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0.1</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default" w:ascii="Times New Roman" w:hAnsi="Times New Roman" w:eastAsia="方正书宋_GBK" w:cs="Times New Roman"/>
                <w:b/>
              </w:rPr>
            </w:pPr>
          </w:p>
        </w:tc>
        <w:tc>
          <w:tcPr>
            <w:tcW w:w="12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2976" w:type="dxa"/>
            <w:vMerge w:val="continue"/>
            <w:vAlign w:val="center"/>
          </w:tcPr>
          <w:p>
            <w:pPr>
              <w:spacing w:line="300" w:lineRule="exact"/>
              <w:jc w:val="left"/>
              <w:rPr>
                <w:rFonts w:hint="default" w:ascii="Times New Roman" w:hAnsi="Times New Roman" w:eastAsia="方正书宋_GBK" w:cs="Times New Roman"/>
              </w:rPr>
            </w:pP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对新兴市场、</w:t>
            </w:r>
            <w:r>
              <w:rPr>
                <w:rFonts w:hint="default" w:ascii="Times New Roman" w:hAnsi="Times New Roman" w:eastAsia="方正书宋_GBK" w:cs="Times New Roman"/>
              </w:rPr>
              <w:t>“</w:t>
            </w:r>
            <w:r>
              <w:rPr>
                <w:rFonts w:hint="default" w:ascii="Times New Roman" w:hAnsi="Times New Roman" w:eastAsia="方正书宋_GBK" w:cs="Times New Roman"/>
              </w:rPr>
              <w:t>一带一路</w:t>
            </w:r>
            <w:r>
              <w:rPr>
                <w:rFonts w:hint="default" w:ascii="Times New Roman" w:hAnsi="Times New Roman" w:eastAsia="方正书宋_GBK" w:cs="Times New Roman"/>
              </w:rPr>
              <w:t>”</w:t>
            </w:r>
            <w:r>
              <w:rPr>
                <w:rFonts w:hint="default" w:ascii="Times New Roman" w:hAnsi="Times New Roman" w:eastAsia="方正书宋_GBK" w:cs="Times New Roman"/>
              </w:rPr>
              <w:t>市场出口增长率</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0.1%</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持平</w:t>
            </w: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未增长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商务政务管理</w:t>
            </w:r>
          </w:p>
        </w:tc>
        <w:tc>
          <w:tcPr>
            <w:tcW w:w="1276" w:type="dxa"/>
            <w:vAlign w:val="center"/>
          </w:tcPr>
          <w:p>
            <w:pPr>
              <w:spacing w:line="300" w:lineRule="exact"/>
              <w:jc w:val="left"/>
              <w:rPr>
                <w:rFonts w:hint="default" w:ascii="Times New Roman" w:hAnsi="Times New Roman" w:eastAsia="方正书宋_GBK" w:cs="Times New Roman"/>
              </w:rPr>
            </w:pP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负责系统综合业务管理和机关综合事务管理。</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统筹协调新区打击侵权假冒工作，完善建设发展管理体系，增强网上办事能力，确保商务顺利完成</w:t>
            </w:r>
          </w:p>
        </w:tc>
        <w:tc>
          <w:tcPr>
            <w:tcW w:w="1417" w:type="dxa"/>
            <w:vAlign w:val="center"/>
          </w:tcPr>
          <w:p>
            <w:pPr>
              <w:spacing w:line="300" w:lineRule="exact"/>
              <w:jc w:val="left"/>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综合业务管理</w:t>
            </w:r>
          </w:p>
        </w:tc>
        <w:tc>
          <w:tcPr>
            <w:tcW w:w="1276" w:type="dxa"/>
            <w:vAlign w:val="center"/>
          </w:tcPr>
          <w:p>
            <w:pPr>
              <w:spacing w:line="300" w:lineRule="exact"/>
              <w:jc w:val="left"/>
              <w:rPr>
                <w:rFonts w:hint="default" w:ascii="Times New Roman" w:hAnsi="Times New Roman" w:eastAsia="方正书宋_GBK" w:cs="Times New Roman"/>
              </w:rPr>
            </w:pP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做好商贸领域政策制定、改革推进、新闻宣传和信息管理等工作，统筹协调打击侵犯假冒工作，对拍卖、典当行业进行监督管理。</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保障各项业务工作畅通。</w:t>
            </w: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综合业务管理工作完成率</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w:t>
            </w:r>
            <w:r>
              <w:rPr>
                <w:rFonts w:hint="default" w:ascii="Times New Roman" w:hAnsi="Times New Roman" w:eastAsia="方正书宋_GBK" w:cs="Times New Roman"/>
                <w:b/>
              </w:rPr>
              <w:t>;</w:t>
            </w:r>
          </w:p>
        </w:tc>
        <w:tc>
          <w:tcPr>
            <w:tcW w:w="1276" w:type="dxa"/>
            <w:vAlign w:val="center"/>
          </w:tcPr>
          <w:p>
            <w:pPr>
              <w:spacing w:line="300" w:lineRule="exact"/>
              <w:jc w:val="left"/>
              <w:rPr>
                <w:rFonts w:hint="default" w:ascii="Times New Roman" w:hAnsi="Times New Roman" w:eastAsia="方正书宋_GBK" w:cs="Times New Roman"/>
              </w:rPr>
            </w:pP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做好会议培训组织，内部信息化建设与维护，财务和资产管理，标准化建设，基础设施维修，大型设备购置，人事、党务等工作。负责直属企事业单位管理工作。</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保障机关正常工作有效运转。</w:t>
            </w: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综合事务管理工作完成率</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bl>
    <w:p>
      <w:pPr>
        <w:autoSpaceDE w:val="0"/>
        <w:autoSpaceDN w:val="0"/>
        <w:adjustRightInd w:val="0"/>
        <w:jc w:val="left"/>
        <w:rPr>
          <w:rFonts w:hint="default" w:ascii="Times New Roman" w:hAnsi="Times New Roman" w:cs="Times New Roman"/>
          <w:kern w:val="0"/>
          <w:sz w:val="18"/>
          <w:szCs w:val="18"/>
          <w:lang w:val="zh-CN"/>
        </w:rPr>
      </w:pPr>
    </w:p>
    <w:p>
      <w:pPr>
        <w:autoSpaceDE w:val="0"/>
        <w:autoSpaceDN w:val="0"/>
        <w:adjustRightInd w:val="0"/>
        <w:jc w:val="left"/>
        <w:rPr>
          <w:rFonts w:hint="default" w:ascii="Times New Roman" w:hAnsi="Times New Roman" w:cs="Times New Roman"/>
          <w:kern w:val="0"/>
          <w:sz w:val="18"/>
          <w:szCs w:val="18"/>
          <w:lang w:val="zh-CN"/>
        </w:rPr>
      </w:pPr>
    </w:p>
    <w:p>
      <w:pPr>
        <w:autoSpaceDE w:val="0"/>
        <w:autoSpaceDN w:val="0"/>
        <w:adjustRightInd w:val="0"/>
        <w:jc w:val="left"/>
        <w:rPr>
          <w:rFonts w:hint="default" w:ascii="Times New Roman" w:hAnsi="Times New Roman" w:cs="Times New Roman"/>
          <w:kern w:val="0"/>
          <w:sz w:val="18"/>
          <w:szCs w:val="18"/>
          <w:lang w:val="zh-CN"/>
        </w:rPr>
      </w:pPr>
    </w:p>
    <w:p>
      <w:pPr>
        <w:autoSpaceDE w:val="0"/>
        <w:autoSpaceDN w:val="0"/>
        <w:adjustRightInd w:val="0"/>
        <w:jc w:val="left"/>
        <w:rPr>
          <w:rFonts w:hint="default" w:ascii="Times New Roman" w:hAnsi="Times New Roman" w:cs="Times New Roman"/>
          <w:kern w:val="0"/>
          <w:sz w:val="18"/>
          <w:szCs w:val="18"/>
          <w:lang w:val="zh-CN"/>
        </w:rPr>
      </w:pPr>
    </w:p>
    <w:p>
      <w:pPr>
        <w:ind w:firstLine="640"/>
        <w:rPr>
          <w:rFonts w:hint="default" w:ascii="Times New Roman" w:hAnsi="Times New Roman" w:eastAsia="方正仿宋_GBK" w:cs="Times New Roman"/>
          <w:color w:val="FF0000"/>
          <w:sz w:val="32"/>
          <w:szCs w:val="24"/>
        </w:rPr>
      </w:pPr>
      <w:r>
        <w:rPr>
          <w:rFonts w:hint="default" w:ascii="Times New Roman" w:hAnsi="Times New Roman" w:eastAsia="黑体" w:cs="Times New Roman"/>
          <w:sz w:val="32"/>
          <w:szCs w:val="32"/>
        </w:rPr>
        <w:t>六、政府采购预算情况</w:t>
      </w:r>
    </w:p>
    <w:p>
      <w:pPr>
        <w:ind w:firstLine="640"/>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2019</w:t>
      </w:r>
      <w:r>
        <w:rPr>
          <w:rFonts w:hint="default" w:ascii="Times New Roman" w:hAnsi="Times New Roman" w:eastAsia="方正仿宋简体" w:cs="Times New Roman"/>
          <w:sz w:val="32"/>
          <w:szCs w:val="24"/>
        </w:rPr>
        <w:t>年，秦皇岛北戴河新区商务合作局政府采购预算为</w:t>
      </w:r>
      <w:r>
        <w:rPr>
          <w:rFonts w:hint="default" w:ascii="Times New Roman" w:hAnsi="Times New Roman" w:eastAsia="方正仿宋简体" w:cs="Times New Roman"/>
          <w:sz w:val="32"/>
          <w:szCs w:val="24"/>
        </w:rPr>
        <w:t>5.1</w:t>
      </w:r>
      <w:r>
        <w:rPr>
          <w:rFonts w:hint="default" w:ascii="Times New Roman" w:hAnsi="Times New Roman" w:eastAsia="方正仿宋简体" w:cs="Times New Roman"/>
          <w:sz w:val="32"/>
          <w:szCs w:val="24"/>
        </w:rPr>
        <w:t>万元。具体内容见下表</w:t>
      </w:r>
    </w:p>
    <w:p>
      <w:pPr>
        <w:jc w:val="center"/>
        <w:outlineLvl w:val="0"/>
        <w:rPr>
          <w:rFonts w:hint="default" w:ascii="Times New Roman" w:hAnsi="Times New Roman" w:eastAsia="方正小标宋_GBK" w:cs="Times New Roman"/>
          <w:sz w:val="32"/>
        </w:rPr>
      </w:pPr>
      <w:bookmarkStart w:id="3" w:name="_Toc534293194"/>
      <w:r>
        <w:rPr>
          <w:rFonts w:hint="default" w:ascii="Times New Roman" w:hAnsi="Times New Roman" w:eastAsia="方正小标宋_GBK" w:cs="Times New Roman"/>
          <w:sz w:val="32"/>
        </w:rPr>
        <w:t>部门政府采购预算</w:t>
      </w:r>
      <w:bookmarkEnd w:id="3"/>
    </w:p>
    <w:tbl>
      <w:tblPr>
        <w:tblStyle w:val="9"/>
        <w:tblW w:w="49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37"/>
        <w:gridCol w:w="1128"/>
        <w:gridCol w:w="952"/>
        <w:gridCol w:w="1208"/>
        <w:gridCol w:w="780"/>
        <w:gridCol w:w="780"/>
        <w:gridCol w:w="872"/>
        <w:gridCol w:w="952"/>
        <w:gridCol w:w="952"/>
        <w:gridCol w:w="952"/>
        <w:gridCol w:w="952"/>
        <w:gridCol w:w="949"/>
        <w:gridCol w:w="949"/>
        <w:gridCol w:w="9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43" w:type="pct"/>
            <w:gridSpan w:val="7"/>
            <w:tcBorders>
              <w:top w:val="single" w:color="FFFFFF" w:sz="6" w:space="0"/>
              <w:left w:val="single" w:color="FFFFFF" w:sz="6" w:space="0"/>
              <w:right w:val="single" w:color="FFFFFF" w:sz="6" w:space="0"/>
            </w:tcBorders>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322</w:t>
            </w:r>
            <w:r>
              <w:rPr>
                <w:rFonts w:hint="default" w:ascii="Times New Roman" w:hAnsi="Times New Roman" w:eastAsia="方正小标宋_GBK" w:cs="Times New Roman"/>
                <w:sz w:val="24"/>
              </w:rPr>
              <w:t>秦皇岛北戴河新区商务合作局</w:t>
            </w:r>
          </w:p>
        </w:tc>
        <w:tc>
          <w:tcPr>
            <w:tcW w:w="2257" w:type="pct"/>
            <w:gridSpan w:val="7"/>
            <w:tcBorders>
              <w:top w:val="single" w:color="FFFFFF" w:sz="6" w:space="0"/>
              <w:left w:val="single" w:color="FFFFFF" w:sz="6" w:space="0"/>
              <w:right w:val="single" w:color="FFFFFF" w:sz="6" w:space="0"/>
            </w:tcBorders>
            <w:vAlign w:val="center"/>
          </w:tcPr>
          <w:p>
            <w:pPr>
              <w:spacing w:line="300" w:lineRule="exact"/>
              <w:jc w:val="right"/>
              <w:rPr>
                <w:rFonts w:hint="default" w:ascii="Times New Roman" w:hAnsi="Times New Roman" w:eastAsia="方正书宋_GBK" w:cs="Times New Roman"/>
                <w:sz w:val="24"/>
              </w:rPr>
            </w:pPr>
            <w:r>
              <w:rPr>
                <w:rFonts w:hint="default" w:ascii="Times New Roman" w:hAnsi="Times New Roman"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42" w:type="pct"/>
            <w:gridSpan w:val="2"/>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政府采购项目来源</w:t>
            </w:r>
          </w:p>
        </w:tc>
        <w:tc>
          <w:tcPr>
            <w:tcW w:w="325" w:type="pct"/>
            <w:vMerge w:val="restar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采购物品名称</w:t>
            </w:r>
          </w:p>
        </w:tc>
        <w:tc>
          <w:tcPr>
            <w:tcW w:w="344" w:type="pct"/>
            <w:vMerge w:val="restar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政府采购目录序号</w:t>
            </w:r>
          </w:p>
        </w:tc>
        <w:tc>
          <w:tcPr>
            <w:tcW w:w="267" w:type="pct"/>
            <w:vMerge w:val="restar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数量</w:t>
            </w:r>
            <w:r>
              <w:rPr>
                <w:rFonts w:hint="default" w:ascii="Times New Roman" w:hAnsi="Times New Roman" w:eastAsia="方正书宋_GBK" w:cs="Times New Roman"/>
                <w:b/>
              </w:rPr>
              <w:t xml:space="preserve">  </w:t>
            </w:r>
            <w:r>
              <w:rPr>
                <w:rFonts w:hint="default" w:ascii="Times New Roman" w:hAnsi="Times New Roman" w:eastAsia="方正书宋_GBK" w:cs="Times New Roman"/>
                <w:b/>
              </w:rPr>
              <w:t>单位</w:t>
            </w:r>
          </w:p>
        </w:tc>
        <w:tc>
          <w:tcPr>
            <w:tcW w:w="267" w:type="pct"/>
            <w:vMerge w:val="restar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数量</w:t>
            </w:r>
          </w:p>
        </w:tc>
        <w:tc>
          <w:tcPr>
            <w:tcW w:w="298" w:type="pct"/>
            <w:vMerge w:val="restar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单价</w:t>
            </w:r>
          </w:p>
        </w:tc>
        <w:tc>
          <w:tcPr>
            <w:tcW w:w="2257" w:type="pct"/>
            <w:gridSpan w:val="7"/>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8" w:type="pct"/>
            <w:vMerge w:val="restar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项目名称</w:t>
            </w:r>
          </w:p>
        </w:tc>
        <w:tc>
          <w:tcPr>
            <w:tcW w:w="383" w:type="pct"/>
            <w:vMerge w:val="restar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预算资金</w:t>
            </w:r>
          </w:p>
        </w:tc>
        <w:tc>
          <w:tcPr>
            <w:tcW w:w="325" w:type="pct"/>
            <w:vMerge w:val="continue"/>
            <w:vAlign w:val="center"/>
          </w:tcPr>
          <w:p>
            <w:pPr>
              <w:spacing w:line="300" w:lineRule="exact"/>
              <w:jc w:val="left"/>
              <w:outlineLvl w:val="0"/>
              <w:rPr>
                <w:rFonts w:hint="default" w:ascii="Times New Roman" w:hAnsi="Times New Roman" w:cs="Times New Roman"/>
              </w:rPr>
            </w:pPr>
          </w:p>
        </w:tc>
        <w:tc>
          <w:tcPr>
            <w:tcW w:w="344" w:type="pct"/>
            <w:vMerge w:val="continue"/>
            <w:vAlign w:val="center"/>
          </w:tcPr>
          <w:p>
            <w:pPr>
              <w:spacing w:line="300" w:lineRule="exact"/>
              <w:jc w:val="left"/>
              <w:outlineLvl w:val="0"/>
              <w:rPr>
                <w:rFonts w:hint="default" w:ascii="Times New Roman" w:hAnsi="Times New Roman" w:cs="Times New Roman"/>
              </w:rPr>
            </w:pPr>
          </w:p>
        </w:tc>
        <w:tc>
          <w:tcPr>
            <w:tcW w:w="267" w:type="pct"/>
            <w:vMerge w:val="continue"/>
            <w:vAlign w:val="center"/>
          </w:tcPr>
          <w:p>
            <w:pPr>
              <w:spacing w:line="300" w:lineRule="exact"/>
              <w:jc w:val="left"/>
              <w:outlineLvl w:val="0"/>
              <w:rPr>
                <w:rFonts w:hint="default" w:ascii="Times New Roman" w:hAnsi="Times New Roman" w:cs="Times New Roman"/>
              </w:rPr>
            </w:pPr>
          </w:p>
        </w:tc>
        <w:tc>
          <w:tcPr>
            <w:tcW w:w="267" w:type="pct"/>
            <w:vMerge w:val="continue"/>
            <w:vAlign w:val="center"/>
          </w:tcPr>
          <w:p>
            <w:pPr>
              <w:spacing w:line="300" w:lineRule="exact"/>
              <w:jc w:val="left"/>
              <w:outlineLvl w:val="0"/>
              <w:rPr>
                <w:rFonts w:hint="default" w:ascii="Times New Roman" w:hAnsi="Times New Roman" w:cs="Times New Roman"/>
              </w:rPr>
            </w:pPr>
          </w:p>
        </w:tc>
        <w:tc>
          <w:tcPr>
            <w:tcW w:w="298" w:type="pct"/>
            <w:vMerge w:val="continue"/>
            <w:vAlign w:val="center"/>
          </w:tcPr>
          <w:p>
            <w:pPr>
              <w:spacing w:line="300" w:lineRule="exact"/>
              <w:jc w:val="left"/>
              <w:outlineLvl w:val="0"/>
              <w:rPr>
                <w:rFonts w:hint="default" w:ascii="Times New Roman" w:hAnsi="Times New Roman" w:cs="Times New Roman"/>
              </w:rPr>
            </w:pPr>
          </w:p>
        </w:tc>
        <w:tc>
          <w:tcPr>
            <w:tcW w:w="325" w:type="pct"/>
            <w:vMerge w:val="restar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总计</w:t>
            </w:r>
          </w:p>
        </w:tc>
        <w:tc>
          <w:tcPr>
            <w:tcW w:w="1622" w:type="pct"/>
            <w:gridSpan w:val="5"/>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当年部门预算安排资金</w:t>
            </w:r>
          </w:p>
        </w:tc>
        <w:tc>
          <w:tcPr>
            <w:tcW w:w="310" w:type="pct"/>
            <w:vMerge w:val="restar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8" w:type="pct"/>
            <w:vMerge w:val="continue"/>
            <w:vAlign w:val="center"/>
          </w:tcPr>
          <w:p>
            <w:pPr>
              <w:spacing w:line="300" w:lineRule="exact"/>
              <w:jc w:val="left"/>
              <w:outlineLvl w:val="0"/>
              <w:rPr>
                <w:rFonts w:hint="default" w:ascii="Times New Roman" w:hAnsi="Times New Roman" w:cs="Times New Roman"/>
              </w:rPr>
            </w:pPr>
          </w:p>
        </w:tc>
        <w:tc>
          <w:tcPr>
            <w:tcW w:w="383" w:type="pct"/>
            <w:vMerge w:val="continue"/>
            <w:vAlign w:val="center"/>
          </w:tcPr>
          <w:p>
            <w:pPr>
              <w:spacing w:line="300" w:lineRule="exact"/>
              <w:jc w:val="left"/>
              <w:outlineLvl w:val="0"/>
              <w:rPr>
                <w:rFonts w:hint="default" w:ascii="Times New Roman" w:hAnsi="Times New Roman" w:cs="Times New Roman"/>
              </w:rPr>
            </w:pPr>
          </w:p>
        </w:tc>
        <w:tc>
          <w:tcPr>
            <w:tcW w:w="325" w:type="pct"/>
            <w:vMerge w:val="continue"/>
            <w:vAlign w:val="center"/>
          </w:tcPr>
          <w:p>
            <w:pPr>
              <w:spacing w:line="300" w:lineRule="exact"/>
              <w:jc w:val="left"/>
              <w:outlineLvl w:val="0"/>
              <w:rPr>
                <w:rFonts w:hint="default" w:ascii="Times New Roman" w:hAnsi="Times New Roman" w:cs="Times New Roman"/>
              </w:rPr>
            </w:pPr>
          </w:p>
        </w:tc>
        <w:tc>
          <w:tcPr>
            <w:tcW w:w="344" w:type="pct"/>
            <w:vMerge w:val="continue"/>
            <w:vAlign w:val="center"/>
          </w:tcPr>
          <w:p>
            <w:pPr>
              <w:spacing w:line="300" w:lineRule="exact"/>
              <w:jc w:val="left"/>
              <w:outlineLvl w:val="0"/>
              <w:rPr>
                <w:rFonts w:hint="default" w:ascii="Times New Roman" w:hAnsi="Times New Roman" w:cs="Times New Roman"/>
              </w:rPr>
            </w:pPr>
          </w:p>
        </w:tc>
        <w:tc>
          <w:tcPr>
            <w:tcW w:w="267" w:type="pct"/>
            <w:vMerge w:val="continue"/>
            <w:vAlign w:val="center"/>
          </w:tcPr>
          <w:p>
            <w:pPr>
              <w:spacing w:line="300" w:lineRule="exact"/>
              <w:jc w:val="left"/>
              <w:outlineLvl w:val="0"/>
              <w:rPr>
                <w:rFonts w:hint="default" w:ascii="Times New Roman" w:hAnsi="Times New Roman" w:cs="Times New Roman"/>
              </w:rPr>
            </w:pPr>
          </w:p>
        </w:tc>
        <w:tc>
          <w:tcPr>
            <w:tcW w:w="267" w:type="pct"/>
            <w:vMerge w:val="continue"/>
            <w:vAlign w:val="center"/>
          </w:tcPr>
          <w:p>
            <w:pPr>
              <w:spacing w:line="300" w:lineRule="exact"/>
              <w:jc w:val="left"/>
              <w:outlineLvl w:val="0"/>
              <w:rPr>
                <w:rFonts w:hint="default" w:ascii="Times New Roman" w:hAnsi="Times New Roman" w:cs="Times New Roman"/>
              </w:rPr>
            </w:pPr>
          </w:p>
        </w:tc>
        <w:tc>
          <w:tcPr>
            <w:tcW w:w="298" w:type="pct"/>
            <w:vMerge w:val="continue"/>
            <w:vAlign w:val="center"/>
          </w:tcPr>
          <w:p>
            <w:pPr>
              <w:spacing w:line="300" w:lineRule="exact"/>
              <w:jc w:val="left"/>
              <w:outlineLvl w:val="0"/>
              <w:rPr>
                <w:rFonts w:hint="default" w:ascii="Times New Roman" w:hAnsi="Times New Roman" w:cs="Times New Roman"/>
              </w:rPr>
            </w:pPr>
          </w:p>
        </w:tc>
        <w:tc>
          <w:tcPr>
            <w:tcW w:w="325" w:type="pct"/>
            <w:vMerge w:val="continue"/>
            <w:vAlign w:val="center"/>
          </w:tcPr>
          <w:p>
            <w:pPr>
              <w:spacing w:line="300" w:lineRule="exact"/>
              <w:jc w:val="left"/>
              <w:outlineLvl w:val="0"/>
              <w:rPr>
                <w:rFonts w:hint="default" w:ascii="Times New Roman" w:hAnsi="Times New Roman" w:cs="Times New Roman"/>
              </w:rPr>
            </w:pPr>
          </w:p>
        </w:tc>
        <w:tc>
          <w:tcPr>
            <w:tcW w:w="325" w:type="pc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325" w:type="pc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一般公共预算拨款</w:t>
            </w:r>
          </w:p>
        </w:tc>
        <w:tc>
          <w:tcPr>
            <w:tcW w:w="325" w:type="pc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基金预算拨款</w:t>
            </w:r>
          </w:p>
        </w:tc>
        <w:tc>
          <w:tcPr>
            <w:tcW w:w="324" w:type="pc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财政专户核拨</w:t>
            </w:r>
          </w:p>
        </w:tc>
        <w:tc>
          <w:tcPr>
            <w:tcW w:w="324" w:type="pc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其他来源收入</w:t>
            </w:r>
          </w:p>
        </w:tc>
        <w:tc>
          <w:tcPr>
            <w:tcW w:w="310" w:type="pct"/>
            <w:vMerge w:val="continue"/>
            <w:vAlign w:val="center"/>
          </w:tcPr>
          <w:p>
            <w:pPr>
              <w:spacing w:line="300" w:lineRule="exact"/>
              <w:jc w:val="left"/>
              <w:outlineLvl w:val="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　计</w:t>
            </w:r>
          </w:p>
        </w:tc>
        <w:tc>
          <w:tcPr>
            <w:tcW w:w="383" w:type="pct"/>
            <w:vAlign w:val="center"/>
          </w:tcPr>
          <w:p>
            <w:pPr>
              <w:spacing w:line="300" w:lineRule="exact"/>
              <w:jc w:val="right"/>
              <w:rPr>
                <w:rFonts w:hint="default" w:ascii="Times New Roman" w:hAnsi="Times New Roman" w:eastAsia="方正书宋_GBK" w:cs="Times New Roman"/>
                <w:b/>
              </w:rPr>
            </w:pPr>
          </w:p>
        </w:tc>
        <w:tc>
          <w:tcPr>
            <w:tcW w:w="325" w:type="pct"/>
            <w:vAlign w:val="center"/>
          </w:tcPr>
          <w:p>
            <w:pPr>
              <w:spacing w:line="300" w:lineRule="exact"/>
              <w:jc w:val="left"/>
              <w:rPr>
                <w:rFonts w:hint="default" w:ascii="Times New Roman" w:hAnsi="Times New Roman" w:eastAsia="方正书宋_GBK" w:cs="Times New Roman"/>
                <w:b/>
              </w:rPr>
            </w:pPr>
          </w:p>
        </w:tc>
        <w:tc>
          <w:tcPr>
            <w:tcW w:w="344" w:type="pct"/>
            <w:vAlign w:val="center"/>
          </w:tcPr>
          <w:p>
            <w:pPr>
              <w:spacing w:line="300" w:lineRule="exact"/>
              <w:jc w:val="left"/>
              <w:rPr>
                <w:rFonts w:hint="default" w:ascii="Times New Roman" w:hAnsi="Times New Roman" w:eastAsia="方正书宋_GBK" w:cs="Times New Roman"/>
                <w:b/>
              </w:rPr>
            </w:pPr>
          </w:p>
        </w:tc>
        <w:tc>
          <w:tcPr>
            <w:tcW w:w="267" w:type="pct"/>
            <w:vAlign w:val="center"/>
          </w:tcPr>
          <w:p>
            <w:pPr>
              <w:spacing w:line="300" w:lineRule="exact"/>
              <w:jc w:val="left"/>
              <w:rPr>
                <w:rFonts w:hint="default" w:ascii="Times New Roman" w:hAnsi="Times New Roman" w:eastAsia="方正书宋_GBK" w:cs="Times New Roman"/>
                <w:b/>
              </w:rPr>
            </w:pPr>
          </w:p>
        </w:tc>
        <w:tc>
          <w:tcPr>
            <w:tcW w:w="267" w:type="pct"/>
            <w:vAlign w:val="center"/>
          </w:tcPr>
          <w:p>
            <w:pPr>
              <w:spacing w:line="300" w:lineRule="exact"/>
              <w:jc w:val="right"/>
              <w:rPr>
                <w:rFonts w:hint="default" w:ascii="Times New Roman" w:hAnsi="Times New Roman" w:eastAsia="方正书宋_GBK" w:cs="Times New Roman"/>
                <w:b/>
              </w:rPr>
            </w:pPr>
          </w:p>
        </w:tc>
        <w:tc>
          <w:tcPr>
            <w:tcW w:w="298" w:type="pct"/>
            <w:vAlign w:val="center"/>
          </w:tcPr>
          <w:p>
            <w:pPr>
              <w:spacing w:line="300" w:lineRule="exact"/>
              <w:jc w:val="right"/>
              <w:rPr>
                <w:rFonts w:hint="default" w:ascii="Times New Roman" w:hAnsi="Times New Roman" w:eastAsia="方正书宋_GBK" w:cs="Times New Roman"/>
                <w:b/>
              </w:rPr>
            </w:pPr>
          </w:p>
        </w:tc>
        <w:tc>
          <w:tcPr>
            <w:tcW w:w="325" w:type="pct"/>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5.10</w:t>
            </w:r>
          </w:p>
        </w:tc>
        <w:tc>
          <w:tcPr>
            <w:tcW w:w="325" w:type="pct"/>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5.10</w:t>
            </w:r>
          </w:p>
        </w:tc>
        <w:tc>
          <w:tcPr>
            <w:tcW w:w="325" w:type="pct"/>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5.10</w:t>
            </w:r>
          </w:p>
        </w:tc>
        <w:tc>
          <w:tcPr>
            <w:tcW w:w="325" w:type="pct"/>
            <w:vAlign w:val="center"/>
          </w:tcPr>
          <w:p>
            <w:pPr>
              <w:spacing w:line="300" w:lineRule="exact"/>
              <w:jc w:val="right"/>
              <w:rPr>
                <w:rFonts w:hint="default" w:ascii="Times New Roman" w:hAnsi="Times New Roman" w:eastAsia="方正书宋_GBK" w:cs="Times New Roman"/>
                <w:b/>
              </w:rPr>
            </w:pPr>
          </w:p>
        </w:tc>
        <w:tc>
          <w:tcPr>
            <w:tcW w:w="324" w:type="pct"/>
            <w:vAlign w:val="center"/>
          </w:tcPr>
          <w:p>
            <w:pPr>
              <w:spacing w:line="300" w:lineRule="exact"/>
              <w:jc w:val="right"/>
              <w:rPr>
                <w:rFonts w:hint="default" w:ascii="Times New Roman" w:hAnsi="Times New Roman" w:eastAsia="方正书宋_GBK" w:cs="Times New Roman"/>
                <w:b/>
              </w:rPr>
            </w:pPr>
          </w:p>
        </w:tc>
        <w:tc>
          <w:tcPr>
            <w:tcW w:w="324" w:type="pct"/>
            <w:vAlign w:val="center"/>
          </w:tcPr>
          <w:p>
            <w:pPr>
              <w:spacing w:line="300" w:lineRule="exact"/>
              <w:jc w:val="right"/>
              <w:rPr>
                <w:rFonts w:hint="default" w:ascii="Times New Roman" w:hAnsi="Times New Roman" w:eastAsia="方正书宋_GBK" w:cs="Times New Roman"/>
                <w:b/>
              </w:rPr>
            </w:pPr>
          </w:p>
        </w:tc>
        <w:tc>
          <w:tcPr>
            <w:tcW w:w="310" w:type="pct"/>
            <w:vAlign w:val="center"/>
          </w:tcPr>
          <w:p>
            <w:pPr>
              <w:spacing w:line="300" w:lineRule="exact"/>
              <w:jc w:val="right"/>
              <w:rPr>
                <w:rFonts w:hint="default" w:ascii="Times New Roman"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秦皇岛北戴河新区商务合作局小计</w:t>
            </w:r>
          </w:p>
        </w:tc>
        <w:tc>
          <w:tcPr>
            <w:tcW w:w="383" w:type="pct"/>
            <w:vAlign w:val="center"/>
          </w:tcPr>
          <w:p>
            <w:pPr>
              <w:spacing w:line="300" w:lineRule="exact"/>
              <w:jc w:val="right"/>
              <w:rPr>
                <w:rFonts w:hint="default" w:ascii="Times New Roman" w:hAnsi="Times New Roman" w:eastAsia="方正书宋_GBK" w:cs="Times New Roman"/>
                <w:b/>
              </w:rPr>
            </w:pPr>
          </w:p>
        </w:tc>
        <w:tc>
          <w:tcPr>
            <w:tcW w:w="325" w:type="pct"/>
            <w:vAlign w:val="center"/>
          </w:tcPr>
          <w:p>
            <w:pPr>
              <w:spacing w:line="300" w:lineRule="exact"/>
              <w:jc w:val="left"/>
              <w:rPr>
                <w:rFonts w:hint="default" w:ascii="Times New Roman" w:hAnsi="Times New Roman" w:eastAsia="方正书宋_GBK" w:cs="Times New Roman"/>
                <w:b/>
              </w:rPr>
            </w:pPr>
          </w:p>
        </w:tc>
        <w:tc>
          <w:tcPr>
            <w:tcW w:w="344" w:type="pct"/>
            <w:vAlign w:val="center"/>
          </w:tcPr>
          <w:p>
            <w:pPr>
              <w:spacing w:line="300" w:lineRule="exact"/>
              <w:jc w:val="left"/>
              <w:rPr>
                <w:rFonts w:hint="default" w:ascii="Times New Roman" w:hAnsi="Times New Roman" w:eastAsia="方正书宋_GBK" w:cs="Times New Roman"/>
                <w:b/>
              </w:rPr>
            </w:pPr>
          </w:p>
        </w:tc>
        <w:tc>
          <w:tcPr>
            <w:tcW w:w="267" w:type="pct"/>
            <w:vAlign w:val="center"/>
          </w:tcPr>
          <w:p>
            <w:pPr>
              <w:spacing w:line="300" w:lineRule="exact"/>
              <w:jc w:val="left"/>
              <w:rPr>
                <w:rFonts w:hint="default" w:ascii="Times New Roman" w:hAnsi="Times New Roman" w:eastAsia="方正书宋_GBK" w:cs="Times New Roman"/>
                <w:b/>
              </w:rPr>
            </w:pPr>
          </w:p>
        </w:tc>
        <w:tc>
          <w:tcPr>
            <w:tcW w:w="267" w:type="pct"/>
            <w:vAlign w:val="center"/>
          </w:tcPr>
          <w:p>
            <w:pPr>
              <w:spacing w:line="300" w:lineRule="exact"/>
              <w:jc w:val="right"/>
              <w:rPr>
                <w:rFonts w:hint="default" w:ascii="Times New Roman" w:hAnsi="Times New Roman" w:eastAsia="方正书宋_GBK" w:cs="Times New Roman"/>
                <w:b/>
              </w:rPr>
            </w:pPr>
          </w:p>
        </w:tc>
        <w:tc>
          <w:tcPr>
            <w:tcW w:w="298" w:type="pct"/>
            <w:vAlign w:val="center"/>
          </w:tcPr>
          <w:p>
            <w:pPr>
              <w:spacing w:line="300" w:lineRule="exact"/>
              <w:jc w:val="right"/>
              <w:rPr>
                <w:rFonts w:hint="default" w:ascii="Times New Roman" w:hAnsi="Times New Roman" w:eastAsia="方正书宋_GBK" w:cs="Times New Roman"/>
                <w:b/>
              </w:rPr>
            </w:pPr>
          </w:p>
        </w:tc>
        <w:tc>
          <w:tcPr>
            <w:tcW w:w="325" w:type="pct"/>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5.10</w:t>
            </w:r>
          </w:p>
        </w:tc>
        <w:tc>
          <w:tcPr>
            <w:tcW w:w="325" w:type="pct"/>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5.10</w:t>
            </w:r>
          </w:p>
        </w:tc>
        <w:tc>
          <w:tcPr>
            <w:tcW w:w="325" w:type="pct"/>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5.10</w:t>
            </w:r>
          </w:p>
        </w:tc>
        <w:tc>
          <w:tcPr>
            <w:tcW w:w="325" w:type="pct"/>
            <w:vAlign w:val="center"/>
          </w:tcPr>
          <w:p>
            <w:pPr>
              <w:spacing w:line="300" w:lineRule="exact"/>
              <w:jc w:val="right"/>
              <w:rPr>
                <w:rFonts w:hint="default" w:ascii="Times New Roman" w:hAnsi="Times New Roman" w:eastAsia="方正书宋_GBK" w:cs="Times New Roman"/>
                <w:b/>
              </w:rPr>
            </w:pPr>
          </w:p>
        </w:tc>
        <w:tc>
          <w:tcPr>
            <w:tcW w:w="324" w:type="pct"/>
            <w:vAlign w:val="center"/>
          </w:tcPr>
          <w:p>
            <w:pPr>
              <w:spacing w:line="300" w:lineRule="exact"/>
              <w:jc w:val="right"/>
              <w:rPr>
                <w:rFonts w:hint="default" w:ascii="Times New Roman" w:hAnsi="Times New Roman" w:eastAsia="方正书宋_GBK" w:cs="Times New Roman"/>
                <w:b/>
              </w:rPr>
            </w:pPr>
          </w:p>
        </w:tc>
        <w:tc>
          <w:tcPr>
            <w:tcW w:w="324" w:type="pct"/>
            <w:vAlign w:val="center"/>
          </w:tcPr>
          <w:p>
            <w:pPr>
              <w:spacing w:line="300" w:lineRule="exact"/>
              <w:jc w:val="right"/>
              <w:rPr>
                <w:rFonts w:hint="default" w:ascii="Times New Roman" w:hAnsi="Times New Roman" w:eastAsia="方正书宋_GBK" w:cs="Times New Roman"/>
                <w:b/>
              </w:rPr>
            </w:pPr>
          </w:p>
        </w:tc>
        <w:tc>
          <w:tcPr>
            <w:tcW w:w="310" w:type="pct"/>
            <w:vAlign w:val="center"/>
          </w:tcPr>
          <w:p>
            <w:pPr>
              <w:spacing w:line="300" w:lineRule="exact"/>
              <w:jc w:val="right"/>
              <w:rPr>
                <w:rFonts w:hint="default" w:ascii="Times New Roman"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商务日常工作经费</w:t>
            </w:r>
          </w:p>
        </w:tc>
        <w:tc>
          <w:tcPr>
            <w:tcW w:w="383"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10.00</w:t>
            </w:r>
          </w:p>
        </w:tc>
        <w:tc>
          <w:tcPr>
            <w:tcW w:w="325" w:type="pc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计算机设备及软件</w:t>
            </w:r>
          </w:p>
        </w:tc>
        <w:tc>
          <w:tcPr>
            <w:tcW w:w="344" w:type="pc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A0201</w:t>
            </w:r>
          </w:p>
        </w:tc>
        <w:tc>
          <w:tcPr>
            <w:tcW w:w="267" w:type="pct"/>
            <w:vAlign w:val="center"/>
          </w:tcPr>
          <w:p>
            <w:pPr>
              <w:spacing w:line="300" w:lineRule="exact"/>
              <w:jc w:val="left"/>
              <w:rPr>
                <w:rFonts w:hint="default" w:ascii="Times New Roman" w:hAnsi="Times New Roman" w:eastAsia="方正书宋_GBK" w:cs="Times New Roman"/>
              </w:rPr>
            </w:pPr>
          </w:p>
        </w:tc>
        <w:tc>
          <w:tcPr>
            <w:tcW w:w="267"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2.00</w:t>
            </w:r>
          </w:p>
        </w:tc>
        <w:tc>
          <w:tcPr>
            <w:tcW w:w="298"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0.50</w:t>
            </w:r>
          </w:p>
        </w:tc>
        <w:tc>
          <w:tcPr>
            <w:tcW w:w="325"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325"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325"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325" w:type="pct"/>
            <w:vAlign w:val="center"/>
          </w:tcPr>
          <w:p>
            <w:pPr>
              <w:spacing w:line="300" w:lineRule="exact"/>
              <w:jc w:val="right"/>
              <w:rPr>
                <w:rFonts w:hint="default" w:ascii="Times New Roman" w:hAnsi="Times New Roman" w:eastAsia="方正书宋_GBK" w:cs="Times New Roman"/>
              </w:rPr>
            </w:pPr>
          </w:p>
        </w:tc>
        <w:tc>
          <w:tcPr>
            <w:tcW w:w="324" w:type="pct"/>
            <w:vAlign w:val="center"/>
          </w:tcPr>
          <w:p>
            <w:pPr>
              <w:spacing w:line="300" w:lineRule="exact"/>
              <w:jc w:val="right"/>
              <w:rPr>
                <w:rFonts w:hint="default" w:ascii="Times New Roman" w:hAnsi="Times New Roman" w:eastAsia="方正书宋_GBK" w:cs="Times New Roman"/>
              </w:rPr>
            </w:pPr>
          </w:p>
        </w:tc>
        <w:tc>
          <w:tcPr>
            <w:tcW w:w="324" w:type="pct"/>
            <w:vAlign w:val="center"/>
          </w:tcPr>
          <w:p>
            <w:pPr>
              <w:spacing w:line="300" w:lineRule="exact"/>
              <w:jc w:val="right"/>
              <w:rPr>
                <w:rFonts w:hint="default" w:ascii="Times New Roman" w:hAnsi="Times New Roman" w:eastAsia="方正书宋_GBK" w:cs="Times New Roman"/>
              </w:rPr>
            </w:pPr>
          </w:p>
        </w:tc>
        <w:tc>
          <w:tcPr>
            <w:tcW w:w="310" w:type="pct"/>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商务日常工作经费</w:t>
            </w:r>
          </w:p>
        </w:tc>
        <w:tc>
          <w:tcPr>
            <w:tcW w:w="383"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10.00</w:t>
            </w:r>
          </w:p>
        </w:tc>
        <w:tc>
          <w:tcPr>
            <w:tcW w:w="325" w:type="pc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照相机及器材</w:t>
            </w:r>
          </w:p>
        </w:tc>
        <w:tc>
          <w:tcPr>
            <w:tcW w:w="344" w:type="pc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A020205</w:t>
            </w:r>
          </w:p>
        </w:tc>
        <w:tc>
          <w:tcPr>
            <w:tcW w:w="267" w:type="pct"/>
            <w:vAlign w:val="center"/>
          </w:tcPr>
          <w:p>
            <w:pPr>
              <w:spacing w:line="300" w:lineRule="exact"/>
              <w:jc w:val="left"/>
              <w:rPr>
                <w:rFonts w:hint="default" w:ascii="Times New Roman" w:hAnsi="Times New Roman" w:eastAsia="方正书宋_GBK" w:cs="Times New Roman"/>
              </w:rPr>
            </w:pPr>
          </w:p>
        </w:tc>
        <w:tc>
          <w:tcPr>
            <w:tcW w:w="267"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298"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325"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325"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325"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325" w:type="pct"/>
            <w:vAlign w:val="center"/>
          </w:tcPr>
          <w:p>
            <w:pPr>
              <w:spacing w:line="300" w:lineRule="exact"/>
              <w:jc w:val="right"/>
              <w:rPr>
                <w:rFonts w:hint="default" w:ascii="Times New Roman" w:hAnsi="Times New Roman" w:eastAsia="方正书宋_GBK" w:cs="Times New Roman"/>
              </w:rPr>
            </w:pPr>
          </w:p>
        </w:tc>
        <w:tc>
          <w:tcPr>
            <w:tcW w:w="324" w:type="pct"/>
            <w:vAlign w:val="center"/>
          </w:tcPr>
          <w:p>
            <w:pPr>
              <w:spacing w:line="300" w:lineRule="exact"/>
              <w:jc w:val="right"/>
              <w:rPr>
                <w:rFonts w:hint="default" w:ascii="Times New Roman" w:hAnsi="Times New Roman" w:eastAsia="方正书宋_GBK" w:cs="Times New Roman"/>
              </w:rPr>
            </w:pPr>
          </w:p>
        </w:tc>
        <w:tc>
          <w:tcPr>
            <w:tcW w:w="324" w:type="pct"/>
            <w:vAlign w:val="center"/>
          </w:tcPr>
          <w:p>
            <w:pPr>
              <w:spacing w:line="300" w:lineRule="exact"/>
              <w:jc w:val="right"/>
              <w:rPr>
                <w:rFonts w:hint="default" w:ascii="Times New Roman" w:hAnsi="Times New Roman" w:eastAsia="方正书宋_GBK" w:cs="Times New Roman"/>
              </w:rPr>
            </w:pPr>
          </w:p>
        </w:tc>
        <w:tc>
          <w:tcPr>
            <w:tcW w:w="310" w:type="pct"/>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招商日常工作经费</w:t>
            </w:r>
          </w:p>
        </w:tc>
        <w:tc>
          <w:tcPr>
            <w:tcW w:w="383"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14.00</w:t>
            </w:r>
          </w:p>
        </w:tc>
        <w:tc>
          <w:tcPr>
            <w:tcW w:w="325" w:type="pc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打印设备</w:t>
            </w:r>
          </w:p>
        </w:tc>
        <w:tc>
          <w:tcPr>
            <w:tcW w:w="344" w:type="pc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A02010601</w:t>
            </w:r>
          </w:p>
        </w:tc>
        <w:tc>
          <w:tcPr>
            <w:tcW w:w="267" w:type="pct"/>
            <w:vAlign w:val="center"/>
          </w:tcPr>
          <w:p>
            <w:pPr>
              <w:spacing w:line="300" w:lineRule="exact"/>
              <w:jc w:val="left"/>
              <w:rPr>
                <w:rFonts w:hint="default" w:ascii="Times New Roman" w:hAnsi="Times New Roman" w:eastAsia="方正书宋_GBK" w:cs="Times New Roman"/>
              </w:rPr>
            </w:pPr>
          </w:p>
        </w:tc>
        <w:tc>
          <w:tcPr>
            <w:tcW w:w="267"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298"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325"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325"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325"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325" w:type="pct"/>
            <w:vAlign w:val="center"/>
          </w:tcPr>
          <w:p>
            <w:pPr>
              <w:spacing w:line="300" w:lineRule="exact"/>
              <w:jc w:val="right"/>
              <w:rPr>
                <w:rFonts w:hint="default" w:ascii="Times New Roman" w:hAnsi="Times New Roman" w:eastAsia="方正书宋_GBK" w:cs="Times New Roman"/>
              </w:rPr>
            </w:pPr>
          </w:p>
        </w:tc>
        <w:tc>
          <w:tcPr>
            <w:tcW w:w="324" w:type="pct"/>
            <w:vAlign w:val="center"/>
          </w:tcPr>
          <w:p>
            <w:pPr>
              <w:spacing w:line="300" w:lineRule="exact"/>
              <w:jc w:val="right"/>
              <w:rPr>
                <w:rFonts w:hint="default" w:ascii="Times New Roman" w:hAnsi="Times New Roman" w:eastAsia="方正书宋_GBK" w:cs="Times New Roman"/>
              </w:rPr>
            </w:pPr>
          </w:p>
        </w:tc>
        <w:tc>
          <w:tcPr>
            <w:tcW w:w="324" w:type="pct"/>
            <w:vAlign w:val="center"/>
          </w:tcPr>
          <w:p>
            <w:pPr>
              <w:spacing w:line="300" w:lineRule="exact"/>
              <w:jc w:val="right"/>
              <w:rPr>
                <w:rFonts w:hint="default" w:ascii="Times New Roman" w:hAnsi="Times New Roman" w:eastAsia="方正书宋_GBK" w:cs="Times New Roman"/>
              </w:rPr>
            </w:pPr>
          </w:p>
        </w:tc>
        <w:tc>
          <w:tcPr>
            <w:tcW w:w="310" w:type="pct"/>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招商日常工作经费</w:t>
            </w:r>
          </w:p>
        </w:tc>
        <w:tc>
          <w:tcPr>
            <w:tcW w:w="383"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14.00</w:t>
            </w:r>
          </w:p>
        </w:tc>
        <w:tc>
          <w:tcPr>
            <w:tcW w:w="325" w:type="pc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计算机设备及软件</w:t>
            </w:r>
          </w:p>
        </w:tc>
        <w:tc>
          <w:tcPr>
            <w:tcW w:w="344" w:type="pc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A0201</w:t>
            </w:r>
          </w:p>
        </w:tc>
        <w:tc>
          <w:tcPr>
            <w:tcW w:w="267" w:type="pct"/>
            <w:vAlign w:val="center"/>
          </w:tcPr>
          <w:p>
            <w:pPr>
              <w:spacing w:line="300" w:lineRule="exact"/>
              <w:jc w:val="left"/>
              <w:rPr>
                <w:rFonts w:hint="default" w:ascii="Times New Roman" w:hAnsi="Times New Roman" w:eastAsia="方正书宋_GBK" w:cs="Times New Roman"/>
              </w:rPr>
            </w:pPr>
          </w:p>
        </w:tc>
        <w:tc>
          <w:tcPr>
            <w:tcW w:w="267"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2.00</w:t>
            </w:r>
          </w:p>
        </w:tc>
        <w:tc>
          <w:tcPr>
            <w:tcW w:w="298"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0.50</w:t>
            </w:r>
          </w:p>
        </w:tc>
        <w:tc>
          <w:tcPr>
            <w:tcW w:w="325"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325"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325"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325" w:type="pct"/>
            <w:vAlign w:val="center"/>
          </w:tcPr>
          <w:p>
            <w:pPr>
              <w:spacing w:line="300" w:lineRule="exact"/>
              <w:jc w:val="right"/>
              <w:rPr>
                <w:rFonts w:hint="default" w:ascii="Times New Roman" w:hAnsi="Times New Roman" w:eastAsia="方正书宋_GBK" w:cs="Times New Roman"/>
              </w:rPr>
            </w:pPr>
          </w:p>
        </w:tc>
        <w:tc>
          <w:tcPr>
            <w:tcW w:w="324" w:type="pct"/>
            <w:vAlign w:val="center"/>
          </w:tcPr>
          <w:p>
            <w:pPr>
              <w:spacing w:line="300" w:lineRule="exact"/>
              <w:jc w:val="right"/>
              <w:rPr>
                <w:rFonts w:hint="default" w:ascii="Times New Roman" w:hAnsi="Times New Roman" w:eastAsia="方正书宋_GBK" w:cs="Times New Roman"/>
              </w:rPr>
            </w:pPr>
          </w:p>
        </w:tc>
        <w:tc>
          <w:tcPr>
            <w:tcW w:w="324" w:type="pct"/>
            <w:vAlign w:val="center"/>
          </w:tcPr>
          <w:p>
            <w:pPr>
              <w:spacing w:line="300" w:lineRule="exact"/>
              <w:jc w:val="right"/>
              <w:rPr>
                <w:rFonts w:hint="default" w:ascii="Times New Roman" w:hAnsi="Times New Roman" w:eastAsia="方正书宋_GBK" w:cs="Times New Roman"/>
              </w:rPr>
            </w:pPr>
          </w:p>
        </w:tc>
        <w:tc>
          <w:tcPr>
            <w:tcW w:w="310" w:type="pct"/>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日常公用经费</w:t>
            </w:r>
          </w:p>
        </w:tc>
        <w:tc>
          <w:tcPr>
            <w:tcW w:w="383"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29.54</w:t>
            </w:r>
          </w:p>
        </w:tc>
        <w:tc>
          <w:tcPr>
            <w:tcW w:w="325" w:type="pc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打印设备</w:t>
            </w:r>
          </w:p>
        </w:tc>
        <w:tc>
          <w:tcPr>
            <w:tcW w:w="344" w:type="pct"/>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A02010601</w:t>
            </w:r>
          </w:p>
        </w:tc>
        <w:tc>
          <w:tcPr>
            <w:tcW w:w="267" w:type="pct"/>
            <w:vAlign w:val="center"/>
          </w:tcPr>
          <w:p>
            <w:pPr>
              <w:spacing w:line="300" w:lineRule="exact"/>
              <w:jc w:val="left"/>
              <w:rPr>
                <w:rFonts w:hint="default" w:ascii="Times New Roman" w:hAnsi="Times New Roman" w:eastAsia="方正书宋_GBK" w:cs="Times New Roman"/>
              </w:rPr>
            </w:pPr>
          </w:p>
        </w:tc>
        <w:tc>
          <w:tcPr>
            <w:tcW w:w="267"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298"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1.10</w:t>
            </w:r>
          </w:p>
        </w:tc>
        <w:tc>
          <w:tcPr>
            <w:tcW w:w="325"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1.10</w:t>
            </w:r>
          </w:p>
        </w:tc>
        <w:tc>
          <w:tcPr>
            <w:tcW w:w="325"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1.10</w:t>
            </w:r>
          </w:p>
        </w:tc>
        <w:tc>
          <w:tcPr>
            <w:tcW w:w="325" w:type="pct"/>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1.10</w:t>
            </w:r>
          </w:p>
        </w:tc>
        <w:tc>
          <w:tcPr>
            <w:tcW w:w="325" w:type="pct"/>
            <w:vAlign w:val="center"/>
          </w:tcPr>
          <w:p>
            <w:pPr>
              <w:spacing w:line="300" w:lineRule="exact"/>
              <w:jc w:val="right"/>
              <w:rPr>
                <w:rFonts w:hint="default" w:ascii="Times New Roman" w:hAnsi="Times New Roman" w:eastAsia="方正书宋_GBK" w:cs="Times New Roman"/>
              </w:rPr>
            </w:pPr>
          </w:p>
        </w:tc>
        <w:tc>
          <w:tcPr>
            <w:tcW w:w="324" w:type="pct"/>
            <w:vAlign w:val="center"/>
          </w:tcPr>
          <w:p>
            <w:pPr>
              <w:spacing w:line="300" w:lineRule="exact"/>
              <w:jc w:val="right"/>
              <w:rPr>
                <w:rFonts w:hint="default" w:ascii="Times New Roman" w:hAnsi="Times New Roman" w:eastAsia="方正书宋_GBK" w:cs="Times New Roman"/>
              </w:rPr>
            </w:pPr>
          </w:p>
        </w:tc>
        <w:tc>
          <w:tcPr>
            <w:tcW w:w="324" w:type="pct"/>
            <w:vAlign w:val="center"/>
          </w:tcPr>
          <w:p>
            <w:pPr>
              <w:spacing w:line="300" w:lineRule="exact"/>
              <w:jc w:val="right"/>
              <w:rPr>
                <w:rFonts w:hint="default" w:ascii="Times New Roman" w:hAnsi="Times New Roman" w:eastAsia="方正书宋_GBK" w:cs="Times New Roman"/>
              </w:rPr>
            </w:pPr>
          </w:p>
        </w:tc>
        <w:tc>
          <w:tcPr>
            <w:tcW w:w="310" w:type="pct"/>
            <w:vAlign w:val="center"/>
          </w:tcPr>
          <w:p>
            <w:pPr>
              <w:spacing w:line="300" w:lineRule="exact"/>
              <w:jc w:val="right"/>
              <w:rPr>
                <w:rFonts w:hint="default" w:ascii="Times New Roman" w:hAnsi="Times New Roman" w:eastAsia="方正书宋_GBK" w:cs="Times New Roman"/>
              </w:rPr>
            </w:pPr>
          </w:p>
        </w:tc>
      </w:tr>
    </w:tbl>
    <w:p>
      <w:pPr>
        <w:spacing w:line="300" w:lineRule="exact"/>
        <w:jc w:val="left"/>
        <w:outlineLvl w:val="0"/>
        <w:rPr>
          <w:rFonts w:hint="default" w:ascii="Times New Roman" w:hAnsi="Times New Roman" w:cs="Times New Roman"/>
        </w:rPr>
        <w:sectPr>
          <w:pgSz w:w="16839" w:h="11907" w:orient="landscape"/>
          <w:pgMar w:top="1361" w:right="1020" w:bottom="1361" w:left="1020" w:header="851" w:footer="992" w:gutter="0"/>
          <w:cols w:space="425" w:num="1"/>
          <w:docGrid w:type="lines" w:linePitch="312" w:charSpace="0"/>
        </w:sectPr>
      </w:pPr>
    </w:p>
    <w:p>
      <w:pPr>
        <w:ind w:firstLine="640"/>
        <w:rPr>
          <w:rFonts w:hint="default" w:ascii="Times New Roman" w:hAnsi="Times New Roman" w:eastAsia="方正仿宋简体" w:cs="Times New Roman"/>
          <w:sz w:val="32"/>
          <w:szCs w:val="32"/>
        </w:rPr>
      </w:pP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七、国有资产信息</w:t>
      </w:r>
    </w:p>
    <w:p>
      <w:pPr>
        <w:ind w:firstLine="640"/>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上年末固定资产金额为</w:t>
      </w:r>
      <w:r>
        <w:rPr>
          <w:rFonts w:hint="default" w:ascii="Times New Roman" w:hAnsi="Times New Roman" w:eastAsia="方正仿宋简体" w:cs="Times New Roman"/>
          <w:sz w:val="32"/>
          <w:szCs w:val="24"/>
        </w:rPr>
        <w:t>26.8417</w:t>
      </w:r>
      <w:r>
        <w:rPr>
          <w:rFonts w:hint="default" w:ascii="Times New Roman" w:hAnsi="Times New Roman" w:eastAsia="方正仿宋简体" w:cs="Times New Roman"/>
          <w:sz w:val="32"/>
          <w:szCs w:val="24"/>
        </w:rPr>
        <w:t>万元（详见下表），本年度各单位拟购置固定资产主要为计算机、打印机等，共计</w:t>
      </w:r>
      <w:r>
        <w:rPr>
          <w:rFonts w:hint="default" w:ascii="Times New Roman" w:hAnsi="Times New Roman" w:eastAsia="方正仿宋简体" w:cs="Times New Roman"/>
          <w:sz w:val="32"/>
          <w:szCs w:val="32"/>
        </w:rPr>
        <w:t>2.98</w:t>
      </w:r>
      <w:r>
        <w:rPr>
          <w:rFonts w:hint="default" w:ascii="Times New Roman" w:hAnsi="Times New Roman" w:eastAsia="方正仿宋简体" w:cs="Times New Roman"/>
          <w:sz w:val="32"/>
          <w:szCs w:val="24"/>
        </w:rPr>
        <w:t>万元，均是</w:t>
      </w:r>
      <w:r>
        <w:rPr>
          <w:rFonts w:hint="default" w:ascii="Times New Roman" w:hAnsi="Times New Roman" w:eastAsia="方正仿宋简体" w:cs="Times New Roman"/>
          <w:sz w:val="32"/>
          <w:szCs w:val="24"/>
        </w:rPr>
        <w:t>20</w:t>
      </w:r>
      <w:r>
        <w:rPr>
          <w:rFonts w:hint="default" w:ascii="Times New Roman" w:hAnsi="Times New Roman" w:eastAsia="方正仿宋简体" w:cs="Times New Roman"/>
          <w:sz w:val="32"/>
          <w:szCs w:val="24"/>
        </w:rPr>
        <w:t>万元以下的设备。</w:t>
      </w:r>
    </w:p>
    <w:p>
      <w:pPr>
        <w:ind w:firstLine="640"/>
        <w:rPr>
          <w:rFonts w:hint="default" w:ascii="Times New Roman" w:hAnsi="Times New Roman" w:eastAsia="仿宋_GB2312" w:cs="Times New Roman"/>
          <w:color w:val="FF0000"/>
          <w:sz w:val="32"/>
          <w:szCs w:val="32"/>
        </w:rPr>
      </w:pP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秦皇岛北戴河新区商务合作局固定资产占用情况表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编制部门：秦皇岛北戴河新区商务合作局</w:t>
            </w:r>
          </w:p>
        </w:tc>
        <w:tc>
          <w:tcPr>
            <w:tcW w:w="5103" w:type="dxa"/>
            <w:tcBorders>
              <w:top w:val="nil"/>
              <w:left w:val="nil"/>
              <w:bottom w:val="nil"/>
              <w:right w:val="nil"/>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截止时间：</w:t>
            </w:r>
            <w:r>
              <w:rPr>
                <w:rFonts w:hint="default" w:ascii="Times New Roman" w:hAnsi="Times New Roman" w:cs="Times New Roman"/>
                <w:kern w:val="0"/>
                <w:sz w:val="22"/>
              </w:rPr>
              <w:t>2018</w:t>
            </w:r>
            <w:r>
              <w:rPr>
                <w:rFonts w:hint="default" w:ascii="Times New Roman" w:hAnsi="Times New Roman" w:cs="Times New Roman"/>
                <w:kern w:val="0"/>
                <w:sz w:val="22"/>
              </w:rPr>
              <w:t>年</w:t>
            </w:r>
            <w:r>
              <w:rPr>
                <w:rFonts w:hint="default" w:ascii="Times New Roman" w:hAnsi="Times New Roman" w:cs="Times New Roman"/>
                <w:kern w:val="0"/>
                <w:sz w:val="22"/>
              </w:rPr>
              <w:t>12</w:t>
            </w:r>
            <w:r>
              <w:rPr>
                <w:rFonts w:hint="default" w:ascii="Times New Roman" w:hAnsi="Times New Roman" w:cs="Times New Roman"/>
                <w:kern w:val="0"/>
                <w:sz w:val="22"/>
              </w:rPr>
              <w:t>月</w:t>
            </w:r>
            <w:r>
              <w:rPr>
                <w:rFonts w:hint="default" w:ascii="Times New Roman" w:hAnsi="Times New Roman" w:cs="Times New Roman"/>
                <w:kern w:val="0"/>
                <w:sz w:val="22"/>
              </w:rPr>
              <w:t>31</w:t>
            </w:r>
            <w:r>
              <w:rPr>
                <w:rFonts w:hint="default" w:ascii="Times New Roman" w:hAnsi="Times New Roman" w:cs="Times New Roman"/>
                <w:kern w:val="0"/>
                <w:sz w:val="22"/>
              </w:rPr>
              <w:t>日</w:t>
            </w:r>
            <w:r>
              <w:rPr>
                <w:rFonts w:hint="default" w:ascii="Times New Roman" w:hAnsi="Times New Roman" w:cs="Times New Roman"/>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项</w:t>
            </w:r>
            <w:r>
              <w:rPr>
                <w:rFonts w:hint="default" w:ascii="Times New Roman" w:hAnsi="Times New Roman" w:cs="Times New Roman"/>
                <w:b/>
                <w:bCs/>
                <w:kern w:val="0"/>
                <w:sz w:val="22"/>
              </w:rPr>
              <w:t xml:space="preserve">   </w:t>
            </w:r>
            <w:r>
              <w:rPr>
                <w:rFonts w:hint="default" w:ascii="Times New Roman" w:hAnsi="Times New Roman" w:cs="Times New Roman"/>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21.</w:t>
            </w:r>
            <w:r>
              <w:rPr>
                <w:rFonts w:hint="default" w:ascii="Times New Roman" w:hAnsi="Times New Roman" w:cs="Times New Roman"/>
                <w:kern w:val="0"/>
                <w:sz w:val="22"/>
              </w:rPr>
              <w:t>8417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1</w:t>
            </w:r>
            <w:r>
              <w:rPr>
                <w:rFonts w:hint="default" w:ascii="Times New Roman" w:hAnsi="Times New Roman"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 xml:space="preserve">  </w:t>
            </w:r>
            <w:r>
              <w:rPr>
                <w:rFonts w:hint="default" w:ascii="Times New Roman" w:hAnsi="Times New Roman"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2</w:t>
            </w:r>
            <w:r>
              <w:rPr>
                <w:rFonts w:hint="default" w:ascii="Times New Roman" w:hAnsi="Times New Roman"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3</w:t>
            </w:r>
            <w:r>
              <w:rPr>
                <w:rFonts w:hint="default" w:ascii="Times New Roman" w:hAnsi="Times New Roman" w:cs="Times New Roman"/>
                <w:kern w:val="0"/>
                <w:sz w:val="22"/>
              </w:rPr>
              <w:t>、单价在</w:t>
            </w:r>
            <w:r>
              <w:rPr>
                <w:rFonts w:hint="default" w:ascii="Times New Roman" w:hAnsi="Times New Roman" w:cs="Times New Roman"/>
                <w:kern w:val="0"/>
                <w:sz w:val="22"/>
              </w:rPr>
              <w:t>20</w:t>
            </w:r>
            <w:r>
              <w:rPr>
                <w:rFonts w:hint="default" w:ascii="Times New Roman" w:hAnsi="Times New Roman"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4</w:t>
            </w:r>
            <w:r>
              <w:rPr>
                <w:rFonts w:hint="default" w:ascii="Times New Roman" w:hAnsi="Times New Roman"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77</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26.8417</w:t>
            </w:r>
          </w:p>
        </w:tc>
      </w:tr>
    </w:tbl>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八、名词解释</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1</w:t>
      </w:r>
      <w:r>
        <w:rPr>
          <w:rFonts w:hint="default" w:ascii="Times New Roman" w:hAnsi="Times New Roman" w:eastAsia="方正仿宋简体" w:cs="Times New Roman"/>
          <w:sz w:val="32"/>
          <w:szCs w:val="24"/>
        </w:rPr>
        <w:t>、一般预算收入：指区级财政当年拨付的资金。</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2</w:t>
      </w:r>
      <w:r>
        <w:rPr>
          <w:rFonts w:hint="default" w:ascii="Times New Roman" w:hAnsi="Times New Roman" w:eastAsia="方正仿宋简体" w:cs="Times New Roman"/>
          <w:sz w:val="32"/>
          <w:szCs w:val="24"/>
        </w:rPr>
        <w:t>、基本支出：指为保障机构正常运转、完成日常工作任务而发生的人员支出和公用支出。</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3</w:t>
      </w:r>
      <w:r>
        <w:rPr>
          <w:rFonts w:hint="default" w:ascii="Times New Roman" w:hAnsi="Times New Roman" w:eastAsia="方正仿宋简体" w:cs="Times New Roman"/>
          <w:sz w:val="32"/>
          <w:szCs w:val="24"/>
        </w:rPr>
        <w:t>、项目支出：指在基本支出之外为完成特定行政任务和事业发展目标所发生的支出。</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4</w:t>
      </w:r>
      <w:r>
        <w:rPr>
          <w:rFonts w:hint="default" w:ascii="Times New Roman" w:hAnsi="Times New Roman" w:eastAsia="方正仿宋简体" w:cs="Times New Roman"/>
          <w:sz w:val="32"/>
          <w:szCs w:val="24"/>
        </w:rPr>
        <w:t>、机关运行费：是指为保证行政事业单位运行，用于购买货物和服务的各项资金。主要包括：办公费、印刷费，水费、电费、邮电费、福利费、日常维修费、办公取暖费、办公物业服务费、公务车运行维护费等。</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九、其他需要说明的事项</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无。</w:t>
      </w:r>
    </w:p>
    <w:p>
      <w:pPr>
        <w:ind w:firstLine="640" w:firstLineChars="200"/>
        <w:rPr>
          <w:rFonts w:hint="default" w:ascii="Times New Roman" w:hAnsi="Times New Roman" w:eastAsia="仿宋_GB2312" w:cs="Times New Roman"/>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115BF"/>
    <w:multiLevelType w:val="singleLevel"/>
    <w:tmpl w:val="B7A115B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3225"/>
    <w:rsid w:val="00037AF6"/>
    <w:rsid w:val="00040426"/>
    <w:rsid w:val="00041994"/>
    <w:rsid w:val="00042DD6"/>
    <w:rsid w:val="00075D5F"/>
    <w:rsid w:val="0009456D"/>
    <w:rsid w:val="000A6B33"/>
    <w:rsid w:val="000B3E8D"/>
    <w:rsid w:val="000C3A19"/>
    <w:rsid w:val="000C4BC5"/>
    <w:rsid w:val="000D3F0D"/>
    <w:rsid w:val="001245BB"/>
    <w:rsid w:val="00126388"/>
    <w:rsid w:val="00144B0F"/>
    <w:rsid w:val="00146F4C"/>
    <w:rsid w:val="00174EBC"/>
    <w:rsid w:val="001B3043"/>
    <w:rsid w:val="001B51FE"/>
    <w:rsid w:val="001C220A"/>
    <w:rsid w:val="001E286A"/>
    <w:rsid w:val="001E4577"/>
    <w:rsid w:val="00215E7A"/>
    <w:rsid w:val="002232BE"/>
    <w:rsid w:val="0022611D"/>
    <w:rsid w:val="00232292"/>
    <w:rsid w:val="00241FD4"/>
    <w:rsid w:val="00251B12"/>
    <w:rsid w:val="002568FF"/>
    <w:rsid w:val="00256F62"/>
    <w:rsid w:val="002745FF"/>
    <w:rsid w:val="00292E8E"/>
    <w:rsid w:val="00296113"/>
    <w:rsid w:val="002C7112"/>
    <w:rsid w:val="002D13AE"/>
    <w:rsid w:val="002F3E58"/>
    <w:rsid w:val="002F7B33"/>
    <w:rsid w:val="0030542C"/>
    <w:rsid w:val="00307282"/>
    <w:rsid w:val="00311B7A"/>
    <w:rsid w:val="00314C7B"/>
    <w:rsid w:val="00346B63"/>
    <w:rsid w:val="00355C0B"/>
    <w:rsid w:val="00356C3D"/>
    <w:rsid w:val="00364058"/>
    <w:rsid w:val="003F082D"/>
    <w:rsid w:val="00411888"/>
    <w:rsid w:val="00430703"/>
    <w:rsid w:val="0043273E"/>
    <w:rsid w:val="00436C41"/>
    <w:rsid w:val="00451871"/>
    <w:rsid w:val="004547AD"/>
    <w:rsid w:val="00472923"/>
    <w:rsid w:val="004E3066"/>
    <w:rsid w:val="004E74CD"/>
    <w:rsid w:val="00544B03"/>
    <w:rsid w:val="005549F6"/>
    <w:rsid w:val="00573562"/>
    <w:rsid w:val="0058208B"/>
    <w:rsid w:val="00614A29"/>
    <w:rsid w:val="006509AF"/>
    <w:rsid w:val="006611F8"/>
    <w:rsid w:val="00681154"/>
    <w:rsid w:val="006D0BF7"/>
    <w:rsid w:val="006E0AD3"/>
    <w:rsid w:val="006E3FDA"/>
    <w:rsid w:val="006F61CC"/>
    <w:rsid w:val="00703727"/>
    <w:rsid w:val="007324B6"/>
    <w:rsid w:val="00751FE1"/>
    <w:rsid w:val="0075393C"/>
    <w:rsid w:val="007714C3"/>
    <w:rsid w:val="00776C08"/>
    <w:rsid w:val="00786BE2"/>
    <w:rsid w:val="007E1DA8"/>
    <w:rsid w:val="007E5FDF"/>
    <w:rsid w:val="007F6C26"/>
    <w:rsid w:val="008067B1"/>
    <w:rsid w:val="008334AE"/>
    <w:rsid w:val="00836FED"/>
    <w:rsid w:val="00845CD2"/>
    <w:rsid w:val="00852B0D"/>
    <w:rsid w:val="00881692"/>
    <w:rsid w:val="00882773"/>
    <w:rsid w:val="00887B5F"/>
    <w:rsid w:val="008B3CC5"/>
    <w:rsid w:val="008E346B"/>
    <w:rsid w:val="008E4261"/>
    <w:rsid w:val="008F3E86"/>
    <w:rsid w:val="008F4662"/>
    <w:rsid w:val="00905D08"/>
    <w:rsid w:val="00907F93"/>
    <w:rsid w:val="00914A09"/>
    <w:rsid w:val="009200D8"/>
    <w:rsid w:val="00925753"/>
    <w:rsid w:val="009333C2"/>
    <w:rsid w:val="00966C5C"/>
    <w:rsid w:val="00973104"/>
    <w:rsid w:val="009828FC"/>
    <w:rsid w:val="00996219"/>
    <w:rsid w:val="009B3F9B"/>
    <w:rsid w:val="00A31CA5"/>
    <w:rsid w:val="00A555E3"/>
    <w:rsid w:val="00A56FF6"/>
    <w:rsid w:val="00A72D2E"/>
    <w:rsid w:val="00A911E7"/>
    <w:rsid w:val="00A939D9"/>
    <w:rsid w:val="00AB1437"/>
    <w:rsid w:val="00AB1673"/>
    <w:rsid w:val="00AB58F0"/>
    <w:rsid w:val="00AD44A3"/>
    <w:rsid w:val="00B03465"/>
    <w:rsid w:val="00B14FA2"/>
    <w:rsid w:val="00B20712"/>
    <w:rsid w:val="00B303E3"/>
    <w:rsid w:val="00B43238"/>
    <w:rsid w:val="00B55410"/>
    <w:rsid w:val="00B75216"/>
    <w:rsid w:val="00B91D52"/>
    <w:rsid w:val="00BA1ACD"/>
    <w:rsid w:val="00BA49AE"/>
    <w:rsid w:val="00BB1462"/>
    <w:rsid w:val="00C22827"/>
    <w:rsid w:val="00C55333"/>
    <w:rsid w:val="00C658D8"/>
    <w:rsid w:val="00C864BF"/>
    <w:rsid w:val="00C96D0D"/>
    <w:rsid w:val="00CA7176"/>
    <w:rsid w:val="00CB0DD3"/>
    <w:rsid w:val="00CC163D"/>
    <w:rsid w:val="00CD2773"/>
    <w:rsid w:val="00CE143B"/>
    <w:rsid w:val="00D52856"/>
    <w:rsid w:val="00D74B13"/>
    <w:rsid w:val="00D8117B"/>
    <w:rsid w:val="00DE4AA3"/>
    <w:rsid w:val="00E150A4"/>
    <w:rsid w:val="00E167C7"/>
    <w:rsid w:val="00EA0FF4"/>
    <w:rsid w:val="00EB0F53"/>
    <w:rsid w:val="00EC47F6"/>
    <w:rsid w:val="00ED6DB7"/>
    <w:rsid w:val="00EE2E73"/>
    <w:rsid w:val="00F24692"/>
    <w:rsid w:val="00F66032"/>
    <w:rsid w:val="00F958C2"/>
    <w:rsid w:val="00FE47E7"/>
    <w:rsid w:val="00FF26D7"/>
    <w:rsid w:val="01FB23CB"/>
    <w:rsid w:val="0B0D77B0"/>
    <w:rsid w:val="0C3D5924"/>
    <w:rsid w:val="0D9F1876"/>
    <w:rsid w:val="10ED36A0"/>
    <w:rsid w:val="114917E9"/>
    <w:rsid w:val="15F42192"/>
    <w:rsid w:val="19C36DAA"/>
    <w:rsid w:val="1A5D684E"/>
    <w:rsid w:val="1ABE55EE"/>
    <w:rsid w:val="1D954D97"/>
    <w:rsid w:val="2A012DF7"/>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70F61CB"/>
    <w:rsid w:val="5911172D"/>
    <w:rsid w:val="59870472"/>
    <w:rsid w:val="5E731884"/>
    <w:rsid w:val="67706CC4"/>
    <w:rsid w:val="678A783D"/>
    <w:rsid w:val="685B7F7B"/>
    <w:rsid w:val="6C053E44"/>
    <w:rsid w:val="6CA86ED0"/>
    <w:rsid w:val="724C7A91"/>
    <w:rsid w:val="72617A36"/>
    <w:rsid w:val="730773CC"/>
    <w:rsid w:val="7EB2342C"/>
    <w:rsid w:val="7FBC79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99"/>
    <w:pPr>
      <w:jc w:val="left"/>
    </w:pPr>
  </w:style>
  <w:style w:type="paragraph" w:styleId="3">
    <w:name w:val="Balloon Text"/>
    <w:basedOn w:val="1"/>
    <w:link w:val="16"/>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99"/>
    <w:rPr>
      <w:rFonts w:ascii="Times New Roman" w:hAnsi="Times New Roman" w:cs="Times New Roman"/>
      <w:szCs w:val="24"/>
    </w:rPr>
  </w:style>
  <w:style w:type="paragraph" w:styleId="7">
    <w:name w:val="toc 2"/>
    <w:basedOn w:val="1"/>
    <w:next w:val="1"/>
    <w:qFormat/>
    <w:uiPriority w:val="99"/>
    <w:pPr>
      <w:ind w:left="420" w:leftChars="200"/>
    </w:pPr>
    <w:rPr>
      <w:rFonts w:ascii="Times New Roman" w:hAnsi="Times New Roman" w:cs="Times New Roman"/>
      <w:szCs w:val="24"/>
    </w:rPr>
  </w:style>
  <w:style w:type="paragraph" w:styleId="8">
    <w:name w:val="annotation subject"/>
    <w:basedOn w:val="2"/>
    <w:next w:val="2"/>
    <w:link w:val="15"/>
    <w:semiHidden/>
    <w:qFormat/>
    <w:uiPriority w:val="99"/>
    <w:rPr>
      <w:b/>
      <w:bCs/>
    </w:rPr>
  </w:style>
  <w:style w:type="character" w:styleId="11">
    <w:name w:val="annotation reference"/>
    <w:basedOn w:val="10"/>
    <w:semiHidden/>
    <w:qFormat/>
    <w:uiPriority w:val="99"/>
    <w:rPr>
      <w:rFonts w:cs="Times New Roman"/>
      <w:sz w:val="21"/>
      <w:szCs w:val="21"/>
    </w:rPr>
  </w:style>
  <w:style w:type="character" w:customStyle="1" w:styleId="12">
    <w:name w:val="页脚 Char"/>
    <w:basedOn w:val="10"/>
    <w:link w:val="4"/>
    <w:qFormat/>
    <w:locked/>
    <w:uiPriority w:val="99"/>
    <w:rPr>
      <w:rFonts w:ascii="Times New Roman" w:hAnsi="Times New Roman" w:eastAsia="宋体" w:cs="Times New Roman"/>
      <w:sz w:val="18"/>
      <w:szCs w:val="18"/>
    </w:rPr>
  </w:style>
  <w:style w:type="character" w:customStyle="1" w:styleId="13">
    <w:name w:val="页眉 Char"/>
    <w:basedOn w:val="10"/>
    <w:link w:val="5"/>
    <w:qFormat/>
    <w:locked/>
    <w:uiPriority w:val="99"/>
    <w:rPr>
      <w:rFonts w:ascii="Times New Roman" w:hAnsi="Times New Roman" w:eastAsia="宋体" w:cs="Times New Roman"/>
      <w:sz w:val="18"/>
      <w:szCs w:val="18"/>
    </w:rPr>
  </w:style>
  <w:style w:type="character" w:customStyle="1" w:styleId="14">
    <w:name w:val="批注文字 Char"/>
    <w:basedOn w:val="10"/>
    <w:link w:val="2"/>
    <w:semiHidden/>
    <w:qFormat/>
    <w:locked/>
    <w:uiPriority w:val="99"/>
    <w:rPr>
      <w:rFonts w:ascii="Calibri" w:hAnsi="Calibri" w:cs="黑体"/>
      <w:kern w:val="2"/>
      <w:sz w:val="22"/>
      <w:szCs w:val="22"/>
    </w:rPr>
  </w:style>
  <w:style w:type="character" w:customStyle="1" w:styleId="15">
    <w:name w:val="批注主题 Char"/>
    <w:basedOn w:val="14"/>
    <w:link w:val="8"/>
    <w:semiHidden/>
    <w:qFormat/>
    <w:locked/>
    <w:uiPriority w:val="99"/>
    <w:rPr>
      <w:b/>
      <w:bCs/>
    </w:rPr>
  </w:style>
  <w:style w:type="character" w:customStyle="1" w:styleId="16">
    <w:name w:val="批注框文本 Char"/>
    <w:basedOn w:val="10"/>
    <w:link w:val="3"/>
    <w:semiHidden/>
    <w:qFormat/>
    <w:locked/>
    <w:uiPriority w:val="99"/>
    <w:rPr>
      <w:rFonts w:ascii="Calibri" w:hAnsi="Calibri" w:cs="黑体"/>
      <w:kern w:val="2"/>
      <w:sz w:val="18"/>
      <w:szCs w:val="18"/>
    </w:rPr>
  </w:style>
  <w:style w:type="paragraph" w:customStyle="1" w:styleId="17">
    <w:name w:val="Revision"/>
    <w:hidden/>
    <w:semiHidden/>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758A0-4514-474C-A50C-C05D6FD1317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638</Words>
  <Characters>3639</Characters>
  <Lines>30</Lines>
  <Paragraphs>8</Paragraphs>
  <TotalTime>0</TotalTime>
  <ScaleCrop>false</ScaleCrop>
  <LinksUpToDate>false</LinksUpToDate>
  <CharactersWithSpaces>4269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2019-02-28T00:45:00Z</dcterms:created>
  <dc:creator>guest</dc:creator>
  <cp:lastModifiedBy>Administrator</cp:lastModifiedBy>
  <cp:lastPrinted>2018-03-23T07:10:00Z</cp:lastPrinted>
  <dcterms:modified xsi:type="dcterms:W3CDTF">2021-05-20T07:04:57Z</dcterms:modified>
  <dc:title>河北省2017年部门预算信息公开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