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44"/>
          <w:szCs w:val="44"/>
        </w:rPr>
      </w:pPr>
      <w:bookmarkStart w:id="0" w:name="_Toc471398463"/>
      <w:r>
        <w:rPr>
          <w:rFonts w:ascii="Times New Roman" w:hAnsi="Times New Roman" w:eastAsia="方正小标宋简体" w:cs="Times New Roman"/>
          <w:sz w:val="44"/>
          <w:szCs w:val="44"/>
        </w:rPr>
        <w:t>秦皇岛北戴河新区党群工作部2019年</w:t>
      </w: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部门预算信息公开说明</w:t>
      </w:r>
    </w:p>
    <w:p>
      <w:pPr>
        <w:jc w:val="center"/>
        <w:rPr>
          <w:rFonts w:ascii="Times New Roman" w:hAnsi="Times New Roman" w:eastAsia="方正小标宋简体" w:cs="Times New Roman"/>
          <w:sz w:val="44"/>
          <w:szCs w:val="44"/>
        </w:rPr>
      </w:pP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按照《预算法》、《地方预决算公开操作规程》和《河北省省级预算公开办法》规定，现将2019年部门预算公开如下：</w:t>
      </w:r>
    </w:p>
    <w:p>
      <w:pPr>
        <w:ind w:firstLine="64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napToGrid w:val="0"/>
        <w:spacing w:line="540" w:lineRule="exact"/>
        <w:ind w:firstLine="643" w:firstLineChars="200"/>
        <w:rPr>
          <w:rFonts w:ascii="Times New Roman" w:hAnsi="Times New Roman" w:eastAsia="方正仿宋简体" w:cs="Times New Roman"/>
          <w:bCs/>
          <w:sz w:val="32"/>
          <w:szCs w:val="32"/>
        </w:rPr>
      </w:pPr>
      <w:r>
        <w:rPr>
          <w:rFonts w:ascii="Times New Roman" w:hAnsi="Times New Roman" w:eastAsia="方正仿宋简体" w:cs="Times New Roman"/>
          <w:b/>
          <w:sz w:val="32"/>
          <w:szCs w:val="32"/>
        </w:rPr>
        <w:t>部门职责：</w:t>
      </w:r>
      <w:r>
        <w:rPr>
          <w:rFonts w:ascii="Times New Roman" w:hAnsi="Times New Roman" w:eastAsia="方正仿宋简体" w:cs="Times New Roman"/>
          <w:bCs/>
          <w:sz w:val="32"/>
          <w:szCs w:val="32"/>
        </w:rPr>
        <w:t>（一）负责基层党建、党风廉政建设、组织人事和机构编制管理。</w:t>
      </w:r>
    </w:p>
    <w:p>
      <w:pPr>
        <w:snapToGrid w:val="0"/>
        <w:spacing w:line="54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（二）负责统战、港澳台事务、工商联工作。</w:t>
      </w:r>
    </w:p>
    <w:p>
      <w:pPr>
        <w:snapToGrid w:val="0"/>
        <w:spacing w:line="54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Cs/>
          <w:sz w:val="32"/>
          <w:szCs w:val="32"/>
        </w:rPr>
        <w:t>（三）</w:t>
      </w:r>
      <w:r>
        <w:rPr>
          <w:rFonts w:ascii="Times New Roman" w:hAnsi="Times New Roman" w:eastAsia="方正仿宋简体" w:cs="Times New Roman"/>
          <w:sz w:val="32"/>
          <w:szCs w:val="32"/>
        </w:rPr>
        <w:t>负责政法、社会治安综合治理、维护稳定、信访和群众工作。</w:t>
      </w:r>
    </w:p>
    <w:p>
      <w:pPr>
        <w:spacing w:line="54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Cs/>
          <w:sz w:val="32"/>
          <w:szCs w:val="32"/>
        </w:rPr>
        <w:t>（四）</w:t>
      </w:r>
      <w:r>
        <w:rPr>
          <w:rFonts w:ascii="Times New Roman" w:hAnsi="Times New Roman" w:eastAsia="方正仿宋简体" w:cs="Times New Roman"/>
          <w:sz w:val="32"/>
          <w:szCs w:val="32"/>
        </w:rPr>
        <w:t>负责群团工作。</w:t>
      </w:r>
    </w:p>
    <w:p>
      <w:pPr>
        <w:snapToGrid w:val="0"/>
        <w:spacing w:line="54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（五）制定实施吸引一流管理人才和高端创新创业人才的特殊人才政策，创新选人用人机制，实行全员聘用和委任、选任、聘任相结合的选人用人方式，建立完善激励机制。</w:t>
      </w:r>
    </w:p>
    <w:p>
      <w:pPr>
        <w:snapToGrid w:val="0"/>
        <w:spacing w:line="54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（六）负责社会保险工作；</w:t>
      </w:r>
    </w:p>
    <w:p>
      <w:pPr>
        <w:snapToGrid w:val="0"/>
        <w:spacing w:line="54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（七）负责就业促进工作，推动更高质量就业再就业；</w:t>
      </w:r>
    </w:p>
    <w:p>
      <w:pPr>
        <w:snapToGrid w:val="0"/>
        <w:spacing w:line="54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（八）负责维护农民工合法权益，构建和谐劳动关系；</w:t>
      </w:r>
    </w:p>
    <w:p>
      <w:pPr>
        <w:snapToGrid w:val="0"/>
        <w:spacing w:line="54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（九）负责住房公积金指导协调工作；</w:t>
      </w:r>
    </w:p>
    <w:p>
      <w:pPr>
        <w:snapToGrid w:val="0"/>
        <w:spacing w:line="54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（十）负责思想政治、理论学习和精神文明建设的组织、指导和协调工作，负责新闻宣传工作。</w:t>
      </w:r>
    </w:p>
    <w:p>
      <w:pPr>
        <w:snapToGrid w:val="0"/>
        <w:spacing w:line="54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（十一）负责联系人大、政协工作。</w:t>
      </w:r>
    </w:p>
    <w:p>
      <w:pPr>
        <w:ind w:firstLine="640" w:firstLineChars="200"/>
        <w:rPr>
          <w:rFonts w:ascii="Times New Roman" w:hAnsi="Times New Roman" w:eastAsia="方正黑体_GBK" w:cs="Times New Roman"/>
          <w:sz w:val="28"/>
        </w:rPr>
      </w:pPr>
      <w:r>
        <w:rPr>
          <w:rFonts w:ascii="Times New Roman" w:hAnsi="Times New Roman" w:eastAsia="方正仿宋简体" w:cs="Times New Roman"/>
          <w:bCs/>
          <w:sz w:val="32"/>
          <w:szCs w:val="32"/>
        </w:rPr>
        <w:t>（十二）负责承办新区党工委、管委会交办的其他事项。</w:t>
      </w:r>
    </w:p>
    <w:p>
      <w:pPr>
        <w:autoSpaceDE w:val="0"/>
        <w:autoSpaceDN w:val="0"/>
        <w:adjustRightInd w:val="0"/>
        <w:ind w:firstLine="643"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部门机构设置情况</w:t>
      </w:r>
    </w:p>
    <w:tbl>
      <w:tblPr>
        <w:tblStyle w:val="9"/>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color w:val="FF0000"/>
                <w:szCs w:val="24"/>
              </w:rPr>
            </w:pPr>
            <w:r>
              <w:rPr>
                <w:rFonts w:ascii="Times New Roman" w:hAnsi="Times New Roman" w:eastAsia="方正书宋_GBK" w:cs="Times New Roman"/>
              </w:rPr>
              <w:t>秦皇岛北戴河新区党群工作部</w:t>
            </w:r>
          </w:p>
        </w:tc>
        <w:tc>
          <w:tcPr>
            <w:tcW w:w="1134" w:type="dxa"/>
            <w:vAlign w:val="center"/>
          </w:tcPr>
          <w:p>
            <w:pPr>
              <w:spacing w:line="300" w:lineRule="exact"/>
              <w:jc w:val="center"/>
              <w:rPr>
                <w:rFonts w:ascii="Times New Roman" w:hAnsi="Times New Roman" w:eastAsia="方正书宋_GBK" w:cs="Times New Roman"/>
                <w:szCs w:val="24"/>
              </w:rPr>
            </w:pPr>
            <w:r>
              <w:rPr>
                <w:rFonts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ascii="Times New Roman" w:hAnsi="Times New Roman" w:eastAsia="方正书宋_GBK" w:cs="Times New Roman"/>
              </w:rPr>
              <w:t>正科级</w:t>
            </w:r>
          </w:p>
        </w:tc>
        <w:tc>
          <w:tcPr>
            <w:tcW w:w="2902" w:type="dxa"/>
            <w:vAlign w:val="center"/>
          </w:tcPr>
          <w:p>
            <w:pPr>
              <w:spacing w:line="300" w:lineRule="exact"/>
              <w:jc w:val="center"/>
              <w:rPr>
                <w:rFonts w:ascii="Times New Roman" w:hAnsi="Times New Roman" w:eastAsia="方正书宋_GBK" w:cs="Times New Roman"/>
                <w:szCs w:val="24"/>
              </w:rPr>
            </w:pPr>
            <w:r>
              <w:rPr>
                <w:rFonts w:ascii="Times New Roman" w:hAnsi="Times New Roman" w:eastAsia="方正书宋_GBK" w:cs="Times New Roman"/>
              </w:rPr>
              <w:t>财政拨款</w:t>
            </w:r>
          </w:p>
        </w:tc>
      </w:tr>
    </w:tbl>
    <w:p>
      <w:pPr>
        <w:rPr>
          <w:rFonts w:ascii="Times New Roman" w:hAnsi="Times New Roman" w:cs="Times New Roman"/>
        </w:rPr>
      </w:pPr>
    </w:p>
    <w:p>
      <w:pPr>
        <w:ind w:firstLine="64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按照预算管理有关规定，目前我区部门预算的编制实行综合预算制度，即全部收入和支出都反映在预算中。秦皇岛北戴河新区党群工作部的收支包含在部门预算中。</w:t>
      </w:r>
    </w:p>
    <w:p>
      <w:pPr>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1.收入说明</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反映本部门当年全部收入，2019年预算收入7952.86万元。一般公共预算拨款4952.86万元，基金预算拨款3000万元。</w:t>
      </w:r>
    </w:p>
    <w:p>
      <w:pPr>
        <w:ind w:firstLine="640" w:firstLineChars="200"/>
        <w:rPr>
          <w:rFonts w:ascii="Times New Roman" w:hAnsi="Times New Roman" w:eastAsia="方正仿宋简体" w:cs="Times New Roman"/>
          <w:sz w:val="32"/>
          <w:szCs w:val="32"/>
        </w:rPr>
      </w:pPr>
    </w:p>
    <w:p>
      <w:pPr>
        <w:ind w:left="64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2.支出说明</w:t>
      </w:r>
    </w:p>
    <w:p>
      <w:pPr>
        <w:ind w:firstLine="480" w:firstLineChars="150"/>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部门预算收支总表支出栏、基本支出表、项目支出表按经济分类和支出功能分类科目编制，反映部门预算中支出预算的总体情况。2019年部门支出预算为7952.86万元，其中基本支出951.86万元，包括人员经费824.12万元和日常公用经费127.74万元；项目支出7001万元，全部为本级支出。</w:t>
      </w:r>
    </w:p>
    <w:p>
      <w:pPr>
        <w:ind w:left="64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3.比上年增减情况</w:t>
      </w:r>
    </w:p>
    <w:p>
      <w:pPr>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2019年部门预算较2018年增加3426.53万元，主要原因是2019年增加被征地农民生活补助预算。</w:t>
      </w:r>
    </w:p>
    <w:p>
      <w:pPr>
        <w:ind w:firstLine="640"/>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ind w:firstLine="640"/>
        <w:rPr>
          <w:rFonts w:ascii="Times New Roman" w:hAnsi="Times New Roman" w:eastAsia="黑体" w:cs="Times New Roman"/>
          <w:sz w:val="32"/>
          <w:szCs w:val="32"/>
        </w:rPr>
      </w:pPr>
      <w:r>
        <w:rPr>
          <w:rFonts w:ascii="Times New Roman" w:hAnsi="Times New Roman" w:eastAsia="方正仿宋简体" w:cs="Times New Roman"/>
          <w:sz w:val="32"/>
          <w:szCs w:val="32"/>
        </w:rPr>
        <w:t>机关运行经费共计安排801.91万元，主要用于保证机关正常运转的办公及印刷费、邮电费、差旅费、会议费、福利费、专用材料及一般设备购置费、办公用房水电费、日常维修费、办公楼物业管理费等支出。</w:t>
      </w:r>
    </w:p>
    <w:p>
      <w:pPr>
        <w:ind w:firstLine="640"/>
        <w:rPr>
          <w:rFonts w:ascii="Times New Roman" w:hAnsi="Times New Roman" w:eastAsia="黑体" w:cs="Times New Roman"/>
          <w:sz w:val="32"/>
          <w:szCs w:val="32"/>
        </w:rPr>
      </w:pPr>
      <w:r>
        <w:rPr>
          <w:rFonts w:ascii="Times New Roman" w:hAnsi="黑体" w:eastAsia="黑体" w:cs="Times New Roman"/>
          <w:sz w:val="32"/>
          <w:szCs w:val="32"/>
        </w:rPr>
        <w:t>四、财政拨款</w:t>
      </w:r>
      <w:r>
        <w:rPr>
          <w:rFonts w:ascii="Times New Roman" w:hAnsi="Times New Roman" w:eastAsia="黑体" w:cs="Times New Roman"/>
          <w:sz w:val="32"/>
          <w:szCs w:val="32"/>
        </w:rPr>
        <w:t>“</w:t>
      </w:r>
      <w:r>
        <w:rPr>
          <w:rFonts w:ascii="Times New Roman" w:hAnsi="黑体" w:eastAsia="黑体" w:cs="Times New Roman"/>
          <w:sz w:val="32"/>
          <w:szCs w:val="32"/>
        </w:rPr>
        <w:t>三公</w:t>
      </w:r>
      <w:r>
        <w:rPr>
          <w:rFonts w:ascii="Times New Roman" w:hAnsi="Times New Roman" w:eastAsia="黑体" w:cs="Times New Roman"/>
          <w:sz w:val="32"/>
          <w:szCs w:val="32"/>
        </w:rPr>
        <w:t>”</w:t>
      </w:r>
      <w:r>
        <w:rPr>
          <w:rFonts w:ascii="Times New Roman" w:hAnsi="黑体" w:eastAsia="黑体" w:cs="Times New Roman"/>
          <w:sz w:val="32"/>
          <w:szCs w:val="32"/>
        </w:rPr>
        <w:t>经费预算情况及增减变化原因</w:t>
      </w:r>
    </w:p>
    <w:p>
      <w:pPr>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2019年，财政拨款“三公”经费预算安排7.96万元，其中：因公出国（境）费0万元；公务用车购置及运维费6.2元；公务接待费1.76万元。“三公”经费较上年提高，主要原因是综办调拨两辆车到党群工作部，增加了车辆的预算。</w:t>
      </w:r>
    </w:p>
    <w:p>
      <w:pPr>
        <w:ind w:firstLine="64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一</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总体绩效目标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促进失业人员再就业，控制城镇登记失业率，转移农村劳动力，保持就业形势的基本稳定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审核或审批市委、市政府、各级党政、人大、政协法院、检察院机关，各民主党派、人民团体机关的机构编制管理事宜；负责全市事业单位法人登记管理和监督检查工作。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建立健全高层次专业技术人才队伍，落实博士后、“三三三人才”等各类人才待遇。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确保公务员四级联考和事业单位公开招聘公平、公正。稳妥做好企业军转干部解困工作，确保企业军转干部总体稳定。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提升劳动报酬在初次分配中的比重。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加强劳动关系协调机制建设，提升社会和谐水平。</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负责全市人力资源和社会保障的宣传和舆情研究。保障政府服务、信息化、劳动保障政策研究等综合性工作。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贯彻落实党中央、国务院关于行政管理体制机构编制管理的政策和地方性法规草案并监督实施：探索大部制，解决职能交叉。建设服务型政府，着力转变职能、理顺关系、优化结构、提高效能，形成权责一致、分工合理、决策科学、执行顺畅、监督有力的行政管理体制。健全政府职责体系，完善公共服务体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审核或审批市委、市政府、各级党政、人大、政协法院、检察院机关，各民主党派、人民团体机关的机构编制管理事宜；负责全市事业单位法人登记管理和监督检查工作。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强化社会管理和公共服务。加快推进政企分开、政资分开、政事分开、政府与市场中介组织分开，规范行政行为，加强行政执法部门建设，减少和规范行政审批，减少政府对微观经济运行的干预。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加强机关党组织建设，严格组织生活制度，丰富党建活动内容，做好党员发展、教育、管理和党务干部的教育培训工作，充分发挥党组织的战斗堡垒作用和党员的先锋模范作用。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加强本级业务应用系统的开发、部署和升级工作，业务数据的建设、维护、备份、管理工作。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全面开展参保登记，扩大各项保险的覆盖面，及时足额落实社会保险待遇。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落实国家工资政策和涉及领导干部收入分配的相关政策，准确高效办理新区管理干部的工资及退休费审批；培养锻炼干部，提高干部整体素质；为各级领导班子储配人才；进一步增强我区干部教育培训工作的统筹性、针对性、有效性，不断提高干部素质和业务能力。</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保障离退休干部各项政策的落实</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做好部机关机要、文秘、信访、会议、固定资产等工作的计划安排和管理；干部、人事政策科学合理；做好老干部综合服务和保障工作；完成组织史征编工作；信息系统运行无障碍。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加强基层领导班子建设；加强非公经济组织和社会组织党建工作；加强全区大学生村官队伍建设；健全全区党的组织制度、党内生活制度建设；加强民主集中制建设和民主生活会宏观指导；乡镇党代会、人代会；做好代表补选、罢免等事宜。</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left"/>
        <w:textAlignment w:val="auto"/>
        <w:outlineLvl w:val="1"/>
        <w:rPr>
          <w:rFonts w:ascii="方正楷体简体" w:hAnsi="黑体" w:eastAsia="方正楷体简体"/>
          <w:sz w:val="32"/>
          <w:szCs w:val="32"/>
        </w:rPr>
      </w:pPr>
      <w:r>
        <w:rPr>
          <w:rFonts w:hint="eastAsia" w:ascii="方正楷体简体" w:hAnsi="黑体" w:eastAsia="方正楷体简体"/>
          <w:sz w:val="32"/>
          <w:szCs w:val="32"/>
        </w:rPr>
        <w:t>（</w:t>
      </w:r>
      <w:r>
        <w:rPr>
          <w:rFonts w:ascii="方正楷体简体" w:hAnsi="黑体" w:eastAsia="方正楷体简体"/>
          <w:sz w:val="32"/>
          <w:szCs w:val="32"/>
        </w:rPr>
        <w:t>二</w:t>
      </w:r>
      <w:r>
        <w:rPr>
          <w:rFonts w:hint="eastAsia" w:ascii="方正楷体简体" w:hAnsi="黑体" w:eastAsia="方正楷体简体"/>
          <w:sz w:val="32"/>
          <w:szCs w:val="32"/>
        </w:rPr>
        <w:t>）</w:t>
      </w:r>
      <w:r>
        <w:rPr>
          <w:rFonts w:ascii="方正楷体简体" w:hAnsi="黑体" w:eastAsia="方正楷体简体"/>
          <w:sz w:val="32"/>
          <w:szCs w:val="32"/>
        </w:rPr>
        <w:t>分项绩效目标</w:t>
      </w:r>
      <w:r>
        <w:fldChar w:fldCharType="begin"/>
      </w:r>
      <w:r>
        <w:rPr>
          <w:rFonts w:ascii="方正楷体简体" w:hAnsi="黑体" w:eastAsia="方正楷体简体"/>
          <w:sz w:val="32"/>
          <w:szCs w:val="32"/>
        </w:rPr>
        <w:instrText xml:space="preserve"> TC </w:instrText>
      </w:r>
      <w:bookmarkStart w:id="1" w:name="_Toc28866445"/>
      <w:r>
        <w:rPr>
          <w:rFonts w:ascii="方正楷体简体" w:hAnsi="黑体" w:eastAsia="方正楷体简体"/>
          <w:sz w:val="32"/>
          <w:szCs w:val="32"/>
        </w:rPr>
        <w:instrText xml:space="preserve">分项绩效目标</w:instrText>
      </w:r>
      <w:bookmarkEnd w:id="1"/>
      <w:r>
        <w:rPr>
          <w:rFonts w:ascii="方正楷体简体" w:hAnsi="黑体" w:eastAsia="方正楷体简体"/>
          <w:sz w:val="32"/>
          <w:szCs w:val="32"/>
        </w:rPr>
        <w:instrText xml:space="preserve"> \f A \l 1 </w:instrText>
      </w:r>
      <w:r>
        <w:rPr>
          <w:rFonts w:ascii="方正楷体简体" w:hAnsi="黑体" w:eastAsia="方正楷体简体"/>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职责分类绩效目标：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1、促进就业政策、管理及实施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促进失业人员再就业，控制城镇登记失业率，转移农村劳动力，保持就业形势的基本稳定。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2、社会保险政策实施及管理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全面开展参保登记，扩大各项保险的覆盖面，及时足额落实社会保险待遇。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3、全区人才工作及队伍建设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做好全局性人才工作事项的统筹谋划；承担工委人才工作领导小组有关会议筹备、文件起草、协调联络服务等工作；围绕人才理论和全区人才工作进展中的实际问题开展调查研究，提出加强和改进人才工作的意见和建议。落实专业技术人员管理和继续教育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4、编办事务管理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加强机关党组织建设，严格组织生活制度，丰富党建活动内容，做好党员发展、教育、管理和党务干部的教育培训工作，充分发挥党组织的战斗堡垒作用和党员的先锋模范作用。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5、党员和党组织建设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强基层领导班子建设；加强非公经济组织和社会组织党建工作；加强大学生村官队伍建设；健全全区党的组织制度、党内生活制度建设；加强民主集中制建设和民主生活会宏观指导；负责区、管理处党代表人大代表、政协委员选举等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6、干部管理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落实国家工资政策和涉及领导干部收入分配的相关政策，准确高效办理新区工委管理干部的工资及退休费审批；培养锻炼干部，提高干部整体素质；为各级领导班子储配人才；进一步增强我区干部教育培训工作的统筹性、针对性、有效性，不断提高干部素质和业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7、社会治安综合治理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防范管理与扫黑除恶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（1）防范工作</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①了解掌握“法轮功”等邪教习练者的情况和动向，提出防范和处理意见。</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②组织协调各部门、基层组织对邪教人员开展防控打击、教育转化和日常稳控。</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③负责防范处理“法轮功”等邪教问题的社会宣传教育工作。 </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④指导“无邪教创建”示范单位建设，确保“无邪教创建”活动的顺利开展。</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⑤督导检查各项工作落实情况。</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⑥邪教人员教育转化和反宣品清理清查。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（2）扫黑除恶</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①组织协调社会治安综合治理工作和有关重大活动。</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②宣传贯彻社会治安综合治理的方针、政策和有关法律法规，督促落实社会治安综合治理的各项措施。</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③统筹计划和安排一定时期的社会治安综合治理工作，研究制定社会治治安综合治理的规章制度，推动有关部门参与社会治安综合治理。</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④负责社会治安综合治理工作的督促检查，提出奖惩建议和总结表彰意见。</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⑤对社会治安综合治理工作中出现的新情况、新问题加强调研，提出意见和建议。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⑥社会治安突出问题得以解决，社会矛盾纠纷得以排查和调处，社会治安形势得以好转。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8、信访事务管理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进一步提高信访干部业务能力；吸收可行建议，改进信访工作；提高信访信息化应用水平，实现办公自动化、网络化智能化。保障机要邮件正常传递和信访接待楼正常运转；确保相关会议正常召开。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9、宣传事务管理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确保各项业务工作谋划到位、顺利开展。保障机关工作正常高效运转。牢牢掌握意识形态工作领导权、管理权、话语权，弘扬主旋律，汇聚正能量，为全区经济社会发展提供有力的思想保证、精神动力、舆论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10、离退休干部政策及服务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贯彻落实国家关于离退休干部的方针政策，组织落实离退休干部的政治、生活待遇。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11、司法政务管理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促进司法系统执法能力全面提升。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12、统战工作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年度各项工作任务圆满完成。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方正楷体简体" w:hAnsi="黑体" w:eastAsia="方正楷体简体"/>
          <w:sz w:val="32"/>
          <w:szCs w:val="32"/>
        </w:rPr>
      </w:pPr>
      <w:r>
        <w:rPr>
          <w:rFonts w:hint="eastAsia" w:ascii="方正楷体简体" w:hAnsi="黑体" w:eastAsia="方正楷体简体"/>
          <w:sz w:val="32"/>
          <w:szCs w:val="32"/>
        </w:rPr>
        <w:t>（</w:t>
      </w:r>
      <w:r>
        <w:rPr>
          <w:rFonts w:ascii="方正楷体简体" w:hAnsi="黑体" w:eastAsia="方正楷体简体"/>
          <w:sz w:val="32"/>
          <w:szCs w:val="32"/>
        </w:rPr>
        <w:t>三</w:t>
      </w:r>
      <w:r>
        <w:rPr>
          <w:rFonts w:hint="eastAsia" w:ascii="方正楷体简体" w:hAnsi="黑体" w:eastAsia="方正楷体简体"/>
          <w:sz w:val="32"/>
          <w:szCs w:val="32"/>
        </w:rPr>
        <w:t>）</w:t>
      </w:r>
      <w:r>
        <w:rPr>
          <w:rFonts w:ascii="方正楷体简体" w:hAnsi="黑体" w:eastAsia="方正楷体简体"/>
          <w:sz w:val="32"/>
          <w:szCs w:val="32"/>
        </w:rPr>
        <w:t>工作保障措施</w:t>
      </w:r>
      <w:r>
        <w:fldChar w:fldCharType="begin"/>
      </w:r>
      <w:r>
        <w:rPr>
          <w:rFonts w:ascii="方正楷体简体" w:hAnsi="黑体" w:eastAsia="方正楷体简体"/>
          <w:sz w:val="32"/>
          <w:szCs w:val="32"/>
        </w:rPr>
        <w:instrText xml:space="preserve"> TC </w:instrText>
      </w:r>
      <w:bookmarkStart w:id="2" w:name="_Toc28866446"/>
      <w:r>
        <w:rPr>
          <w:rFonts w:ascii="方正楷体简体" w:hAnsi="黑体" w:eastAsia="方正楷体简体"/>
          <w:sz w:val="32"/>
          <w:szCs w:val="32"/>
        </w:rPr>
        <w:instrText xml:space="preserve">工作保障措施</w:instrText>
      </w:r>
      <w:bookmarkEnd w:id="2"/>
      <w:r>
        <w:rPr>
          <w:rFonts w:ascii="方正楷体简体" w:hAnsi="黑体" w:eastAsia="方正楷体简体"/>
          <w:sz w:val="32"/>
          <w:szCs w:val="32"/>
        </w:rPr>
        <w:instrText xml:space="preserve"> \f A \l 1 </w:instrText>
      </w:r>
      <w:r>
        <w:rPr>
          <w:rFonts w:ascii="方正楷体简体" w:hAnsi="黑体" w:eastAsia="方正楷体简体"/>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推进和谐新区建设再创佳绩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是深入推进扫黑除恶专项斗争。根据中央、省、市要求，全力巩固已有成果，深入推进新区扫黑除恶专项斗争，认真落实全省扫黑除恶专项斗争第二次会议精神要求。二是在巩固现有成绩的基础上，进一步落实信访工作责任制，坚持工委、管委一把手亲自抓，负总责的领导责任制，研究解决群众反映的热点难点问题的有效途径，切实解决信访工作中遇到的困难和问题。三是严密防范各类群体性突发事件，全力做好重大会议、敏感节点、要害单位和重大接待信访维稳工作；同时坚决遏制邪教组织的非法活动，确保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推进社会保障工作提质发展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是加大政策法规宣传力度，严格落实各保险相关政策，加大社会保险扩面稽核力度，做好申报核定工作，确保年底超额完成扩面征缴任务；二是加强基金风险防控，对外狠抓两定机构监管，对内完善内控制度建设，加大对待遇申报、待遇核定、待遇发放环节的审核力度，坚决杜绝欺诈骗保行为，确保社保基金安全平稳运行。三是培训重点由六类人员向企业在岗职工转移，坚持需求导向，大力推行终身职业技能培训制度，服务经济社会发展，适应人民群众就业创业需要。</w:t>
      </w:r>
    </w:p>
    <w:p>
      <w:pPr>
        <w:numPr>
          <w:numId w:val="0"/>
        </w:numPr>
        <w:rPr>
          <w:rFonts w:ascii="Times New Roman" w:hAnsi="Times New Roman" w:eastAsia="方正仿宋简体" w:cs="Times New Roman"/>
          <w:sz w:val="32"/>
          <w:szCs w:val="32"/>
        </w:rPr>
      </w:pPr>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Times New Roman" w:hAnsi="Times New Roman" w:eastAsia="方正小标宋_GBK" w:cs="Times New Roman"/>
                <w:sz w:val="24"/>
              </w:rPr>
            </w:pPr>
            <w:r>
              <w:rPr>
                <w:rFonts w:ascii="Times New Roman" w:hAnsi="Times New Roman" w:eastAsia="方正小标宋_GBK" w:cs="Times New Roman"/>
                <w:sz w:val="24"/>
              </w:rPr>
              <w:t>203秦皇岛北戴河新区党群工作部</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Times New Roman" w:hAnsi="Times New Roman" w:eastAsia="方正书宋_GBK" w:cs="Times New Roman"/>
                <w:sz w:val="24"/>
              </w:rPr>
            </w:pPr>
            <w:r>
              <w:rPr>
                <w:rFonts w:ascii="Times New Roman" w:hAnsi="Times New Roman"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职责活动</w:t>
            </w:r>
          </w:p>
        </w:tc>
        <w:tc>
          <w:tcPr>
            <w:tcW w:w="1276" w:type="dxa"/>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年度预算数</w:t>
            </w:r>
          </w:p>
        </w:tc>
        <w:tc>
          <w:tcPr>
            <w:tcW w:w="2976" w:type="dxa"/>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内容描述</w:t>
            </w:r>
          </w:p>
        </w:tc>
        <w:tc>
          <w:tcPr>
            <w:tcW w:w="2976" w:type="dxa"/>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绩效目标</w:t>
            </w:r>
          </w:p>
        </w:tc>
        <w:tc>
          <w:tcPr>
            <w:tcW w:w="1417" w:type="dxa"/>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绩效指标</w:t>
            </w:r>
          </w:p>
        </w:tc>
        <w:tc>
          <w:tcPr>
            <w:tcW w:w="2948" w:type="dxa"/>
            <w:gridSpan w:val="4"/>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Times New Roman" w:hAnsi="Times New Roman" w:cs="Times New Roman"/>
              </w:rPr>
            </w:pPr>
          </w:p>
        </w:tc>
        <w:tc>
          <w:tcPr>
            <w:tcW w:w="1276" w:type="dxa"/>
            <w:vMerge w:val="continue"/>
            <w:shd w:val="clear" w:color="auto" w:fill="auto"/>
            <w:vAlign w:val="center"/>
          </w:tcPr>
          <w:p>
            <w:pPr>
              <w:spacing w:line="300" w:lineRule="exact"/>
              <w:jc w:val="left"/>
              <w:outlineLvl w:val="0"/>
              <w:rPr>
                <w:rFonts w:ascii="Times New Roman" w:hAnsi="Times New Roman" w:cs="Times New Roman"/>
              </w:rPr>
            </w:pPr>
          </w:p>
        </w:tc>
        <w:tc>
          <w:tcPr>
            <w:tcW w:w="2976" w:type="dxa"/>
            <w:vMerge w:val="continue"/>
            <w:shd w:val="clear" w:color="auto" w:fill="auto"/>
            <w:vAlign w:val="center"/>
          </w:tcPr>
          <w:p>
            <w:pPr>
              <w:spacing w:line="300" w:lineRule="exact"/>
              <w:jc w:val="left"/>
              <w:outlineLvl w:val="0"/>
              <w:rPr>
                <w:rFonts w:ascii="Times New Roman" w:hAnsi="Times New Roman" w:cs="Times New Roman"/>
              </w:rPr>
            </w:pPr>
          </w:p>
        </w:tc>
        <w:tc>
          <w:tcPr>
            <w:tcW w:w="2976" w:type="dxa"/>
            <w:vMerge w:val="continue"/>
            <w:shd w:val="clear" w:color="auto" w:fill="auto"/>
            <w:vAlign w:val="center"/>
          </w:tcPr>
          <w:p>
            <w:pPr>
              <w:spacing w:line="300" w:lineRule="exact"/>
              <w:jc w:val="left"/>
              <w:outlineLvl w:val="0"/>
              <w:rPr>
                <w:rFonts w:ascii="Times New Roman" w:hAnsi="Times New Roman" w:cs="Times New Roman"/>
              </w:rPr>
            </w:pPr>
          </w:p>
        </w:tc>
        <w:tc>
          <w:tcPr>
            <w:tcW w:w="1417" w:type="dxa"/>
            <w:vMerge w:val="continue"/>
            <w:shd w:val="clear" w:color="auto" w:fill="auto"/>
            <w:vAlign w:val="center"/>
          </w:tcPr>
          <w:p>
            <w:pPr>
              <w:spacing w:line="300" w:lineRule="exact"/>
              <w:jc w:val="left"/>
              <w:outlineLvl w:val="0"/>
              <w:rPr>
                <w:rFonts w:ascii="Times New Roman" w:hAnsi="Times New Roman"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优</w:t>
            </w:r>
          </w:p>
        </w:tc>
        <w:tc>
          <w:tcPr>
            <w:tcW w:w="737" w:type="dxa"/>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良</w:t>
            </w:r>
          </w:p>
        </w:tc>
        <w:tc>
          <w:tcPr>
            <w:tcW w:w="737" w:type="dxa"/>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中</w:t>
            </w:r>
          </w:p>
        </w:tc>
        <w:tc>
          <w:tcPr>
            <w:tcW w:w="737" w:type="dxa"/>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一、促进就业政策、管理及实施</w:t>
            </w:r>
          </w:p>
        </w:tc>
        <w:tc>
          <w:tcPr>
            <w:tcW w:w="12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52.00</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负责促进就业工作，健全公共就业服务体系和人力资源市场体系，建立城乡劳动者平等就业制度，积极促进社会就业。</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促进失业人员再就业，控制城镇登记失业率，转移农村劳动力，保持就业形势的基本稳定。</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1、就业创业扶持政策的制定及管理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52.00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健全公共就业服务体系，按照统一规划指导公共就业服务信息管理；办理毕业生就业手续派遣工作等。</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健全公共就业服务体系，按照统一规划指导公共就业服务信息管理；办理毕业生就业手续派遣工作等。</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社会保险补贴到位率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公益性岗位补贴到位率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高校毕业生就业率、创业率提高情况</w:t>
            </w: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2、就业服务体系建设</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建立健全职业指导、职业介绍、就业创业服务、人力资源市场、毕业生就业等公共就业服务体系，建立基层人力资源和社会保障服务平台，完善人事档案公共服务，开展人力资源服务业、家庭服务业工作、就业服务指导。</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实施免费的公共就业服务</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就业服务到位率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开展就业服务指导培训次数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新增就业人员数量</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新增就业项目数量</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完善毕业生就业服务体系及就业服务网络平台建设</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3、职业培训能力建设</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落实职业劳动能力鉴定政策，按国家和区政府要求推动职业能力建设，开展职业培训能力建设相关工作。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提高劳动者素质，打造我区职业技术工人队伍，实现稳定就业</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职业培训人数</w:t>
            </w: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培训课程种类</w:t>
            </w: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职业培训就业率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二、社会保险政策实施及管理</w:t>
            </w:r>
          </w:p>
        </w:tc>
        <w:tc>
          <w:tcPr>
            <w:tcW w:w="12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5130.00</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制定我区养老、医疗、失业、工伤、生育保险实施措施并推动落实。同时，对全区社保基金征缴、支付、管理进行监管。</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全面开展参保登记，扩大各项保险的覆盖面，及时足额落实社会保险待遇。</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1、养老保险政策实施及管理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1080.00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落实职工基本养老保险政策、城乡居民养老保险政策和机关事业单位人员养老保险制度改革配套政策。</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 xml:space="preserve">完成养老保险扩面征缴任务，确保养老金按时足额发放，防范基金风险，确保参保人员权益。 </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养老金扩面任务完成率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养老金发放到位率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养老金征缴任务完成率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养老金发放及时性</w:t>
            </w: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2、医疗保险等相关政策执行落实</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1000.00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执行落实城镇职工、城乡居民医疗保险政策，稳步提高医疗保障水平。完善医疗服务实时监控系统，深入推进异地就医直接结算。</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稳步提高医疗保险参保率，提高医疗服务实时监控水平，逐步提高异地就医直接结算服务水平，确保医疗保险基金安全运行。</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基本医疗保险参保率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异地就医直接结算覆盖率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医疗保险报销及时率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3、工伤保险政策执行落实</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执行落实工伤保险政策，稳步提高参保率。</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提高工伤保险参保率，确保工伤保险待遇落实到位</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工伤保险参保率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已参保的工伤保险待遇到位率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工伤保险报销及时率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4、失业保险政策执行落实</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执行落实失业保险基金征缴使用等政策</w:t>
            </w:r>
          </w:p>
          <w:p>
            <w:pPr>
              <w:spacing w:line="300" w:lineRule="exact"/>
              <w:jc w:val="left"/>
              <w:rPr>
                <w:rFonts w:ascii="Times New Roman" w:hAnsi="Times New Roman" w:eastAsia="方正书宋_GBK" w:cs="Times New Roman"/>
              </w:rPr>
            </w:pPr>
          </w:p>
          <w:p>
            <w:pPr>
              <w:spacing w:line="300" w:lineRule="exact"/>
              <w:jc w:val="left"/>
              <w:rPr>
                <w:rFonts w:ascii="Times New Roman" w:hAnsi="Times New Roman" w:eastAsia="方正书宋_GBK" w:cs="Times New Roman"/>
              </w:rPr>
            </w:pPr>
          </w:p>
          <w:p>
            <w:pPr>
              <w:spacing w:line="300" w:lineRule="exact"/>
              <w:jc w:val="left"/>
              <w:rPr>
                <w:rFonts w:ascii="Times New Roman" w:hAnsi="Times New Roman" w:eastAsia="方正书宋_GBK" w:cs="Times New Roman"/>
              </w:rPr>
            </w:pPr>
          </w:p>
          <w:p>
            <w:pPr>
              <w:spacing w:line="300" w:lineRule="exact"/>
              <w:jc w:val="left"/>
              <w:rPr>
                <w:rFonts w:ascii="Times New Roman" w:hAnsi="Times New Roman" w:eastAsia="方正书宋_GBK" w:cs="Times New Roman"/>
              </w:rPr>
            </w:pPr>
          </w:p>
          <w:p>
            <w:pPr>
              <w:spacing w:line="300" w:lineRule="exact"/>
              <w:jc w:val="left"/>
              <w:rPr>
                <w:rFonts w:ascii="Times New Roman" w:hAnsi="Times New Roman" w:eastAsia="方正书宋_GBK" w:cs="Times New Roman"/>
              </w:rPr>
            </w:pPr>
            <w:r>
              <w:rPr>
                <w:rFonts w:ascii="Times New Roman" w:hAnsi="Times New Roman" w:eastAsia="方正书宋_GBK" w:cs="Times New Roman"/>
              </w:rPr>
              <w:t>.</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失业保险费应收尽收，确保失业人员待遇落实。确保援企稳岗政策落实，维护企业和职工合法权益。</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失业保险扩面任务完成率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失业保险费征收任务完成率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失业保险待遇落实率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监测企业上报率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享受援企稳岗政策率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[75%,85%)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[65%,75%)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5、生育保险政策执行落实</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执行落实生育保险政策</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完成生育保险扩面任务，确保生育保险待遇落实。</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生育保险扩面任务完成率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生育保险待遇到位率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生育保险报销及时性</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6、社会保险基金监督事务管理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3050.00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实施河北省社会保险基金监督制度；负责监督社会保险基金征缴、支付、管理和投资运营；社会保险基金内部审计；社会保险基金举报奖励等。</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规范河北省社会保险基金管理，加强对社会保险基金安全的评估，保障社保基金安全；通过这种自我约束性的检查，建立、健全内部控制制度确保基金的安全、完整。</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社保基金安全</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通过社会保险基金内部审计、社会保险基金专项检查、受理投诉举报，纠正违反违规行为。</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社会保险基金安全评估报告</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出具报告</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未出具报告，数据录入评估系统</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未出报告，部门数据录入评估系统</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未出报告，少量数据录入评估系统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7、工伤认定管理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审核、接收工伤认定申请材料，对复杂案件及工亡案件进行实地调查取证，并做好调查笔录。</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保障用人单位与职工合法权益</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工伤管理</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工伤保险及时性</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工伤认定率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三、人才队伍建设</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落实专业技术人员管理和继续教育政策。</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落实专业技术人员管理和继续教育政策。</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1、专业技术人才的培养和管理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组织各类专业技术人才的考试、评审、鉴定、继续教育等。统筹推进全区政府系统人才工作，组织实施我区人才发展规划。</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推进专业技术人才知识更新。</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专业技术人才资助计划落实率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专家和高技能人才津贴落实率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组织专业技术人才考试、选拔次数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2、高技能人才的管理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组织高技能人才培训，机关事业单位技术工人职称管理。</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提高我区高技能人才的比例，培养建设高技能人才队伍。</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高技能人才培训完成率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助学金发放率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高技能人才增长率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四、人事管理</w:t>
            </w:r>
          </w:p>
        </w:tc>
        <w:tc>
          <w:tcPr>
            <w:tcW w:w="12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57.00</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承办新区各类人员的选调和安置。管理人事工资政策，组织人事考试和事业单位岗位设置管理及军转干部安置。</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确保事业单位公开招聘公平、公正。稳妥做好企业军转干部解困工作，确保企业军转干部总体稳定。</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1、机关单位及公务员管理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承担公务员法律法规实施的监督检查工作，有效开展公务员考核奖励、评比达标表彰、政府绩效评估、培训、监督以及事业单位参照公务员法管理工作。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认真做好新区机关职位管理工作，提高公务员依法行政、管理能力。</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任职机关公务员考核、评比、监督工作完成率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机关公务员选拔、考核、培训完成率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机关及公务员调查满意率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2、事业单位及工作人员管理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20.00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继续实行公开招聘公共、教育、卫生等分类考试。全面推行新版聘用合同，做到“应签尽签”。做好事业单位考核、奖惩、申诉控告、岗位统计等工作。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优化事业单位岗位结构比例，全面推行聘用制度，提高公开招聘科学性，规范事业单位人事管理工作。</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新版聘用合同推行签订率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事业单位公开聘用考试完成率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事业单位考核工作完成情况</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事业单位调查满意率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3、军转干部管理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37.00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拟订新区军队转业干部安置、培训政策和安置计划并组织实施，组织实施部分企业军转干部解困和稳定政策及军转干部管理服务，负责自主择业转业干部的管理服务。</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组织新区军转干部培训工作并做好军转安置工作。落实解困政策，按时足额发放解困资金，并做好企业军转干部思想教育工作和稳控工作。</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军转干部解困到位率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自主择业军转干部退役金落实率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军转干部安置计划落实率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军转干部满意度</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4、工资基金及流动人员管理管理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落实工资基金管理办法，管理审核工资基金。完成新区机关、企事业单位人员流动调配工作，优化干部到位结构。</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有效控制机关事业单位机构编制及人员增长。减轻财政负担，促进我区国民经济健康发展。促进人力资源有效流动和合理配置。</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工资基金审核完成率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人员调配档案审核率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工资基金调查满意率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五、工资政策落实及管理</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会同有关部门落实机关企事业单位人员工资收入分配政策，建立新区机关企事业单位人员工资正常增长和支付保障机制，落实机关企事业单位人员福利和离退休政策．并负责组织实施和监督检查。</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提升劳动报酬在初次分配中的比重。</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1、机关事业单位工资政策和管理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落实公务员工资政策，落实事业单位绩效工资政策，为符合退休条件的人员办理退休手续。</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加强工资管理，确保政策落实到位；与预算编制对接，实现高效快捷审核。</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工资政策落实率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退休手续办理及时率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工资政策、退休手续办理调查满意率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六、劳动关系管理</w:t>
            </w:r>
          </w:p>
        </w:tc>
        <w:tc>
          <w:tcPr>
            <w:tcW w:w="12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6.00</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落实劳动、人事争议调解仲裁制度和劳动关系政策，完善劳动关系协调机制，落实消除非法使用童工政策和女工、未成年工的特殊劳动保护政策，组织实施劳动监察，协调劳动者维权工作，依法查处重大案件。</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加强劳动关系协调机制建设，提升社会和谐水平。</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1、劳动关系政策落实</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落实劳动关系政策，建立完善劳动关系协调机制。</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提高劳动合同签订率，建立和谐劳动关系。</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规模以上企业劳动合同签订率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2、劳动关系调解仲裁事务管理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6.00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组织和实施劳动关系的调解、仲裁、信访。</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提高调解仲裁办案质量。</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劳动关系的调解、仲裁、信访完成率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办案及时、效率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劳动仲裁到期结案率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3、构建稳定、和谐劳动关系</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企业、个体工商户进行深入检查，保护劳动者、女职工和未成年工，宣传劳动保障法律法规，对接到的投诉、举报的违反劳动保障法律法规的行为进行调查。</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更好地保障企业与劳动者的合法权益</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开展宣传劳动保障法律法规次数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开展主动监察每名监察员不少于50户</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劳动保障监察案件结案率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减少欠薪案件发生率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七、人社政务管理</w:t>
            </w:r>
          </w:p>
        </w:tc>
        <w:tc>
          <w:tcPr>
            <w:tcW w:w="12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66.00</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拟订全区人力资源和社会保障事业发展规划。负责全区人力资源和社会保障的宣传和舆情研究，推进部门依法行政。保障政府服务、信息化、劳动保障政策研究等综合性工作。</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负责全区人力资源和社会保障的宣传和舆情研究。保障政府服务、信息化、劳动保障政策研究等综合性工作。提升部门依法行政水平。</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1、综合业务管理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15.00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落实人力资源和社会保障事业发展规划，政务服务、12333电话咨询系统及信息系统建设，编制社会保险基金预决算草案。负责社保基金综合管理。</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接受社会监督，为群众提供优质政务服务</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综合业务管理工作完成率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群众满意率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为群众提供优质政务服务完成率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2、综合事务管理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51.00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办理机关法律事务、行政复议和行政应诉。会议组织管理、信息化建设与维护、财务、统计、科研和资产管理、人力资源和社会保障教育培训等工作。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保障机关正常运转</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综合事务管理工作完成率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职工满意率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社会保障信息化保障支撑度</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八、行政管理体制改革</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贯彻落实党中央、国务院关于行政管理体制机构编制管理的政策和省、市地方性法规草案并监督实施；促进政府职能转变，积极构建科学的行政管理体制；健全政府职责体系，完善公共服务体系。</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贯彻落实党中央、国务院关于行政管理体制机构编制管理的政策和省、市地方性法规草案并监督实施。建设服务型政府，着力转变职能、理顺关系、优化结构、提高效能，形成权责一致、分工合理、决策科学、执行顺畅、监督有力的行政管理体制。健全政府职责体系，完善公共服务体系.</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1、行政单位管理体制和机构改革</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拟定新区机构改革方案；审核管理新区各部门职能配置、机构设置、人员编制和领导职数；审核各新区行政管理体制和机构改革方案；审核管理新区各级各类人员编制总额；协调各乡镇、功能园区体制改革和机构改革以及机构编制管理工作。</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推进新区机构改革,党群政法部门体制改革,乡镇行政体制改革,功能园区管理体制机制改革。</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行政改革目标完成率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2、事业单位管理体制和机构改革</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做好事业单位分类工作；做好各部门所属事业单位分类改革工作；规范事业单位台账管理。</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扎实推进事业单位分类改革,扎实推进事业单位法人治理结构试点工作。</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事业改革目标完成率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九、机构编制管理</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审核或审批新区人民团体机关的机构编制管理事宜；负责新区事业单位法人登记管理和监督检查工作。</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审核或审批新区人民团体机关的机构编制管理事宜；负责新区事业单位法人登记管理和监督检查工作。</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1、机构编制监管</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开展机构编制实名制及人员编制使用情况核准，机构编制执行情况跟踪评估和监督检查工作；指导新区党政群机关、事业单位和其他非营利性单位网上名称管理工作。</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全面推行实名制管理和编制使用核准。</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实名制管理推行率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2、机构编制标准化管理</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完成新区2016年度机构编制统计上报工作。</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加强机构编制标准化管理，确保完成新区2019年度机构编制统计上报工作，。</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统计上报工作完成率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3、事业单位法人登记管理</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负责新区事业单位法人登记管理和监督检查工作。</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加强完善事业单位登记管理工作。</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事业单位登记管理率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十、促进政府职能转变</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强化社会管理和公共服务。加快推进政企分开、政资分开、政事分开、政府与市场中介组织分开，规范行政行为，加强行政执法部门建设，减少和规范行政审批，减少政府对微观经济运行的干预。</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强化社会管理和公共服务。加快推进政企分开、政资分开、政事分开、政府与市场中介组织分开，规范行政行为，加强行政执法部门建设，减少和规范行政审批，减少政府对微观经济运行的干预。</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1、政府购买行业协会服务工作</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按照省、市制定的政府转移职能目录、购买主体单位目录，及时完成2016年政府购买行业协会临时性服务工作。</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按照省、市制定的政府转移职能目录、购买主体单位目录,及时完成2016年政府购买行业协会临时性服务工作。</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政府购买服务推广率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2、行政审批改革</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全面清理新区行政审批项目。进一步优化行政审批流程。加强审改工作制度化、规范化和标准化建设。</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进一步优化行政审批流程,加强审改工作制度化、规范化和标准化建设。</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行政审批项目清理工作的完成率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十一、编办事务管理</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做好机关人员管理及保障工作，为充分发挥职能作用提供有效保障。</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加强机关党组织建设，严格组织生活制度，丰富党建活动内容，做好党员发展、教育、管理和党务干部的教育培训工作，充分发挥党组织的战斗堡垒作用和党员的先锋模范作用。</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1、综合事务管理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负责新区机构编制信息管理系统、电子政务的建设和管理，全区机构编制统计、数据分析工作；负责机关人事、劳资、行政后勤、财务和资产管理工作。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机构编制信息平台运行。</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机构编制信息平台运行</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各项综合事务工作完成情况</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十二、党员和党组织建设</w:t>
            </w:r>
          </w:p>
        </w:tc>
        <w:tc>
          <w:tcPr>
            <w:tcW w:w="12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772.00</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负责全区党组织建设；负责工委基层组织建设联系会议党的牵头抓总工作；研究和提出党内生活制度建设的意见；协调、规划和指导全区党员教育工作；主管党员的管理和发展工作。</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加强基层领导班子建设；加强非公经济组织和社会组织党建工作；加强大学生村官队伍建设；健全全区党的组织制度、党内生活制度建设；加强民主集中制建设和民主生活会宏观指导；负责区、管理处党代表人大代表、政协委员选举等事宜。</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1、党组织建设及党员教育管理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772.00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负责全区党组织建设；负责工委非公经济和工委基层组织建设联系会议党的牵头抓总工作；研究和提出党内生活制度建设的意见；协调、规划和指导全区党员教育工作。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加强党组织建设和党员管理,不断提高执政能力和领导水平</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党员现代远程教育学习完成情况</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大学生村官到岗率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农村党组织换届工作完成率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≥98%</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建国前老党员补贴资金发放到位率</w:t>
            </w: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党员对远程教育满意度</w:t>
            </w: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远程教育站点使用率</w:t>
            </w: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非公经济组织和社会组织党的组织和工作覆盖率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十三、干部管理</w:t>
            </w:r>
          </w:p>
        </w:tc>
        <w:tc>
          <w:tcPr>
            <w:tcW w:w="12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79.00</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做好换届工作，选优配强各级领导班子；负责省市及新区工委管理干部及全区干部队伍管理、干部培养选拔、干部调配、挂职、交流和安置；对新区工委管理领导班子和领导干部的考核工作，以及全区干部考核工作的督导检查；指导领导班子的思想作风建设；负责对全区组织部门干部监督工作的综合、协调。</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落实国家工资政策和涉及领导干部收入分配的相关政策，准确高效办理新区工委管理干部的工资及退休费审批；培养锻炼干部，提高干部整体素质；为各级领导班子储配人才；进一步增强我区干部教育培训工作的统筹性、针对性、有效性，不断提高干部素质和业务能力。</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1、省市及区委管理干部管理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配合省市组织部做好干部任职考察；负责新区工委管理干部的考察和办理任免、工资、待遇、退（离）休审批手续；参与研究全区干部工资政策和区管干部离退休待遇政策；落实省市管理干部工资、审批区管干部工资及退休费。</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落实好省市、区管干部相关待遇政策。</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省市、区管干部个人待遇政策落实率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市管干部任职考察完成率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省市、区管干部规范管理率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2、干部队伍管理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60.00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负责对全区组织部门干部监督工作的综合、协调和宏观指导；承办部分干部的调配、交流及安置事宜；承办选调优秀应届大学毕业生到基层工作。负责组织对全区干部考核工作的指导和督导检查,组织实施工委管理领导班子和领导干部的年度综合考核评价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完成区管领导班子和领导干部年度综合考核评价工作，加强干部调研。</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对《干部任用条例》及有关党内法规贯彻执行情况进行监督检查工作的完成率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选调生工作完成率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干部队伍管理调查满意率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3、干部教育培训</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19.00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主管全区的干部教育培训工作。承担工委干部教育工作领导小组办公室的职责任务；研究和探索适合我区情况的干部培训制度。</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建立规范的干部教育培训体系。</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干部教育培训计划完成情况</w:t>
            </w:r>
          </w:p>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举办干部培训次数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干部对教育培训的满意度</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4、干部培养选拔</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组织落实培养选拔后备干部、妇女干部、少数民族干部、党外干部和年轻干部工作。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组织落实培养选拔后备干部、妇女干部、少数民族干部工作。</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干部选拔工作完成率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“四级联考”招录工作完成率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干部选拔工作完成率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十四、全区人才工作及队伍建设</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负责全区人才工作牵头抓总职能的落实，对全区人才工作和人才队伍建设进行指导、协调和督促检查；负责全区有关专项人才支持计划组织实施工作；负责收集、掌握、反映全区人才工作动态。</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做好全局性人才工作事项的统筹谋划；承担工委人才工作领导小组有关会议筹备、文件起草、协调联络服务等工作；围绕人才理论和全区人才工作进展中的实际问题开展调查研究，提出加强和改进人才工作的意见和建议。</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1、全区人才工作及队伍建设</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负责全区人才工作牵头抓总职能的落实，对全区人才工作和人才队伍建设进行指导、协调和督促检查；负责全区有关专项人才支持计划组织实施工作；负责收集、掌握、反映全区人才工作动态。</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做好全局性人才工作事项的统筹谋划；承担工委人才工作领导小组有关会议筹备、文件起草、协调联络服务等工作；围绕人才理论和全区人才工作进展中的实际问题开展调查研究，提出加强和改进人才工作的意见和建议。</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市委人才工作要点工作完成率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重点人才工程年度目标任务完成率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各类专家评审选拔工作完成情况</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按规定时限评审选拔，完成计划</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延迟评选、完成计划</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延迟评选、未完成计划</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未启动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各类专家政策待遇落实率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京津冀人才一体化发展平台建设年度任务完成情况</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十五、组织事务管理</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负责做好部机关机要、文秘、信访、会议、固定资产等工作的计划安排和管理；负责机关自身建设；负责老干部综合服务和保障工作；负责组织史征编工作；组织系统信息化建设。</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做好部机关机要、文秘、信访、会议、固定资产等工作的计划安排和管理；干部、人事政策科学合理；做好老干部综合服务和保障工作；完成组织史征编工作；信息系统运行无障碍。</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1、综合事务管理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组织史资料征编；组织、干部工作综合研究，相关政策法规起草、制定、审核；信息、信访工作。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组织史资料征编；组织、干部工作综合研究，相关政策法规起草、制定、审核；信息、信访工作。</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各项综合事务工作完成率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各项干部、人事政策起草、制定完成率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大组工网出现故障次数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 1</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十六、离退休干部政策及服务</w:t>
            </w:r>
          </w:p>
        </w:tc>
        <w:tc>
          <w:tcPr>
            <w:tcW w:w="12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90.00</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贯彻落实国家关于离退休干部的方针政策，组织落实离退休干部的政治、生活待遇</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保障离退休干部各项政策的落实</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1、落实老干部政治、生活待遇</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90.00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全面落实老干部政治、生活待遇</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让每位老干部感受到政治上的关心、生活上的爱护。</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老干部生活待遇保障率</w:t>
            </w:r>
          </w:p>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老干部生活待遇落实情况</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老干部满意率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2、老干部活动、组织建设</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组织老干部参加社会、文体等各项活动，加强老干部基层组织和党支部建设</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老干部日常生活活动丰富充实。</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举办活动次数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基层组织和党支部建设工作完成率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老干部满意率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十七、防范管理</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组织、发动新区范围内防范和处理邪教工作，维护社会政治稳定。</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1、了解掌握“法轮功”等邪教习练者的情况和动向，提出防范和处理意见。2、组织协调各部门、基层组织对邪教人员开展防控打击、教育转化和日常稳控。3、负责防范处理“法轮功”等邪教问题的社会宣传教育工作。 4、指导“无邪教创建”示范单位建设，确保“无邪教创建”活动的顺利开展。5、督导检查各项工作落实情况。6、邪教人员教育转化和反宣品清理清查。</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1、“无邪教创建”活动</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通过“无邪教创建”活动的开展，各部门和单位责任制健全，无邪教创建示范单位达到规范化建设标准。消减“法轮功”等邪教组织的人员存量和活动能量，从根本上铲除邪教滋生蔓延的土壤。</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1、机制建设目标：达到“八有”、“十个一”反邪教工作机制。2、工作效果目标：保无防有、化多为少、化少为无 。 3、工作底线要求：确保“七个不发生”，做好邪教人员教育转化工作。</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无邪教创建示范单位的“八有”、“十个一”规定的软硬件建设是否落实。</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教育转化每年都有新进展。</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邪教人员数量</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十八、社会治安综合治理</w:t>
            </w:r>
          </w:p>
        </w:tc>
        <w:tc>
          <w:tcPr>
            <w:tcW w:w="12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120.00</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负责社会治安综合治理工作的组织、协调和督导，开展见义勇为、专群结合、群防群治等专项社会治安综合治理工作，推动各项措施的落实。</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1、组织协调社会治安综合治理工作和有关重大活动。2、宣传贯彻社会治安综合治理的方针、政策和有关法律法规，督促落实社会治安综合治理的各项措施。3、统筹计划和安排一定时期的社会治安综合治理工作，研究制定社会治治安综合治理的规章制度，推动有关部门参与社会治安综合治理。4、负责社会治安综合治理工作的督促检查，提出奖惩建议和总结表彰意见。5、对社会治安综合治理工作中出现的新情况、新问题加强调研，提出意见和建议。6、社会治安突出问题得以解决，社会矛盾纠纷得以排查和调处，社会治安形势得以好转。</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1、创新社会管理方式</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7.00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开展政法干警人身保险参保工作，推动严重精神病障碍患者群体帮扶救助工作，为社会管理工作提供新模式。</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各项创新社会管理工作能够有效开展，为社会稳定提供新的管理模式。</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全区政法干警人身意外险参保人数占全区政法干警总人数的比例</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严重精神障碍患者监护人责任险</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投保政法干警人身意外保险和精神障碍患者监护人责任险</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2、平安建设</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22.00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为重大案件顺利侦破提供相应的支持，开展司法救助等活动，确保平安建设顺利开展。</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实现政治安定、社会稳定和人民生活和谐有序。</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矛盾纠纷调处率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减少“民转刑”命案发生率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加强新区社会稳定</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3、智慧网格建设</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71.00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进一步整合社会服务管理资源，完善街村网格化服务管理新模式，构建“精细化管理、全程化服务、多元化参与、科学化运转”的智慧网格体系建设，提升基层社会服务管理的能力和水平，实现信息采集更加精细、公共服务更加完善、社会治理更加精细、社会秩序更加良好，全面促进社会和谐稳定。推进四级政法网络建设构建立体化防控网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利用政法网络平台，以网格化建设为基础，以智慧城市网络平台为媒介，整合各职能部门、执法部门服务管理资源，实现社会服务管理内容的大融合、全覆盖，达到组织网络更加健全、信息渠道更加畅通、管理服务更加到位、问题解决更加及时、党群关系更加密切的工作目标。</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着眼于平台建设，逐步完善组织架构、工作机制，在矛盾排调、治安联防、服务群众等方面初见成效</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构建起具有新区特色的网格化服务管理体系</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网格化平台和队伍建设</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4、铁路护路 公交站点</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20.00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在主动融入社会管理创新大局下推进谋划护路工作，排查化解涉路矛盾，强化护路联防管理和治安防控，加强暑期护路联防队伍、机制和基层基础建设，深化平安铁路创建活动，做好暑期期间铁路与公交站点的稳定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抓住影响本地区铁路治安的突出区段，适时开展区域性集中行动，严厉打击涉铁犯罪，解决突出问题。</w:t>
            </w:r>
          </w:p>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公交站点的安全率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强化铁路周边安全</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公交站点和铁路周边</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十九、政法政务管理</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协调落实机关专项资金。</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保障机关日常工作正常运行，确保各项专项资金得到合理利用，推进各项工作扎实开展。</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1、综合业务管理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落实从优待警政策，对干警资助资金审核把关，及时发放。组织政法系统英模先进典型宣传，做好机关干部选学工作。做好全区政法系统宣传教育工作。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政法队伍整体素质和工作水平得到提高。</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政法系统培训计划完成情况</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因公牺牲、伤残特困干警资助人数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政法队伍素质、工作水平</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涉法涉诉信访工作任务完成率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2、综合事务管理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加强机关事务性管理，开展机关自身能力建设。</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加强机关事务性管理，提高机关自身工作能力。</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司法公开率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政法网络使用率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机关自身工作能力</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二十、维护国家安全</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落实各项国家安全工作的法律法规和政策，情报信息搜集，开展风险评估工作，提供人头资源和线索，以及协助国家安全机关开展敌社情调研、线索查证等。</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为维护国家安全和社会政治稳定工作做出实绩。</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1、国家安全</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发挥新区国家安全领导小组办事机构的职能，组织、协调、督导各相关单位落实同级国家安全领导小组的工作部署。指导有关部门建立健全相关机制，做好国家安全宣传教育。指导有关部门建立健全相关机制，做好国家安全宣传教育。在国家安全机关的指导下，围绕国家安全工作有计划地开展敌社情调研工作。情报信息搜集及风险评估。</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协调、督导相关单位落实同级国家安全小组的工作部署。通过建立健全相关机制和群众性国家安全宣传教育工作，使新区国家安全工作不断增强。通过调研，摸清基本问题，发现苗头隐患，掌握重点人员，建立健全相关数据库，不断深化对当地敌社情的认识和把握，有效服务地方维稳工作大局，同时为国家安全机关发现敌情线索、培植工作资源提供支持。为工管委决策和国家安全机关开展专门工作提供依据。</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组织、协调、督导的次数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机制健全程度和安全教育次数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调研次数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涉密</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二十一、司法行政管理</w:t>
            </w:r>
          </w:p>
        </w:tc>
        <w:tc>
          <w:tcPr>
            <w:tcW w:w="12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48.00</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贯彻落实国家司法行政工作方针政策；拟订有关规章，制定全区司法行政中长期规划并组织实施。</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提升全区司法行政管理水平</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1、社区矫正</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18.00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负责社区矫正工作，承担社区矫正办公室的日常工作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深化社区矫正工作，最大限度降低重新违法犯罪和社会不稳定因素发生率</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社区矫正人数（人）</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举办社区矫正工作培训班次数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再犯罪减低率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&lt;0.2%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2、安置帮教</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负责安置帮教工作，承担安置帮教办公室的日常工作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深化安置帮教工作，最大限度降低重新违法犯罪和社会不稳定因素发生率</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安置帮教人数（人次）</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重点帮教对象接送率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≥98%</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服刑人员信息核查率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再犯罪减低率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&lt;0.2%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3、社区康复</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为康复人员提供心理康复、就业扶持、帮扶救助等综合服务</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建立健全动态管控、康复治疗、心理矫治、帮扶救助、就业指导、宣传教育“六位一体”工作体系</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社区康复人数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社区康复人员档案建档率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≥98%</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复吸减低率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&lt;0.2%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4、社区戒毒</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15.00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为戒毒人员提供预防宣传、戒毒治疗、心理辅导、就业安置、生活救助、社会保障等综合服务</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建立戒毒治疗、救助服务兼备的工作体系，充分发挥社区、家庭的作用帮助吸毒成瘾人员戒除毒瘾</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社区戒毒人数（人）</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社区戒毒人员档案建档率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≥98%</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复吸减低率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&lt;0.2%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5、法治宣传</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拟定法治宣传教育规划并组织实施；开展法治宣传、依法治理工作；开展法治宣传报道；组织司法宣传和新闻发布；承担法治教育领导小组办公室工作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提高人民法律意识和法律素质，增强法治化管理水平，促进民主与法治建设</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普法考核覆盖人数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网络舆情预警数量</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网络舆情分析报告数量</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宣传资料印刷册数（册）</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≥2000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≥1800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≥1500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组织主题宣传活动场次(次）</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普法考核通过率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网络舆情处置率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6、人民调解</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负责人民调解、诉前调解工作，指导诉前纠纷人民调解委员会、各街道人民调解委员会工作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深化人民调解、诉前调解工作，化解矛盾纠纷，最大限度降低社会不稳定因素发生率</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人民调解案件数（件）</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诉前调解案件数（件）</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诉前调解卷宗制作规范率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≥98%</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≥96%</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7、公共法律服务</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15.00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建设公共法律服务平台，构建三级法律服务平台，整合各类法律服务资源</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满足辖区群众法律服务需求，提前预防和化解矛盾纠纷，不断完善社会治理体制机制</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村（居）法律顾问聘请数量（人）</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公共法律服务平台覆盖率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≥98%</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≥96%</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公共法律服务平台建设数量（个）</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每年提供法律咨询数量（件）</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8、法律援助</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落实法律援助的法律法规和政策的执行；规划法律援助事业发展；管理法律援助机构和法律援助从业人员；组织指导社会组织和志愿者开展法律援助工作；办理法律援助案件，政府购买法律援助服务</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扩大法律援助覆盖面，推动法律援助工作长足发展</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法律援助案件受理数（件）</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印刷法律援助宣传资料(册）</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法律援助案件办结率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≥97%</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≥94%</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二十二、司法政务管理</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负责机关综合业务管理</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促进司法系统执法能力全面提升</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1、综合事务管理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负责指导监督系统经济财务工作及队伍建设；承办区政府交办的其他事项。</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加强信息化建设及机关后勤保障工作，确保正常办公化境需要，促进司法行政系统各项事业健康发展。</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综合业务管理工作完成率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综合事务工作完成率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机关后勤保障工作能力</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二十三、维护社会稳定</w:t>
            </w:r>
          </w:p>
        </w:tc>
        <w:tc>
          <w:tcPr>
            <w:tcW w:w="12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10.00</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通过指导、协调和督导各级各部门，预防减少不稳定因素的发生，有效化解不稳定隐患、群体性事件和突发事件，同时全力做好新区各种重大活动安保工作，确保社会稳定。</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通过指导、协调和督导各级各部门，预防减少不稳定因素的发生，有效化解不稳定隐患、群体性事件和突发事件，同时全力做好新区各种重大活动安保工作，确保社会稳定。</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1、协调督导重大不稳定隐患、群体性事件和突发事件的处置化解</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对可能影响社会稳定的各种因素进行分析和评估，协调督导有关乡镇和相关职能部门对重大不稳定隐患、群体性事件和突发事件进行妥善处置。</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有效化解妥善处置重大不稳定隐患、群体性事件和突发事件；有效维护新区社会大局稳定，确保社会秩序良好。</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有效化解妥善处置重大不稳定隐患、群体性事件和突发事件</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协调督导事项化解率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新区社会大局稳定</w:t>
            </w: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2、对各类涉稳情报信息收集、研判、通报、网络舆情应对处置</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搜集、综合、核实、研判影响新区社会稳定的各种情报信息，对社情、民情、敌情、舆情进行分析、研判、通报。在重大安保活动、重点时段、敏感节点期间针对网上涉及政治稳定、重大敏感问题或可能引发大面积炒作的问题启动战时应对处置机制，妥善应对处置。</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及时发现各类涉稳信息，有效化解妥善处置重大不稳定隐患、群体性事件和突发事件。对发现的各类涉稳舆情做到及时发现、及时处置、及时督办，充分发挥各职能部门职能优势，最大限度减少涉及新区舆情炒作。</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情报信息研判率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涉稳舆情处置率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新区舆情炒作</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3、重大活动安保</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做好新区各类重大活动间的安全保卫工作，不断完善相关工作机制。</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各项工作机制进一步完善健全，有效维护我省社会大局稳定，确保社会秩序良好。</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重大安保任务完成率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重要敏感时期安保任务完成率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重大活动突发事件发生率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4、司法救助</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10.00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一些因案件原因导致生活困难、无法通过诉讼获得有效赔偿的当事人，将可获得国家司法救助</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以公正司法为宗旨，规范审判、执行工作，完善案件信息管理，案件质量评估体系，严格审限，提高调解率及执结率。</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司法救助数量。</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完善案件信息管理</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提高调解率及执结率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二十四、开展统战工作</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贯彻落实统一战线的理论、政策和法律法规，向党委全面反映统一战线情况，提出开展统一战线工作的意见和建议，检查执行情况，协调统一战线各方面的关系。</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了解情况，掌握政策，协调关系，安排人事，增进共识，加强团结</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1、民主党派和无党派代表人士工作</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联系民主党派、无党派人士，贯彻做好民主党派和无党派人士工作的方针政策，支持民主党派无党派人士履行职责、发挥作用，支持、帮助民主党派和无党派人士加强自身建设。</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进一步加强中国共产党领导的多党合作和政治协商制度建设，充分发挥民主党派职能作用，构建和谐政党关系</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民主党派履行职能有关支持工作完成率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民主党派加强自身建设协助工作完成率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提交政协会议议案数量</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2、民族宗教统战工作</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调查研究民族、宗教工作的理论、方针、政策和法律法规，做好重要工作和重大问题的处理，协调开展马克思主义民族观、宗教观和相关理论、政策的宣传教育，联系少数民族和宗教界代表人士，会同有关部门做好少数民族干部的培养和举荐工作。牵头有关部门做好宗教维稳、抵御境外渗透工作。</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涉密</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涉密</w:t>
            </w: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3、港澳台海外统战工作</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开展港澳台海外统一战线工作，联系香港、澳门、台湾和海外有关党派、团体及代表人士，会同有关部门对香港、澳门地区统一战线工作方针政策和法律法规进行调查研究，做好台胞、台属工作，负责党委交办的其他港澳、对台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争取人心，凝聚、壮大爱国力量，为河北的对外开放和经济社会发展做贡献，为实现祖国统一大业服务。</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联系重点社团及代表人士工作完成率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提出开展统一战线工作的意见和建议，检查执行情况</w:t>
            </w: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开展港澳台海外统一战线工作完成率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4、非公经济统战工作</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调查研究非公有制经济人士的情况，协调关系，提出政策建议，团结、服务、引导、教育非公有制经济人士，开展思想政治工作。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促进非公有制经济健康发展和非公有制经济人士健康成长。</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活动开展次数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经济人士的情况，协调关系数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提出政策建议，团结、服务、引导、教育非公有制经济人士</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5、党外知识分子统战工作</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调查研究党外知识分子的情况，反映意见，协调关系，提出政策建议，联系党外知识分子代表人士。</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政治引领，培养人才，建言献策，服务社会，联谊交友</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传统领域统战工作完成率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组织新社会阶层代表人士和留学人员中代表人士开展统战工作的完成率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联系党外知识分子代表人士次数</w:t>
            </w: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6、党外代表人士队伍建设工作</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负责党外代表人士在人大、政协安排的有关工作，会同有关部门做好安排党外代表人士担任政府和司法机关等领导职务的工作，做好党外代表人士和后备干部队伍建设工作，协助民主党派做好干部管理工作，反映和解决党外代表人士工作生活中的实际困难。</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以政治坚定、业绩突出、群众认同为标准，建设一支数量充足、结构合理、素质优良、作用突出的党外代表人士队伍。增强党外干部政治把握能力、参政议政能力、组织领导能力、合作共事能力和解决自身问题能力。</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党外代表人士政治安排工作完成率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党外后备干部队伍建设工作完成率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培训人员数量</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二十五、统战事务管理</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负责统战业务管理</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年度各项工作任务圆满完成</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1、综合业务管理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综合调研统战理论政策；负责全区统战宣传和联络工作以及涉及统战各界人士的综合性工作；领导、指导、联系、代管相关统战单位；完成省市统战部和区委交办的其他任务。</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做好统战宣传培训考察调研工作，提高统战工作科学化水平，扩大统一战线社会影响；密切联系统一战线各界人士，认真做好党外人士统战工作；完成省市统战部和区委交办的其他事项。</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综合业务管理工作完成率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领导、指导、联系、代管相关次数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完成省市统战部和区委交办的其他任务次数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二十六、北新区直机关党的建设</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加强区直机关党的思想政治建设、组织建设、作风建设、制度建设和反腐倡廉建设，做好区直机关其他党建工作。</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政治觉悟和思想道德素质明显提高；党组织战斗堡垒作用和党员先锋模范作用进一步增强；其他党建工作得到有效落实。</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1、思想政治建设</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指导区直机关各级党组织用马克思主义中国化的最新理论成果，教育区直党员干部树立正确的世界观、人生观和价值观；指导区直加强学习型党组织建设和中心组理论学习。负责区直精神文明建设及普法工作。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利用各种有效载体开展宣传教育活动,效果明显;学习制度得到普遍落实，各项活动普遍参加;精神文明创建活动参与广泛，公民道德素质、各项活动满意率明显提高。</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党员干部教育覆盖率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思想教育活动完成率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 xml:space="preserve">领导干部参与率    </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干部职工参与率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2、组织建设</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指导区直机关认真落实《党章》，加强基层党组织建设，严格组织生活制度，丰富党建活动内容，做好党员发展、教育、管理、服务和党务干部的教育培训工作，充分发挥党组织的战斗堡垒作用和党员的先锋模范作用。</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党组织、党员作用突出。</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基层党组织建设工作完成率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党员发展、教育、管理、服务和党务干部的教育培训工作次数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党务干部党务工作考核优秀率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3、区直机关党风廉政建设</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开展区直各部门机关党委的纪律检查工作，审议区直普通党员干部违反党纪问题，审批区直普通党员干部违反党纪处理决定;核查区直普通党员干部的违纪问题，负责区直机关行政监察职能绩效目标考核等工作。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违纪案件明显减少，作风进一步好转。</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党风廉政建设宣传工作完成率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党员干部违纪核查工作完成率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核查区直普通党员干部的违纪问题，负责区直机关行政监察职能绩效目标考核数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二十七、民族事务管理</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贯彻执行国家关于少数民族工作的方针政策；实施有关民族问题的地方性法规和政策；协调处理涉及民族关系的有关事宜，监督办理少数民族权益保障事宜；帮扶民族地方经济发展；研究少数民族文教体艺等方面的特殊问题，开展相关保护开发活动。</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加强民族事务管理工作</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1、民族基本事务管理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贯彻执行国家关于少数民族工作的方针政策，实施有关民族问题的地方性法规和具体政策，协调处理涉及民族关系的有关事宜,监督办理少数民族权益保障事宜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加强民族事务管理工作</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民族法律政策宣传次数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民族法律政策宣传普及率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涉及民族关系的问题、案件解决率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2、促进少数民族地区经济发展</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协调民族地方科技发展、对口支援、经济技术协作、民族贸易和民族特需用品生产;配合承办少数民族和民族地方扶贫事宜;承办民族统计工作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较好的完成少数民族基本事务管理工作</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特困人群帮扶次数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开展民族统计工作次数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&lt;1</w:t>
            </w: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少数民族和民族地方扶贫</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&lt;1</w:t>
            </w: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二十八、宗教事务管理</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贯彻执行宣传国家关于宗教工作的方针政策，监督检查宗教活动场所，创建和谐寺观教堂，培训宗教工作干部，对困难宗教教职人员进行补助，监控、制止天主教地下分子的非法活动，协同管理宗教界人员对外交流等事宜。</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加强宗教事务管理，维护社会稳定</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1、宗教基本事务管理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贯彻执行国家关于宗教工作的方针政策；监督检查宗教活动场所；对困难宗教教职人员进行补助；协调指导各教的基本事务管理工作。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完成宗教基本事务管理，加大全县宗教活动场所监管力度，及时解决各类问题</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宗教方针政策宣传次数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全县大型宗教活动场所检查次数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帮扶困难教职人员数量</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全县大型宗教活动场所检查覆盖率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帮扶困难教职人员覆盖率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2、培训教育</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教育、培训各大宗教教职人员和信教群众，培养各大宗教爱国爱教人士，促进社会和谐稳定</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提高培训效果，确保结训人员数量</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培训人次</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培养各大宗教爱国爱教人次</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培训通过率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二十九、民宗政务管理</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开展民族宗教政策和法制宣传教育工作，协助处理民族宗教方面的的维稳问题促进民族宗教团结、稳定，帮助宗教团体解决办公用房，推进县宗教团体业务用房建设，妥善处置宗教突发事件、维护宗教界和谐稳定</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加强其他民族宗教事务管理</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1、综合政务管理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加强民族宗教的法制宣传和团结教育，团结和动员广大信教群众为改革开放和经济建设服务。协助处理民族宗教方面的维稳问题。处理其他不可预见的民族宗教问题。负责局机关人事、劳资、行政后勤、财务和资产管理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不断提高民族宗教法律政策宣传覆盖率，加大宣传教育力度；妥善协助解决出现的突发事件；及时解决其他民族宗教问题。保障机关正常运转</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维稳问题解决率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综合事务工作完成率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综合事务工作完成率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三十、参政议政</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参政议政、社会服务等事项</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增强组织凝聚力和社会影响力，提升参政议政水平。组织经贸洽谈、招商引资等经济活动，助力区域经济发展。</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1、参政议政</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组织开展调研，向区政协提交大会发言和集体提案，反映社情民意，与区政府对口单位紧密联系。开展各种活动及相关会议</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提升参政议政水平，为社会发展建言献策。</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提交区政协大会集体提案</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提交调研报告数量</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2、社会服务</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积极搭建服务平台，举办招商会、银企对接会、招商引资，民企活动及法律维权、科技进民企活动。加强与知名企业的合作交流。组织会员企业参与农村面貌改造提升行动、社会扶贫和公益事业。</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引导会员积极承担社会责任，热心公益事业发挥工商联在政府管理和服务非公有制经济中的助手作用，助力区域经济发展</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组织招商引资活动次数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法律维权服务次数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银企对接会次数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三十一、工商联事务管理</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综合性事务管理等事项</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保障工商联各项工作顺利开展</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1、综合事务管理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档案、信息、机关各类会议、财务、机要、保密、安全保卫、固定资产、车辆等管理和后勤保障工作。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保证工商联日常工作正常运转</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综合事务工作完成率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档案、固定资产、车辆等管理和后勤保障工作</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财务、机要、保密、安全保卫完成情况</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三十二、组织建设和宣传教育</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领导全区共青团工作，管理全区青、学联、少先队、青年志愿者和青年社会组织工作；对青少年活动阵地和青少年服务机构的建设等进行规划和管理；协助区政府教育部门做好学生教育管理工作。</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各级基层团组织和青年组织建设加强，活力明显提升。</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1、组织建设</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指导区青联、学联和少先队工作，对全区青年志愿组织和青年社会组织进行指导和管理；对青少年活动阵地、青年志愿组织和青年社会组织阵地和青少年服务机构建设等事务进行规划和管理。</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强化团干部教育培训，加强思想和作风建设；加强青联、学联、少工委组织建设，加强青年志愿组织和青年社会组织及青少年活动阵地的指导和管理；基层团组织服务能力不断提高。</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区少工委培训少先队工作者人数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青年中心标准化建设阵地数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青年志愿者队伍新增注册比例</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各类组织建设规范化程度</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区青联委员、学联代表参加活动或培训覆盖率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2、宣传教育</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有效利用网络和新媒体加强对青年的宣传力度，加强网络和新媒体正面宣传，用科学理论武装青年，用共同理想感召青年，用核心价值观引领青年，协助区政府教育部门做好中、小学学生的教育管理工作。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构建团的网络新媒体工作阵地，运用新媒体全方位推进团的工作；利用重要节点节日、各类阵地、各种形式进行思想引导，培养青年骨干，打造适应青少年特点的文化产品。维护青少年队伍稳定，促进和谐社会建设。</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团干部教育和培训覆盖率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青年网宣员新增比率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青少年纪念“五四”、“六一”等各类思想引导类活动的参与度</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三十三、服务、引导青少年工作</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深入学习习近平总书记系列重要讲话精神；深化“中国梦”和社会主义核心价值观教育；调查研究青年思想动态，服务青年创新创业、交流交友、社会融入等需求，组织和带领青年及青年社会组织为全区经济和社会发展作贡献。</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围绕青年思想动态和青年工作现况，不断加强青少年社会主义核心价值观教育；加强青年统战工作；围绕党政中心工作开展各项活动。</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1、青少年服务引导工作</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围绕青年思想动态和青年工作现况，调查研究青少年运动、青少年工作理论和思想教育、青年社会组织发展问题；服务青年创新创业、婚恋交友等需求；做好青年统战对象的团结教育工作；围绕党政中心开展团的各项活动。</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做好青年统战对象的团结教育、引导、服务工作，为全区经济社会发展贡献力量。</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举办学习贯彻习近平总书记系列重要讲话精神青年读书班期数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青少年植树面积（亩）</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围绕党政中心开展团的各项活动</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三十四、维护青少年权益工作</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研究有关青少年发展问题，贯彻落实保护青少年健康成长的法律、地方性法规；构建和完善维护青少年发展权益的机制化、社会化、专业化工作体系。</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加强青少年事务社会工作，加强法治宣传教育，促进青少年健康成长。</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1、预防青少年违法犯罪</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推动青少年事务社会工作开展；提高源头治理力度，做好预防青少年违法犯罪工作；做好青少年法治宣传教育工作。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增强青少年学法、尊法、守法、用法意识，推动青少年事务社会工作有效开展。</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组织团干部和社会工作人员参与培训人数（人）</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增强青少年学法、尊法、守法、用法意识次数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构建和完善维护青少年发展权益的机制化、社会化、专业化工作体系</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三十五、团委事务管理</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负责团区委综合业务管理。</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工作任务圆满完成，促进共青团事业发展。</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1、综合业务管理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参与制定全区的青少年事业发展规划和青少年工作方针、政策;承担区委、区政府和省市团委交办的有关事项。</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高质量完成全区青少年发展规划和方针政策的制定，圆满完成区委、区政府和省市团委交办的各项任务。</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常态化下沉基层完成情况（人）</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高质量完成全区青少年发展规划和方针政策的制定</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受到县委、省市团领导肯定性批示数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三十六、团结动员妇女参加经济社会建设</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引导全区妇女听党话、跟党走，发扬“四自”精神，积极投身改革开放和社会主义经济、政治、文化、社会和生态文明建设，全面提高妇女素质，为建设经济区作贡献。</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围绕中心，服务大局，完成区委区政府交办的工作任务，全区妇女精神面貌有较大改观，创业就业能力逐步增强，素质得到有效提升。</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1、团结动员妇女参加经济社会建设</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团结动员广大妇女积极投身五大建设，弘扬社会主义核心价值观，发扬“四自”精神，为全区经济社会发展作贡献。</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妇女积极参与妇联组织围绕区委区政府中心工作开展的各项活动，精神面貌有较大改观，创业就业能力逐步增强，素质得到有效提升。</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注册巾帼志愿者人数（人）</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≥2500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≥2000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≥1500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帮扶妇女创业人数（人）</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全区妇女精神面貌有较大改观，创业就业能力逐步增强，素质得到有效提升率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三十七、维护妇女儿童合法权益促进妇女儿童发展</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关注涉及妇女切身利益的热点、难点问题，及时向区委区政府提出对策建议；强化维权工作，帮扶困境群体。积极开展对妇女的科技文化及生产劳动技能等各类教育培训。</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妇女综合素质和发展能力有较大提升。妇女儿童合法权益得到有效维护，男女平等基本国策宣传进一步深入人心。</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1、维权服务</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关注和研究涉及妇女切身利益的热点难点问题，向区委区政府提出对策建议；参与有关妇女儿童政策和法律、法规草案的拟定，教育引导妇女依法维权，对权益受到侵害的妇女儿童和困境妇女儿童提供帮助。</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帮助权益受到侵害和困难的妇女儿童解决困难和问题，开展普法宣传教育，提高广大妇女儿童的维权意识和维权能力，维护妇女儿童合法权益。</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法律援助妇女侵权案件率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妇女信访代理工作覆盖率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2、教育培训与事业发展</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开展对妇女的科技文化、生产劳动技能和家庭、家教、家风教育。</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提高妇女科技素质、经营管理能力、家庭教育水平。</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培养妇女致富带头人人数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培训达标率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三十八、妇联综合业务管理</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加强妇联基层组织建设和机关党建，做好机关基础设施建设与维护，推进机关信息化建设，做好区政府妇儿工委办公室工作，指导所属事业单位发展，为妇女儿童事业发展提供有力保障。</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不断加强妇联组织自身建设，提升妇联干部服务妇女的能力和水平，保障妇女维权、妇女发展工作正常有序开展</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1、综合业务管理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开展”三有两突出“基层组织示范创建，加强妇联组织自身建设。加强与社会各界的联系，推动全社会为妇女儿童办实事。指导所属单位及各类协会工作。承办区委、区政府交办的有关工作。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妇联基层组织的组织、阵地、队伍建设等得到加强，妇联干部工作能力和服务水平提高。</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创建示范基层组织数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创建县级示范妇女之家数（家）</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建设县级示范儿童之家数量(个）</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三十九、宣传思想工作</w:t>
            </w:r>
          </w:p>
        </w:tc>
        <w:tc>
          <w:tcPr>
            <w:tcW w:w="12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251.00</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指导全区理论研究、理论学习、理论宣传工作；宏观指导精神产品创作生产；规划组织思想政治工作；指导协调宣传思想文化事业发展；加强舆论舆情引导管理；宏观指导协调互联网宣传和信息内容管理；加强精神文明建设。</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牢牢掌握意识形态工作领导权、管理权、话语权，弘扬主旋律，汇聚正能量，为全区经济社会发展提供有力的思想保证、精神动力、舆论支持。</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1、思想理论建设</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88.00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深入实施马克思主义理论研究和建设工程，深化中国特色社会主义和中国梦研究；深入学习宣传习近平总书记系列重要讲话；广泛开展理论宣传活动。</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提升理论研究水平，为全区经济社会发展提供理论支持；提高干部群众运用科学理论解决实际问题能力；增强广大干部群众理论自信、道路自信、制度自信，不断巩固全县人民团结奋斗的共同思想基础。</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组织中心组学习次数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在新闻媒体开办理论宣传专栏数量</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形成广大干部群众理论自信、道路自信、制度自信的效果</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2、思想政治工作</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规划、部署全县思想政治工作任务，培育和践行社会主义核心价值观，宣传推广全区性先进典型，加强爱国主义教育基地建设和全民国防教育，加强基层党员教育，组织开展系列宣传教育活动。</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完成思想政治工作重大任务，推进社会主义核心价值观落地生根。</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组织开展主题宣传教育活动（次）</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组织开展工、管委层面专题研讨会议</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社会主义核心价值观内容普及率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3、对外宣传事业</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100.00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制订对外宣传事业发展规划，加强和改进新闻发布工作，扩大对外宣传，开展多种形式的文化交流活动。</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充分展示本县良好形象，不断提高知名度、美誉度。</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组织省市媒体采访、宣传次数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召开新闻发布会次数。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开展文化交流活动</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4、舆论舆情引导管理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指导协调新闻舆论工作，组织系列主题新闻宣传，开展新闻业务调研评议；抓好新闻管理制度和措施落实；围绕社会热点敏感问题、突发事件，正确引导社会心态；组织开展舆情信息收集、分析、研判。</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牢牢把握正确导向，为全区经济社会发展提供有力的舆论支持；提升新闻工作者的政治意识、责任意识和职业素养；提高舆情研判能力和信息服务水平，及时化解、妥善处理有关负面舆情。</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在市级以上媒体播发宣传本县稿件篇数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在全区开展通讯员培训次数。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突发事件新闻处置完成率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5、互联网宣传和信息内容管理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加强网络安全和信息化工作，加强互联网宣传和信息内容管理，加强网络文化建设。</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完善互联网管理领导体制，加强网上舆论引导，营造良好网络舆论氛围，发展健康向上网络文化。</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互联网重大突发事件应急处置率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组织网络媒体、网络达人到新区采风次数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组织开展网络宣传活动比率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6、精神文明建设</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63.00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规划部署全区精神文明创建工作，组织指导全区群众性精神文明创建活动。</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全区文明程度显著提升，和谐向善的社会风气逐步形成。</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组织开展精神文明创建活动次数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组织开展志愿服务活动次数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组织开展精神文明创建活动次数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四十、推动文化发展</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深化文化体制改革，构建现代公共文化服务体系；加强精神文化产品创作生产。</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进一步解放和发展文化生产力，推动全区文化事业和文化产业健康发展。</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1、文化事业产业发展</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研究制定全区文化发展方针政策，管理县级各类文化发展专项资金和基金，支持重点文化项目建设，加强文化招商，推动文化事业产业健康发展。</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推动文化事业繁荣和文化产业快速发展。</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向上级争取文化产业发展引导资金数额（万元）</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申报市级以上文化产业发展示范项目数量（个）</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全区文化产业增加值年增速</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四十一、宣传事务管理</w:t>
            </w:r>
          </w:p>
        </w:tc>
        <w:tc>
          <w:tcPr>
            <w:tcW w:w="12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68.00</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负责系统综合业务管理和机关综合事务管理。</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确保各项业务工作谋划到位、顺利开展。保障机关工作正常高效运转。</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1、综合事务管理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68.00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制定全区宣传思想文化发展规划和政策制度并组织实施，开展宣传工作会议组织管理、干部人才队伍建设、新闻采访接待管理等工作。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确保各项业务工作谋划到位、顺利开展。保障机关工作正常高效运转。</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重点工作督察督办率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规划、制度完成率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综合事务工作完成率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四十二、信访问题处理</w:t>
            </w:r>
          </w:p>
        </w:tc>
        <w:tc>
          <w:tcPr>
            <w:tcW w:w="12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106.00</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负责正常信访、非访、突发性及群体性事件的办理；提供相关服务保障；协助上级信访局处理越级上访；信访事项督查、复查复核、听证；负责新区政府交办的其他事项。</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畅通信访渠道，减少信访案件，维护社会和谐稳定。</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1、信访业务办理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100.00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办理人民群众来信、来访、网上信访；协助国家信访局和省、市信访局处理新区群众进京上访；处置省、市、北京、北戴河以及国家重大活动期间的正常上访和越级上访工作。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畅通信访渠道，提高信访事项办理质量和效率。</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信访事项按期结案率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信访事项受理及时率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息诉息访率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2、处置非访、突发性及群体性事件</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6.00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协助公安机关维护重点区域的正常工作秩序；处置影响社会政治稳定的各类非访、突发性、群体性事件；负责组织协调、稳控劝返、服务保障新区在京非访工作。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妥善处置非正常访，维护社会大局和谐稳定。</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信访事项按期结案率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信访事项受理及时率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减少非正常上访数量</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3、信访事项督查、复查复核、听证</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负责指导新区信访督查、复查复核、听证等工作，并对相关事项进行审核、上报；负责三跨三分离案件的办理工作；负责信访疑难案件的督办。</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推动重要信访事项解决，规范信访事项办理、终结，用好特殊疑难信访问题专项资金。</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督办信访案件数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解决特殊信访疑难问题件数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督导、检查新区各单位信访事项</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四十三、信访事务管理</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拟定信访工作方针政策；调研提出信访工作对策建议；督促检查和指导新区信访工作；机关日常工作。</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进一步提高信访干部业务能力；吸收可行建议，改进信访工作；提高信访信息化应用水平，实现办公自动化、网络化智能化。保障机要邮件正常传递和信访接待楼正常运转；确保相关会议正常召开。</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1、群众工作中心</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负责贯彻落实国家和省市关于群众工作的方针、政策；负责宣传《信访条例》及有关法律法规，教育引导群众依法逐级反映问题，规范信访秩序。</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负责接待处理群众到新区上访，组织全区各部门开展联合接访，协调县领导开展接访、约访、下访活动</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群众工作中心任务完成率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及时化解人民内部矛盾</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积极化解各类矛盾，指导新区群众工作</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2、其他综合事务管理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拟定信访工作方针政策；调研提出信访工作对策建议；督促检查和指导新区信访工作；信访先进表彰、业务培训、人民建议征集；信息化建设与运维管理；机要邮件正常传递；各类。负责局机关行政后勤、资产、物业管理。</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进一步提高信访干部业务能力；吸收可行建议，改进信访工作；提高信访信息化应用水平，实现办公自动化、网络化智能化。保障机要邮件正常传递和信访接待楼正常运转；确保相关会议正常召开。</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其他各项综合实务工作完成率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提高信访信息化应用水平，实现办公自动化、网络化智能化。</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努力实现阳光信访、法治信访、责任信访</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四十四、北戴河新区直机关统战、群团和区直人民武装工作</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指导区直机关动员组织党外人士、群众团体积极开展活动，做好全民国防教育和人民武装工作，发挥各自职能作用，服务中心工作。</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统战、群团工作得到落实，作用发挥明显，受到公众好评；组织健全，工作落实，区直干部职工国防观念和区直民兵战斗力进一步增强。</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1、统战工作</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指导区直机关各部门统战工作；组织各界人士积极发挥参政议政、民主监督作用，为区域政治、经济、社会发展献计献策。</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统战工作受到公众好评。</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区直机关各部门统战工作的指导任务完成率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组织各界人士积极发挥参政议政、民主监督次数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社会发展献计献策次数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2、群团工作</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指导区直机关共青团组织和妇联组织加强队伍建设，积极开展活动，做好换届工作，充分发挥青年和妇女在经济社会发展及机关党建工作中的作用。</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开展活动公众满意度高。</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青年和妇女在经济社会发展及机关党建工作次数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县直机关共青团组织和妇联组织队伍建设的指导工作完成率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换届工作完成率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3、国防教育和专武干部队伍、民兵组织建设</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教育引导区直干部职工学习国防知识，增强国防观念，支持国防建设，加强专武干部、国防教育宣传员培训和民兵组织建设，提高工作能力和民兵组织战斗力。</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组织健全，工作落实。</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国防教育计划落实率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增强国防观念，支持国防建设比率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提高工作能力和民兵比例</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四十五、工委事务管理</w:t>
            </w:r>
          </w:p>
        </w:tc>
        <w:tc>
          <w:tcPr>
            <w:tcW w:w="12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15.00</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完成好区直机关党委、纪委日常业务工作，机关党建网络建设、调研交流工作以及区直机关文化活动开展、反邪教和老龄工作。</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各项工作全部落实</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1、综合业务管理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15.00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做好区直机关党委和纪委负责人任免、考核、培训工作；活跃区直机关文化生活，建好机关党建工作信息平台，加强全区机关党建工作调研交流，做好区直反邪教、维稳和老龄协调工作。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各项工作全部落实。</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综合业务工作完成率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区直机关党委和纪委负责人任免、考核、培训完成率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区直反邪教、维稳和老龄协调工作</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四十六、维护职工合法权益</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组织职工开展民主选举、民主决策、民主管理和民主监督工作；推动基层工会建立集体合同制度、工资集体协商和监督保证机制；参与职工安全生产保护工作；为工会组织、干部、职工提供维权渠道。</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确保职工合法权益得到有效保障，改善困难劳模生活困境，提升广大职工技术技能素质。</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1、完善工会参与社会管理机制</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围绕职工合法权益的重大问题进行调研，提出意见和建议；参与指导劳动合同签订工作；指导职工开展以职工代表大会为基本制度的民主选举、民主决策、民主管理和民主监督工作。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提高职工代表大会制度和联席会议制度的规范化和有效性。</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厂务公开建制率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围绕职工合法权益的重大问题进行调研，提出意见和建议完成率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为工会组织、干部、职工提供维权渠道率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四十七、提升职工技能及创新水平</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着眼于加快转变经济发展方式和调整优化经济结构，注重培养高素质技能型人才，加强学历教育，围绕区委、区政府提出的重点工程、重点项目和重点领域，组织全区职工开展劳动竞赛，大力推进实施职工经济技术创新工程。</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有效促进全区重点工程、重点项目和重点领域的建设，为全区经济社会持续健康发展建功立业。</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1、职工事业发展</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指导基层工会开展群众性经济技术创新活动以及劳动竞赛、岗位练兵和技能比赛等群众性活动。</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广大职工为全区科学发展、绿色崛起大局所作的贡献进一步凸显；广大职工在创新型企业建设中的作用进一步增强；广大职工技术技能素质进一步提升。</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指导管理工作次数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职工年完成技术革新项目数量</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职工年完成发明创造数量</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参赛职工和参加技能培训职工比率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开展岗位练兵、技能比赛的企业比例</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四十八、工会事务管理</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研究指导全区工会自身建设；监督检查党员干部廉政建设；负责工会干部管理制度和培训规划制定以及培训工作；负责工会经费和工会资产的管理、审查、审计工作；承担区委、区政府及省市总工会交办的其他事项。</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加强组织和干部队伍建设，提高干部业务素质和大型企事业单位工会领导干部水平，促进工会事业发展。</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1、综合事务管理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研究指导全区工会自身改革和建设；负责工会干部管理制度和培训规划制定以及培训工作；承担区委、区政府及省市总工会交办的其他事项；监督检查工会党员干部廉政建设情况；负责工会经费和工会资产的管理、审查、审计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切实提高工会综合事务管理水平，保障单位的正常运转</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各项综合事务工作完成率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区委、区政府及省市总工会交办完成率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监督检查工会党员干部廉政建设情况数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四十九、组织建设</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组织建设及宣传教育、培训等事项</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发展工商联会员、指导基层工商联组织建设；组织培训、思想政治教育，对非公有制经济优秀事迹进行宣传等事项。</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1、组织建设及宣传教育、培训</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贯彻省市工商联组织建设工作方针，指导全区各级组织的建设，维护会员合法权益，组织换届、培训、思想教育和基层建设工作，对非公有制经济优秀事迹进行宣传。</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指导全区各级组织建设。提升民营企业家素质，推进民营企业文化建设，提升工商联工作影响力。</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新会员培训率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培训人次(人）</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≥40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新会员培训合格率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五十、人大监督</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进行执法调研和执法检查；围绕政府工作报告和“一府两院”专项工作报告涉及内容开展调查研究，开展专题询问和工作评议；对“一府两院”进行监督。</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促进各项法律法规、人大决议、报告等的落实；促进“一府两院”改进工作；提高规范性文件质量；促进社会和谐稳定。</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1、专门委员会、常委及代表活动</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组织专门委员会委员、各工作委员会及特聘专家进行对法律实施情况进行执法检查；组织县人大常委及县人大代表进行执法检查和集中视察；开展代表建议督办；组织对常委及代表培训。</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发挥常委及代表的作用，集中反映民意，促进依法履职。</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执法检查任务完成率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建议督办完成率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组织对常委及代表培训</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五十一、人大会议</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县人民代表大会和常务委员会各种会议的筹备、会务工作，负责常委会文件起草、审核把关，常委会会议、主任会议及常委会党组会议决定事项、工作部署、重要文件及领导批示的传达和督办。</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完善各项会议制度，规范会议程序，提高会议质量，提高人大代表及常委会审议水平。</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1、人大会议</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承担县人民代表大会和常务委员会各种会议的筹备、会务工作，负责常委会文件起草、审核把关，常委会会议、主任会议及常委会党组会议决定事项、工作部署、重要文件及领导批示的传达和督办。</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完善各项会议制度，规范会议程序，提高会议质量，提高人大代表及常委会审议水平。</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会议筹备及会务工作的完成率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负责常委会文件起草、审核把关</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常委会会议、主任会议及常委会党组会议决定事项、工作部署、重要文件及领导批示的传达和督办</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五十二、选举和任免</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检查监督代表法、选举法及其实施办法的贯彻实施；承担人大换届选举及人事任免服务工作；负责对县政府组成人员和县级人民法院、县人民检察院主要负责人的目标责任书、述职报告的督办工作。</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确保换届选举工作顺利完成，实现省市和县委人事安排部署；提高组织换届选举工作水平。</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1、换届选举及人事任免</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承担县人大换届选举、县级国家机关领导人的选举和常委会人事任免的服务工作；指导市、县、乡人大换届选举工作；负责对县政府组成人员和县高级人民法院、县人民检察院主要负责人的目标责任书、述职报告的督办工作；对换届选举人员进行培训。</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确保县人大和乡人大换届选举工作顺利完成，提高组织换届选举工作水平；高质量完成国家机关领导人选举和常委会人事任免服务工作；高效督办有关部门负责人的目标责任书和述职报告。</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换届选举工作完成率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区政府组成人员和区级人民法院、区人民检察院主要负责人的目标责任书、述职报告的督办工作完成率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政治任务实现率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五十三、人大事务管理</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新闻宣传和机关信息化建设与维护；人代会及常委会会议表决系统、机关基础设施建设与维护；县人大机关日常管理事务；公报、年检的编辑印刷；信访工作。</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促进机关自身建设、服务保障能力进一步提升。</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1、综合政务管理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办理来信来访，日常外事活动和县人大代表团出访事务，内外宾接待，常委会新闻发布和对外宣传，人大系列工作的宣传报道；会议表决系统建设与维护；代表大会和常委会会议公报、人大工作年鉴、大事记和组织史的编写及印刷；负责县内外人大常委会联系；重大课题调研。负责机关文书档案印信管理和保密，机关人事、离退休人员服务，财务、基建、后勤服务及警卫工作；机关信息建设和办公自动化建设；负责对全县人大系统信息建设和办公自动化建设的指导、规划、组织、协调和人员培训工作；纪检组办案及培训；领导交办的其他工作。</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保障新闻宣传与新闻发布工作正常开展，提高人大信息透明度和影响力；保障会议表决系统正常运转；网络与办公平台正常运行；促进社会和谐稳定。机关基础设施设备正常运转，信息化保障、老干部服务保障能力进一步提高。</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综合事务管理工作完成率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综合业务管理工作完成率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会议表决系统建设与维护工作完成率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表决系统完好率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五十四、政治协商</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就大政方针以及政治、经济、文化、社会和生态文明中的重要问题在决策之前进行协商和就决策执行过程中的重要问题进行协商。</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完善各项会议制度，规范会议程序，提高会议质量，提高政治协商水平。</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1、政协会议、民主协商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会议是人民政协履行职能的主要形式，是开展工作的主体，是委员履行自身职责的主要途径。包括全体会议、常委会议、主席会议、秘书长会议、各专委会会议等。根据形势、任务和党委政府统一部署，安排协商活动，召开专题协商会、协商民主会、专题座谈会、情况通报会、意见听取会、工作研讨会和学习座谈会等。</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完善各项会议制度，规范会议程序，提高会议质量，提高政治协商水平。增强开展政治协商的自觉性和主动性，规范协商内容，丰富协商形式和层次，把政治协商纳入决策程序。</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政治任务实现率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会议筹备及会务工作的完成率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专题协商活动完成率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五十五、民主监督</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有效履行民主监督职责，发挥好协调关系、汇聚力量、建言献策、服务大局的作用。通过意见、建议、批评的方式对国家法律法规的实施、重大方针政策的贯彻执行、党和政府的工作进行政治监督。</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完善民主监督机制，畅通民主监督渠道，建立健全知情、沟通制度，将民主监督寓于委员提案、进行视察、参与工作检查等活动中，提高民主监督质量和成效。</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1、监督事务、提案工作</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鼓励和引导委员深入实际、走向基层、贴近群众开展视察考察，通过建议案、提案等形式进行监督。通过参加党委政府组织的调查和检查活动实施监督。对政协委员和参加政协的各党派团体以及各专委会（提案者）的提案进行审查立案，立案后交承办单位办理，适时通过协调、沟通、座谈、视察等形式进行督办。</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完善民主监督机制，畅通民主监督渠道，建立健全知情、沟通制度，加强工作协调配合，提高民主监督的质量和成效。完善提案审查、办理和反馈机制，做到提案程序更加规范，制度更加完善，提案质量和办理质量不断提高，政协履职作用更加突出。</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监督工作任务完成率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提案交办率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提案督办完成率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五十六、参政议政</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通过对重大问题以及人民群众普遍关心的问题，开展调查研究，反映社情民意，进行协商讨论，以调研报告、建议案或其他形式，向县委、县政府提出意见和建议。</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发挥政协作为扩大社会各界有序参与的重要渠道作用，探索开展活动的新方法新途径，充分调动委员参政议政积极，向县委、县政府提出高质量的建议案。</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1、专题调研、社情民意</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选择经济社会发展中具有综合性、全局性、前瞻性的课题，在县委和县政府有关部门密切配合下，深入调查研究，开展咨询论证、提出意见建议。利用政协自身包容各界、联系广泛、人才聚集的优势和特点，了解和反映社会不同阶层、群体的愿望和要求，将分散在民间、基层有识之士的真知灼见反映给决策部门。</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通过调研课题就党和政府关注的问题，提出客观、有价值、有分量、有影响的意见建议，促进决策民主化和科学化。通过界别渠道密切联系群众，反映社情民意，努力做到协调关系、化解矛盾、理顺情绪，增进社会各阶层不同利益群体的和谐和稳定。</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重点课题和专项调研完成率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调研结果和政策建议采纳数</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≥30%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≥20%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社情民意反映率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≥50%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五十七、政协事务管理</w:t>
            </w:r>
          </w:p>
        </w:tc>
        <w:tc>
          <w:tcPr>
            <w:tcW w:w="1276" w:type="dxa"/>
            <w:shd w:val="clear" w:color="auto" w:fill="auto"/>
            <w:vAlign w:val="center"/>
          </w:tcPr>
          <w:p>
            <w:pPr>
              <w:spacing w:line="300" w:lineRule="exact"/>
              <w:jc w:val="left"/>
              <w:rPr>
                <w:rFonts w:ascii="Times New Roman" w:hAnsi="Times New Roman" w:eastAsia="方正书宋_GBK" w:cs="Times New Roman"/>
              </w:rPr>
            </w:pP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县政协自身建设、理论研究以及宣传工作，与县内外有关单位的联系协调；负责机关外事工作，机构编制、人事任免、人员培训、考核奖惩、工资福利，后勤保障、经费资产管理、基建和审计，接待、离退休人员服务，承办县政协主席、副主席、秘书长交办的其他事项。</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机关自身建设、服务保障能力进一步提升。</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1、综合政务管理</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加强县政协机关与专委会自身建设以及理论研究和宣传工作，扩大与省市政协办公厅，县委、县人大常委会、县政府办公室，县各民主党派、工商联、人民团体、县直有关部门和乡政协的联系、协调工作。县政协机关的机构编制、人事任免、调配及人员培训、考核奖惩、工资福利，后勤保障、机关经费管理、资产管理、基建和审计，机关接待、离退休人员服务，以及承办县政协主席、副主席、秘书长交办的其他事项。</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政协自身建设质量更加扎实，工作科学化水平进一步提升。文史资料的社会功能增强，理论研究成果服务履职作用明显。机关基本设施设备正常运转、信息化保障、老干部服务保障能力进一步提高。</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综合业务管理工作完成率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综合事务保障率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综合事务保障率</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100%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≥95%</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五十八、扫黑除恶</w:t>
            </w:r>
          </w:p>
        </w:tc>
        <w:tc>
          <w:tcPr>
            <w:tcW w:w="12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120.00</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组织、协调新区涉黑涉恶案件线索核查侦办工作。</w:t>
            </w:r>
          </w:p>
        </w:tc>
        <w:tc>
          <w:tcPr>
            <w:tcW w:w="2976"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1、贯彻落实习近平总书记重要批示精神，中央、省、市、新区工管委关于扫黑除恶专项斗争的方针政策和重大部署；2、组织落实市领导小组关于新区扫黑除恶专项斗争的工作部署，并负责督促检查；3、负责向新区工管委和指挥部报告新区扫黑除恶专项斗争的进展情况，定期研究分析新区扫黑除恶专项斗争形势，研究提出报请解决的重大问题；4、组织研究提出新区扫黑除恶专项斗争的政策措施和工作机制；5、组织和协调有关单位解决执法办案工作中的困难和问题；6、把握舆论导向，加强正面舆论引导，妥善处置负面舆论；7、指导指挥部各成员单位按照职责分工积极参与扫黑除恶专项斗争；8、负责办公室日常工作运转，健全完善相关工作机制，筹备、组织、协调重要会议、重大活动，负责综合性文件起草、上传下达；9、完成新区领导交办的其他具体工作。</w:t>
            </w:r>
          </w:p>
        </w:tc>
        <w:tc>
          <w:tcPr>
            <w:tcW w:w="1417" w:type="dxa"/>
            <w:shd w:val="clear" w:color="auto" w:fill="auto"/>
            <w:vAlign w:val="center"/>
          </w:tcPr>
          <w:p>
            <w:pPr>
              <w:spacing w:line="300" w:lineRule="exact"/>
              <w:jc w:val="left"/>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c>
          <w:tcPr>
            <w:tcW w:w="737" w:type="dxa"/>
            <w:shd w:val="clear" w:color="auto" w:fill="auto"/>
            <w:vAlign w:val="center"/>
          </w:tcPr>
          <w:p>
            <w:pPr>
              <w:spacing w:line="300" w:lineRule="exact"/>
              <w:jc w:val="center"/>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Times New Roman" w:hAnsi="Times New Roman" w:eastAsia="方正书宋_GBK" w:cs="Times New Roman"/>
                <w:b/>
              </w:rPr>
            </w:pPr>
            <w:r>
              <w:rPr>
                <w:rFonts w:ascii="Times New Roman" w:hAnsi="Times New Roman" w:eastAsia="方正书宋_GBK" w:cs="Times New Roman"/>
                <w:b/>
              </w:rPr>
              <w:t>　　1、利用三年时间开展扫黑除恶工作斗争</w:t>
            </w:r>
          </w:p>
        </w:tc>
        <w:tc>
          <w:tcPr>
            <w:tcW w:w="12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120.00</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综合掌握新区扫黑除恶专项斗争工作进展请款；收集汇总工作动态，及时报市政法委、新区工管委和指挥部办公室；组织落实指挥部关于新区扫黑除恶专项斗争工作部署，并负责督促检查；组织开展重点地区整治，组织协调筹备重要会议、重大活动。</w:t>
            </w:r>
          </w:p>
        </w:tc>
        <w:tc>
          <w:tcPr>
            <w:tcW w:w="2976" w:type="dxa"/>
            <w:vMerge w:val="restar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利用3年时间，采取强有力的措施，黑恶势力违法犯罪特别是农村涉黑涉恶问题得到根本遏制，涉黑涉恶治安乱点得到全面整治，重点行业、重点领域管理得到明显加强，人民群众安全感、满意度明显提升；黑恶势力“保护伞”得以铲除，加强基层组织建设的环境明显优化；基层社会治理能力明显提升，涉黑涉恶违法犯罪防范打击长效机制更加健全，扫黑除恶工作法治化、规范化、专业化水平进一步提高。</w:t>
            </w: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取得扫黑除恶专项斗争压倒性胜利，营造安全稳定、平安和谐的旅游、营商环境，把新区打造成人民满意、群众安全感最强的治安模范区。</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协调跟进涉黑涉恶案件线索侦办进度</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Times New Roman" w:hAnsi="Times New Roman" w:eastAsia="方正书宋_GBK" w:cs="Times New Roman"/>
                <w:b/>
              </w:rPr>
            </w:pPr>
          </w:p>
        </w:tc>
        <w:tc>
          <w:tcPr>
            <w:tcW w:w="12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2976" w:type="dxa"/>
            <w:vMerge w:val="continue"/>
            <w:shd w:val="clear" w:color="auto" w:fill="auto"/>
            <w:vAlign w:val="center"/>
          </w:tcPr>
          <w:p>
            <w:pPr>
              <w:spacing w:line="300" w:lineRule="exact"/>
              <w:jc w:val="left"/>
              <w:rPr>
                <w:rFonts w:ascii="Times New Roman" w:hAnsi="Times New Roman" w:eastAsia="方正书宋_GBK" w:cs="Times New Roman"/>
              </w:rPr>
            </w:pPr>
          </w:p>
        </w:tc>
        <w:tc>
          <w:tcPr>
            <w:tcW w:w="1417" w:type="dxa"/>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打击新区黑恶势力营造安全稳定、平安和谐的旅游、营商环境</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≥90%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≥80%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≥70%</w:t>
            </w:r>
          </w:p>
        </w:tc>
        <w:tc>
          <w:tcPr>
            <w:tcW w:w="737"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rPr>
              <w:t>&lt;70%</w:t>
            </w:r>
          </w:p>
        </w:tc>
      </w:tr>
    </w:tbl>
    <w:p>
      <w:pPr>
        <w:ind w:firstLine="640" w:firstLineChars="200"/>
        <w:rPr>
          <w:rFonts w:ascii="Times New Roman" w:hAnsi="Times New Roman" w:eastAsia="方正仿宋简体" w:cs="Times New Roman"/>
          <w:sz w:val="32"/>
          <w:szCs w:val="32"/>
        </w:rPr>
      </w:pPr>
    </w:p>
    <w:p>
      <w:pPr>
        <w:ind w:firstLine="640" w:firstLineChars="200"/>
        <w:rPr>
          <w:rFonts w:ascii="Times New Roman" w:hAnsi="Times New Roman" w:eastAsia="方正仿宋简体" w:cs="Times New Roman"/>
          <w:sz w:val="32"/>
          <w:szCs w:val="32"/>
        </w:rPr>
      </w:pPr>
    </w:p>
    <w:p>
      <w:pPr>
        <w:ind w:firstLine="640" w:firstLineChars="200"/>
        <w:rPr>
          <w:rFonts w:ascii="Times New Roman" w:hAnsi="Times New Roman" w:eastAsia="方正仿宋简体" w:cs="Times New Roman"/>
          <w:sz w:val="32"/>
          <w:szCs w:val="32"/>
        </w:rPr>
      </w:pPr>
    </w:p>
    <w:p>
      <w:pPr>
        <w:ind w:firstLine="640" w:firstLineChars="200"/>
        <w:rPr>
          <w:rFonts w:ascii="Times New Roman" w:hAnsi="Times New Roman" w:eastAsia="方正仿宋简体" w:cs="Times New Roman"/>
          <w:sz w:val="32"/>
          <w:szCs w:val="32"/>
        </w:rPr>
      </w:pPr>
    </w:p>
    <w:p>
      <w:pPr>
        <w:ind w:firstLine="640" w:firstLineChars="200"/>
        <w:rPr>
          <w:rFonts w:ascii="Times New Roman" w:hAnsi="Times New Roman" w:eastAsia="方正仿宋简体" w:cs="Times New Roman"/>
          <w:sz w:val="32"/>
          <w:szCs w:val="32"/>
        </w:rPr>
      </w:pPr>
    </w:p>
    <w:p>
      <w:pPr>
        <w:ind w:firstLine="640" w:firstLineChars="200"/>
        <w:rPr>
          <w:rFonts w:ascii="Times New Roman" w:hAnsi="Times New Roman" w:eastAsia="方正仿宋简体" w:cs="Times New Roman"/>
          <w:sz w:val="32"/>
          <w:szCs w:val="32"/>
        </w:rPr>
      </w:pPr>
      <w:bookmarkStart w:id="4" w:name="_GoBack"/>
      <w:bookmarkEnd w:id="4"/>
    </w:p>
    <w:bookmarkEnd w:id="0"/>
    <w:p>
      <w:pPr>
        <w:ind w:firstLine="640"/>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ind w:firstLine="640" w:firstLineChars="200"/>
        <w:outlineLvl w:val="0"/>
        <w:rPr>
          <w:rFonts w:ascii="Times New Roman" w:hAnsi="Times New Roman" w:eastAsia="方正仿宋简体" w:cs="Times New Roman"/>
          <w:sz w:val="32"/>
          <w:szCs w:val="24"/>
        </w:rPr>
      </w:pPr>
      <w:r>
        <w:rPr>
          <w:rFonts w:ascii="Times New Roman" w:hAnsi="Times New Roman" w:eastAsia="方正仿宋简体" w:cs="Times New Roman"/>
          <w:sz w:val="32"/>
          <w:szCs w:val="24"/>
        </w:rPr>
        <w:t>2019年党群工作部政府采购预算108.2万元。</w:t>
      </w:r>
      <w:bookmarkStart w:id="3" w:name="_Toc534012343"/>
    </w:p>
    <w:p>
      <w:pPr>
        <w:jc w:val="center"/>
        <w:outlineLvl w:val="0"/>
        <w:rPr>
          <w:rFonts w:ascii="Times New Roman" w:hAnsi="Times New Roman" w:eastAsia="方正仿宋简体" w:cs="Times New Roman"/>
          <w:sz w:val="32"/>
          <w:szCs w:val="24"/>
        </w:rPr>
      </w:pPr>
    </w:p>
    <w:p>
      <w:pPr>
        <w:jc w:val="center"/>
        <w:outlineLvl w:val="0"/>
        <w:rPr>
          <w:rFonts w:ascii="Times New Roman" w:hAnsi="Times New Roman" w:eastAsia="方正小标宋_GBK" w:cs="Times New Roman"/>
          <w:sz w:val="32"/>
        </w:rPr>
      </w:pPr>
      <w:r>
        <w:rPr>
          <w:rFonts w:ascii="Times New Roman" w:hAnsi="Times New Roman" w:eastAsia="方正小标宋_GBK" w:cs="Times New Roman"/>
          <w:sz w:val="32"/>
        </w:rPr>
        <w:t>部门政府采购预算</w:t>
      </w:r>
      <w:bookmarkEnd w:id="3"/>
    </w:p>
    <w:tbl>
      <w:tblPr>
        <w:tblStyle w:val="9"/>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2"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Times New Roman" w:hAnsi="Times New Roman" w:eastAsia="方正小标宋_GBK" w:cs="Times New Roman"/>
                <w:sz w:val="24"/>
              </w:rPr>
            </w:pPr>
            <w:r>
              <w:rPr>
                <w:rFonts w:ascii="Times New Roman" w:hAnsi="Times New Roman" w:eastAsia="方正小标宋_GBK" w:cs="Times New Roman"/>
                <w:sz w:val="24"/>
              </w:rPr>
              <w:t>203秦皇岛北戴河新区党群工作部</w:t>
            </w:r>
          </w:p>
        </w:tc>
        <w:tc>
          <w:tcPr>
            <w:tcW w:w="2298"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Times New Roman" w:hAnsi="Times New Roman" w:eastAsia="方正书宋_GBK" w:cs="Times New Roman"/>
                <w:sz w:val="24"/>
              </w:rPr>
            </w:pPr>
            <w:r>
              <w:rPr>
                <w:rFonts w:ascii="Times New Roman" w:hAnsi="Times New Roman"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17" w:type="pct"/>
            <w:gridSpan w:val="2"/>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政府采购项目来源</w:t>
            </w:r>
          </w:p>
        </w:tc>
        <w:tc>
          <w:tcPr>
            <w:tcW w:w="334" w:type="pct"/>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采购物品名称</w:t>
            </w:r>
          </w:p>
        </w:tc>
        <w:tc>
          <w:tcPr>
            <w:tcW w:w="338" w:type="pct"/>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政府采购目录序号</w:t>
            </w:r>
          </w:p>
        </w:tc>
        <w:tc>
          <w:tcPr>
            <w:tcW w:w="261" w:type="pct"/>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数量  单位</w:t>
            </w:r>
          </w:p>
        </w:tc>
        <w:tc>
          <w:tcPr>
            <w:tcW w:w="261" w:type="pct"/>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数量</w:t>
            </w:r>
          </w:p>
        </w:tc>
        <w:tc>
          <w:tcPr>
            <w:tcW w:w="290" w:type="pct"/>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单价</w:t>
            </w:r>
          </w:p>
        </w:tc>
        <w:tc>
          <w:tcPr>
            <w:tcW w:w="2298" w:type="pct"/>
            <w:gridSpan w:val="7"/>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0" w:type="pct"/>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项目名称</w:t>
            </w:r>
          </w:p>
        </w:tc>
        <w:tc>
          <w:tcPr>
            <w:tcW w:w="377" w:type="pct"/>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预算资金</w:t>
            </w:r>
          </w:p>
        </w:tc>
        <w:tc>
          <w:tcPr>
            <w:tcW w:w="334" w:type="pct"/>
            <w:vMerge w:val="continue"/>
            <w:shd w:val="clear" w:color="auto" w:fill="auto"/>
            <w:vAlign w:val="center"/>
          </w:tcPr>
          <w:p>
            <w:pPr>
              <w:spacing w:line="300" w:lineRule="exact"/>
              <w:jc w:val="left"/>
              <w:outlineLvl w:val="0"/>
              <w:rPr>
                <w:rFonts w:ascii="Times New Roman" w:hAnsi="Times New Roman" w:cs="Times New Roman"/>
              </w:rPr>
            </w:pPr>
          </w:p>
        </w:tc>
        <w:tc>
          <w:tcPr>
            <w:tcW w:w="338" w:type="pct"/>
            <w:vMerge w:val="continue"/>
            <w:shd w:val="clear" w:color="auto" w:fill="auto"/>
            <w:vAlign w:val="center"/>
          </w:tcPr>
          <w:p>
            <w:pPr>
              <w:spacing w:line="300" w:lineRule="exact"/>
              <w:jc w:val="left"/>
              <w:outlineLvl w:val="0"/>
              <w:rPr>
                <w:rFonts w:ascii="Times New Roman" w:hAnsi="Times New Roman" w:cs="Times New Roman"/>
              </w:rPr>
            </w:pPr>
          </w:p>
        </w:tc>
        <w:tc>
          <w:tcPr>
            <w:tcW w:w="261" w:type="pct"/>
            <w:vMerge w:val="continue"/>
            <w:shd w:val="clear" w:color="auto" w:fill="auto"/>
            <w:vAlign w:val="center"/>
          </w:tcPr>
          <w:p>
            <w:pPr>
              <w:spacing w:line="300" w:lineRule="exact"/>
              <w:jc w:val="left"/>
              <w:outlineLvl w:val="0"/>
              <w:rPr>
                <w:rFonts w:ascii="Times New Roman" w:hAnsi="Times New Roman" w:cs="Times New Roman"/>
              </w:rPr>
            </w:pPr>
          </w:p>
        </w:tc>
        <w:tc>
          <w:tcPr>
            <w:tcW w:w="261" w:type="pct"/>
            <w:vMerge w:val="continue"/>
            <w:shd w:val="clear" w:color="auto" w:fill="auto"/>
            <w:vAlign w:val="center"/>
          </w:tcPr>
          <w:p>
            <w:pPr>
              <w:spacing w:line="300" w:lineRule="exact"/>
              <w:jc w:val="left"/>
              <w:outlineLvl w:val="0"/>
              <w:rPr>
                <w:rFonts w:ascii="Times New Roman" w:hAnsi="Times New Roman" w:cs="Times New Roman"/>
              </w:rPr>
            </w:pPr>
          </w:p>
        </w:tc>
        <w:tc>
          <w:tcPr>
            <w:tcW w:w="290" w:type="pct"/>
            <w:vMerge w:val="continue"/>
            <w:shd w:val="clear" w:color="auto" w:fill="auto"/>
            <w:vAlign w:val="center"/>
          </w:tcPr>
          <w:p>
            <w:pPr>
              <w:spacing w:line="300" w:lineRule="exact"/>
              <w:jc w:val="left"/>
              <w:outlineLvl w:val="0"/>
              <w:rPr>
                <w:rFonts w:ascii="Times New Roman" w:hAnsi="Times New Roman" w:cs="Times New Roman"/>
              </w:rPr>
            </w:pPr>
          </w:p>
        </w:tc>
        <w:tc>
          <w:tcPr>
            <w:tcW w:w="330" w:type="pct"/>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总计</w:t>
            </w:r>
          </w:p>
        </w:tc>
        <w:tc>
          <w:tcPr>
            <w:tcW w:w="1651" w:type="pct"/>
            <w:gridSpan w:val="5"/>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当年部门预算安排资金</w:t>
            </w:r>
          </w:p>
        </w:tc>
        <w:tc>
          <w:tcPr>
            <w:tcW w:w="317" w:type="pct"/>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0" w:type="pct"/>
            <w:vMerge w:val="continue"/>
            <w:shd w:val="clear" w:color="auto" w:fill="auto"/>
            <w:vAlign w:val="center"/>
          </w:tcPr>
          <w:p>
            <w:pPr>
              <w:spacing w:line="300" w:lineRule="exact"/>
              <w:jc w:val="left"/>
              <w:outlineLvl w:val="0"/>
              <w:rPr>
                <w:rFonts w:ascii="Times New Roman" w:hAnsi="Times New Roman" w:cs="Times New Roman"/>
              </w:rPr>
            </w:pPr>
          </w:p>
        </w:tc>
        <w:tc>
          <w:tcPr>
            <w:tcW w:w="377" w:type="pct"/>
            <w:vMerge w:val="continue"/>
            <w:shd w:val="clear" w:color="auto" w:fill="auto"/>
            <w:vAlign w:val="center"/>
          </w:tcPr>
          <w:p>
            <w:pPr>
              <w:spacing w:line="300" w:lineRule="exact"/>
              <w:jc w:val="left"/>
              <w:outlineLvl w:val="0"/>
              <w:rPr>
                <w:rFonts w:ascii="Times New Roman" w:hAnsi="Times New Roman" w:cs="Times New Roman"/>
              </w:rPr>
            </w:pPr>
          </w:p>
        </w:tc>
        <w:tc>
          <w:tcPr>
            <w:tcW w:w="334" w:type="pct"/>
            <w:vMerge w:val="continue"/>
            <w:shd w:val="clear" w:color="auto" w:fill="auto"/>
            <w:vAlign w:val="center"/>
          </w:tcPr>
          <w:p>
            <w:pPr>
              <w:spacing w:line="300" w:lineRule="exact"/>
              <w:jc w:val="left"/>
              <w:outlineLvl w:val="0"/>
              <w:rPr>
                <w:rFonts w:ascii="Times New Roman" w:hAnsi="Times New Roman" w:cs="Times New Roman"/>
              </w:rPr>
            </w:pPr>
          </w:p>
        </w:tc>
        <w:tc>
          <w:tcPr>
            <w:tcW w:w="338" w:type="pct"/>
            <w:vMerge w:val="continue"/>
            <w:shd w:val="clear" w:color="auto" w:fill="auto"/>
            <w:vAlign w:val="center"/>
          </w:tcPr>
          <w:p>
            <w:pPr>
              <w:spacing w:line="300" w:lineRule="exact"/>
              <w:jc w:val="left"/>
              <w:outlineLvl w:val="0"/>
              <w:rPr>
                <w:rFonts w:ascii="Times New Roman" w:hAnsi="Times New Roman" w:cs="Times New Roman"/>
              </w:rPr>
            </w:pPr>
          </w:p>
        </w:tc>
        <w:tc>
          <w:tcPr>
            <w:tcW w:w="261" w:type="pct"/>
            <w:vMerge w:val="continue"/>
            <w:shd w:val="clear" w:color="auto" w:fill="auto"/>
            <w:vAlign w:val="center"/>
          </w:tcPr>
          <w:p>
            <w:pPr>
              <w:spacing w:line="300" w:lineRule="exact"/>
              <w:jc w:val="left"/>
              <w:outlineLvl w:val="0"/>
              <w:rPr>
                <w:rFonts w:ascii="Times New Roman" w:hAnsi="Times New Roman" w:cs="Times New Roman"/>
              </w:rPr>
            </w:pPr>
          </w:p>
        </w:tc>
        <w:tc>
          <w:tcPr>
            <w:tcW w:w="261" w:type="pct"/>
            <w:vMerge w:val="continue"/>
            <w:shd w:val="clear" w:color="auto" w:fill="auto"/>
            <w:vAlign w:val="center"/>
          </w:tcPr>
          <w:p>
            <w:pPr>
              <w:spacing w:line="300" w:lineRule="exact"/>
              <w:jc w:val="left"/>
              <w:outlineLvl w:val="0"/>
              <w:rPr>
                <w:rFonts w:ascii="Times New Roman" w:hAnsi="Times New Roman" w:cs="Times New Roman"/>
              </w:rPr>
            </w:pPr>
          </w:p>
        </w:tc>
        <w:tc>
          <w:tcPr>
            <w:tcW w:w="290" w:type="pct"/>
            <w:vMerge w:val="continue"/>
            <w:shd w:val="clear" w:color="auto" w:fill="auto"/>
            <w:vAlign w:val="center"/>
          </w:tcPr>
          <w:p>
            <w:pPr>
              <w:spacing w:line="300" w:lineRule="exact"/>
              <w:jc w:val="left"/>
              <w:outlineLvl w:val="0"/>
              <w:rPr>
                <w:rFonts w:ascii="Times New Roman" w:hAnsi="Times New Roman" w:cs="Times New Roman"/>
              </w:rPr>
            </w:pPr>
          </w:p>
        </w:tc>
        <w:tc>
          <w:tcPr>
            <w:tcW w:w="330" w:type="pct"/>
            <w:vMerge w:val="continue"/>
            <w:shd w:val="clear" w:color="auto" w:fill="auto"/>
            <w:vAlign w:val="center"/>
          </w:tcPr>
          <w:p>
            <w:pPr>
              <w:spacing w:line="300" w:lineRule="exact"/>
              <w:jc w:val="left"/>
              <w:outlineLvl w:val="0"/>
              <w:rPr>
                <w:rFonts w:ascii="Times New Roman" w:hAnsi="Times New Roman" w:cs="Times New Roman"/>
              </w:rPr>
            </w:pPr>
          </w:p>
        </w:tc>
        <w:tc>
          <w:tcPr>
            <w:tcW w:w="330" w:type="pc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合计</w:t>
            </w:r>
          </w:p>
        </w:tc>
        <w:tc>
          <w:tcPr>
            <w:tcW w:w="330" w:type="pc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一般公共预算拨款</w:t>
            </w:r>
          </w:p>
        </w:tc>
        <w:tc>
          <w:tcPr>
            <w:tcW w:w="330" w:type="pc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基金预算拨款</w:t>
            </w:r>
          </w:p>
        </w:tc>
        <w:tc>
          <w:tcPr>
            <w:tcW w:w="331" w:type="pc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财政专户核拨</w:t>
            </w:r>
          </w:p>
        </w:tc>
        <w:tc>
          <w:tcPr>
            <w:tcW w:w="331" w:type="pc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其他来源收入</w:t>
            </w:r>
          </w:p>
        </w:tc>
        <w:tc>
          <w:tcPr>
            <w:tcW w:w="317" w:type="pct"/>
            <w:vMerge w:val="continue"/>
            <w:shd w:val="clear" w:color="auto" w:fill="auto"/>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合　计</w:t>
            </w:r>
          </w:p>
        </w:tc>
        <w:tc>
          <w:tcPr>
            <w:tcW w:w="377" w:type="pct"/>
            <w:shd w:val="clear" w:color="auto" w:fill="auto"/>
            <w:vAlign w:val="center"/>
          </w:tcPr>
          <w:p>
            <w:pPr>
              <w:spacing w:line="300" w:lineRule="exact"/>
              <w:jc w:val="right"/>
              <w:rPr>
                <w:rFonts w:ascii="Times New Roman" w:hAnsi="Times New Roman" w:eastAsia="方正书宋_GBK" w:cs="Times New Roman"/>
                <w:b/>
              </w:rPr>
            </w:pPr>
          </w:p>
        </w:tc>
        <w:tc>
          <w:tcPr>
            <w:tcW w:w="334" w:type="pct"/>
            <w:shd w:val="clear" w:color="auto" w:fill="auto"/>
            <w:vAlign w:val="center"/>
          </w:tcPr>
          <w:p>
            <w:pPr>
              <w:spacing w:line="300" w:lineRule="exact"/>
              <w:jc w:val="left"/>
              <w:rPr>
                <w:rFonts w:ascii="Times New Roman" w:hAnsi="Times New Roman" w:eastAsia="方正书宋_GBK" w:cs="Times New Roman"/>
                <w:b/>
              </w:rPr>
            </w:pPr>
          </w:p>
        </w:tc>
        <w:tc>
          <w:tcPr>
            <w:tcW w:w="338" w:type="pct"/>
            <w:shd w:val="clear" w:color="auto" w:fill="auto"/>
            <w:vAlign w:val="center"/>
          </w:tcPr>
          <w:p>
            <w:pPr>
              <w:spacing w:line="300" w:lineRule="exact"/>
              <w:jc w:val="left"/>
              <w:rPr>
                <w:rFonts w:ascii="Times New Roman" w:hAnsi="Times New Roman" w:eastAsia="方正书宋_GBK" w:cs="Times New Roman"/>
                <w:b/>
              </w:rPr>
            </w:pPr>
          </w:p>
        </w:tc>
        <w:tc>
          <w:tcPr>
            <w:tcW w:w="261" w:type="pct"/>
            <w:shd w:val="clear" w:color="auto" w:fill="auto"/>
            <w:vAlign w:val="center"/>
          </w:tcPr>
          <w:p>
            <w:pPr>
              <w:spacing w:line="300" w:lineRule="exact"/>
              <w:jc w:val="left"/>
              <w:rPr>
                <w:rFonts w:ascii="Times New Roman" w:hAnsi="Times New Roman" w:eastAsia="方正书宋_GBK" w:cs="Times New Roman"/>
                <w:b/>
              </w:rPr>
            </w:pPr>
          </w:p>
        </w:tc>
        <w:tc>
          <w:tcPr>
            <w:tcW w:w="261" w:type="pct"/>
            <w:shd w:val="clear" w:color="auto" w:fill="auto"/>
            <w:vAlign w:val="center"/>
          </w:tcPr>
          <w:p>
            <w:pPr>
              <w:spacing w:line="300" w:lineRule="exact"/>
              <w:jc w:val="right"/>
              <w:rPr>
                <w:rFonts w:ascii="Times New Roman" w:hAnsi="Times New Roman" w:eastAsia="方正书宋_GBK" w:cs="Times New Roman"/>
                <w:b/>
              </w:rPr>
            </w:pPr>
          </w:p>
        </w:tc>
        <w:tc>
          <w:tcPr>
            <w:tcW w:w="290" w:type="pct"/>
            <w:shd w:val="clear" w:color="auto" w:fill="auto"/>
            <w:vAlign w:val="center"/>
          </w:tcPr>
          <w:p>
            <w:pPr>
              <w:spacing w:line="300" w:lineRule="exact"/>
              <w:jc w:val="right"/>
              <w:rPr>
                <w:rFonts w:ascii="Times New Roman" w:hAnsi="Times New Roman" w:eastAsia="方正书宋_GBK" w:cs="Times New Roman"/>
                <w:b/>
              </w:rPr>
            </w:pPr>
          </w:p>
        </w:tc>
        <w:tc>
          <w:tcPr>
            <w:tcW w:w="330" w:type="pct"/>
            <w:shd w:val="clear" w:color="auto" w:fill="auto"/>
            <w:vAlign w:val="center"/>
          </w:tcPr>
          <w:p>
            <w:pPr>
              <w:spacing w:line="300" w:lineRule="exact"/>
              <w:jc w:val="right"/>
              <w:rPr>
                <w:rFonts w:ascii="Times New Roman" w:hAnsi="Times New Roman" w:eastAsia="方正书宋_GBK" w:cs="Times New Roman"/>
                <w:b/>
              </w:rPr>
            </w:pPr>
            <w:r>
              <w:rPr>
                <w:rFonts w:ascii="Times New Roman" w:hAnsi="Times New Roman" w:eastAsia="方正书宋_GBK" w:cs="Times New Roman"/>
                <w:b/>
              </w:rPr>
              <w:t>108.20</w:t>
            </w:r>
          </w:p>
        </w:tc>
        <w:tc>
          <w:tcPr>
            <w:tcW w:w="330" w:type="pct"/>
            <w:shd w:val="clear" w:color="auto" w:fill="auto"/>
            <w:vAlign w:val="center"/>
          </w:tcPr>
          <w:p>
            <w:pPr>
              <w:spacing w:line="300" w:lineRule="exact"/>
              <w:jc w:val="right"/>
              <w:rPr>
                <w:rFonts w:ascii="Times New Roman" w:hAnsi="Times New Roman" w:eastAsia="方正书宋_GBK" w:cs="Times New Roman"/>
                <w:b/>
              </w:rPr>
            </w:pPr>
            <w:r>
              <w:rPr>
                <w:rFonts w:ascii="Times New Roman" w:hAnsi="Times New Roman" w:eastAsia="方正书宋_GBK" w:cs="Times New Roman"/>
                <w:b/>
              </w:rPr>
              <w:t>108.20</w:t>
            </w:r>
          </w:p>
        </w:tc>
        <w:tc>
          <w:tcPr>
            <w:tcW w:w="330" w:type="pct"/>
            <w:shd w:val="clear" w:color="auto" w:fill="auto"/>
            <w:vAlign w:val="center"/>
          </w:tcPr>
          <w:p>
            <w:pPr>
              <w:spacing w:line="300" w:lineRule="exact"/>
              <w:jc w:val="right"/>
              <w:rPr>
                <w:rFonts w:ascii="Times New Roman" w:hAnsi="Times New Roman" w:eastAsia="方正书宋_GBK" w:cs="Times New Roman"/>
                <w:b/>
              </w:rPr>
            </w:pPr>
            <w:r>
              <w:rPr>
                <w:rFonts w:ascii="Times New Roman" w:hAnsi="Times New Roman" w:eastAsia="方正书宋_GBK" w:cs="Times New Roman"/>
                <w:b/>
              </w:rPr>
              <w:t>108.20</w:t>
            </w:r>
          </w:p>
        </w:tc>
        <w:tc>
          <w:tcPr>
            <w:tcW w:w="330" w:type="pct"/>
            <w:shd w:val="clear" w:color="auto" w:fill="auto"/>
            <w:vAlign w:val="center"/>
          </w:tcPr>
          <w:p>
            <w:pPr>
              <w:spacing w:line="300" w:lineRule="exact"/>
              <w:jc w:val="right"/>
              <w:rPr>
                <w:rFonts w:ascii="Times New Roman" w:hAnsi="Times New Roman" w:eastAsia="方正书宋_GBK" w:cs="Times New Roman"/>
                <w:b/>
              </w:rPr>
            </w:pPr>
          </w:p>
        </w:tc>
        <w:tc>
          <w:tcPr>
            <w:tcW w:w="331" w:type="pct"/>
            <w:shd w:val="clear" w:color="auto" w:fill="auto"/>
            <w:vAlign w:val="center"/>
          </w:tcPr>
          <w:p>
            <w:pPr>
              <w:spacing w:line="300" w:lineRule="exact"/>
              <w:jc w:val="right"/>
              <w:rPr>
                <w:rFonts w:ascii="Times New Roman" w:hAnsi="Times New Roman" w:eastAsia="方正书宋_GBK" w:cs="Times New Roman"/>
                <w:b/>
              </w:rPr>
            </w:pPr>
          </w:p>
        </w:tc>
        <w:tc>
          <w:tcPr>
            <w:tcW w:w="331" w:type="pct"/>
            <w:shd w:val="clear" w:color="auto" w:fill="auto"/>
            <w:vAlign w:val="center"/>
          </w:tcPr>
          <w:p>
            <w:pPr>
              <w:spacing w:line="300" w:lineRule="exact"/>
              <w:jc w:val="right"/>
              <w:rPr>
                <w:rFonts w:ascii="Times New Roman" w:hAnsi="Times New Roman" w:eastAsia="方正书宋_GBK" w:cs="Times New Roman"/>
                <w:b/>
              </w:rPr>
            </w:pPr>
          </w:p>
        </w:tc>
        <w:tc>
          <w:tcPr>
            <w:tcW w:w="317" w:type="pct"/>
            <w:shd w:val="clear" w:color="auto" w:fill="auto"/>
            <w:vAlign w:val="center"/>
          </w:tcPr>
          <w:p>
            <w:pPr>
              <w:spacing w:line="300" w:lineRule="exact"/>
              <w:jc w:val="right"/>
              <w:rPr>
                <w:rFonts w:ascii="Times New Roman"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秦皇岛北戴河新区党群工作部小计</w:t>
            </w:r>
          </w:p>
        </w:tc>
        <w:tc>
          <w:tcPr>
            <w:tcW w:w="377" w:type="pct"/>
            <w:shd w:val="clear" w:color="auto" w:fill="auto"/>
            <w:vAlign w:val="center"/>
          </w:tcPr>
          <w:p>
            <w:pPr>
              <w:spacing w:line="300" w:lineRule="exact"/>
              <w:jc w:val="right"/>
              <w:rPr>
                <w:rFonts w:ascii="Times New Roman" w:hAnsi="Times New Roman" w:eastAsia="方正书宋_GBK" w:cs="Times New Roman"/>
                <w:b/>
              </w:rPr>
            </w:pPr>
          </w:p>
        </w:tc>
        <w:tc>
          <w:tcPr>
            <w:tcW w:w="334" w:type="pct"/>
            <w:shd w:val="clear" w:color="auto" w:fill="auto"/>
            <w:vAlign w:val="center"/>
          </w:tcPr>
          <w:p>
            <w:pPr>
              <w:spacing w:line="300" w:lineRule="exact"/>
              <w:jc w:val="left"/>
              <w:rPr>
                <w:rFonts w:ascii="Times New Roman" w:hAnsi="Times New Roman" w:eastAsia="方正书宋_GBK" w:cs="Times New Roman"/>
                <w:b/>
              </w:rPr>
            </w:pPr>
          </w:p>
        </w:tc>
        <w:tc>
          <w:tcPr>
            <w:tcW w:w="338" w:type="pct"/>
            <w:shd w:val="clear" w:color="auto" w:fill="auto"/>
            <w:vAlign w:val="center"/>
          </w:tcPr>
          <w:p>
            <w:pPr>
              <w:spacing w:line="300" w:lineRule="exact"/>
              <w:jc w:val="left"/>
              <w:rPr>
                <w:rFonts w:ascii="Times New Roman" w:hAnsi="Times New Roman" w:eastAsia="方正书宋_GBK" w:cs="Times New Roman"/>
                <w:b/>
              </w:rPr>
            </w:pPr>
          </w:p>
        </w:tc>
        <w:tc>
          <w:tcPr>
            <w:tcW w:w="261" w:type="pct"/>
            <w:shd w:val="clear" w:color="auto" w:fill="auto"/>
            <w:vAlign w:val="center"/>
          </w:tcPr>
          <w:p>
            <w:pPr>
              <w:spacing w:line="300" w:lineRule="exact"/>
              <w:jc w:val="left"/>
              <w:rPr>
                <w:rFonts w:ascii="Times New Roman" w:hAnsi="Times New Roman" w:eastAsia="方正书宋_GBK" w:cs="Times New Roman"/>
                <w:b/>
              </w:rPr>
            </w:pPr>
          </w:p>
        </w:tc>
        <w:tc>
          <w:tcPr>
            <w:tcW w:w="261" w:type="pct"/>
            <w:shd w:val="clear" w:color="auto" w:fill="auto"/>
            <w:vAlign w:val="center"/>
          </w:tcPr>
          <w:p>
            <w:pPr>
              <w:spacing w:line="300" w:lineRule="exact"/>
              <w:jc w:val="right"/>
              <w:rPr>
                <w:rFonts w:ascii="Times New Roman" w:hAnsi="Times New Roman" w:eastAsia="方正书宋_GBK" w:cs="Times New Roman"/>
                <w:b/>
              </w:rPr>
            </w:pPr>
          </w:p>
        </w:tc>
        <w:tc>
          <w:tcPr>
            <w:tcW w:w="290" w:type="pct"/>
            <w:shd w:val="clear" w:color="auto" w:fill="auto"/>
            <w:vAlign w:val="center"/>
          </w:tcPr>
          <w:p>
            <w:pPr>
              <w:spacing w:line="300" w:lineRule="exact"/>
              <w:jc w:val="right"/>
              <w:rPr>
                <w:rFonts w:ascii="Times New Roman" w:hAnsi="Times New Roman" w:eastAsia="方正书宋_GBK" w:cs="Times New Roman"/>
                <w:b/>
              </w:rPr>
            </w:pPr>
          </w:p>
        </w:tc>
        <w:tc>
          <w:tcPr>
            <w:tcW w:w="330" w:type="pct"/>
            <w:shd w:val="clear" w:color="auto" w:fill="auto"/>
            <w:vAlign w:val="center"/>
          </w:tcPr>
          <w:p>
            <w:pPr>
              <w:spacing w:line="300" w:lineRule="exact"/>
              <w:jc w:val="right"/>
              <w:rPr>
                <w:rFonts w:ascii="Times New Roman" w:hAnsi="Times New Roman" w:eastAsia="方正书宋_GBK" w:cs="Times New Roman"/>
                <w:b/>
              </w:rPr>
            </w:pPr>
            <w:r>
              <w:rPr>
                <w:rFonts w:ascii="Times New Roman" w:hAnsi="Times New Roman" w:eastAsia="方正书宋_GBK" w:cs="Times New Roman"/>
                <w:b/>
              </w:rPr>
              <w:t>108.20</w:t>
            </w:r>
          </w:p>
        </w:tc>
        <w:tc>
          <w:tcPr>
            <w:tcW w:w="330" w:type="pct"/>
            <w:shd w:val="clear" w:color="auto" w:fill="auto"/>
            <w:vAlign w:val="center"/>
          </w:tcPr>
          <w:p>
            <w:pPr>
              <w:spacing w:line="300" w:lineRule="exact"/>
              <w:jc w:val="right"/>
              <w:rPr>
                <w:rFonts w:ascii="Times New Roman" w:hAnsi="Times New Roman" w:eastAsia="方正书宋_GBK" w:cs="Times New Roman"/>
                <w:b/>
              </w:rPr>
            </w:pPr>
            <w:r>
              <w:rPr>
                <w:rFonts w:ascii="Times New Roman" w:hAnsi="Times New Roman" w:eastAsia="方正书宋_GBK" w:cs="Times New Roman"/>
                <w:b/>
              </w:rPr>
              <w:t>108.20</w:t>
            </w:r>
          </w:p>
        </w:tc>
        <w:tc>
          <w:tcPr>
            <w:tcW w:w="330" w:type="pct"/>
            <w:shd w:val="clear" w:color="auto" w:fill="auto"/>
            <w:vAlign w:val="center"/>
          </w:tcPr>
          <w:p>
            <w:pPr>
              <w:spacing w:line="300" w:lineRule="exact"/>
              <w:jc w:val="right"/>
              <w:rPr>
                <w:rFonts w:ascii="Times New Roman" w:hAnsi="Times New Roman" w:eastAsia="方正书宋_GBK" w:cs="Times New Roman"/>
                <w:b/>
              </w:rPr>
            </w:pPr>
            <w:r>
              <w:rPr>
                <w:rFonts w:ascii="Times New Roman" w:hAnsi="Times New Roman" w:eastAsia="方正书宋_GBK" w:cs="Times New Roman"/>
                <w:b/>
              </w:rPr>
              <w:t>108.20</w:t>
            </w:r>
          </w:p>
        </w:tc>
        <w:tc>
          <w:tcPr>
            <w:tcW w:w="330" w:type="pct"/>
            <w:shd w:val="clear" w:color="auto" w:fill="auto"/>
            <w:vAlign w:val="center"/>
          </w:tcPr>
          <w:p>
            <w:pPr>
              <w:spacing w:line="300" w:lineRule="exact"/>
              <w:jc w:val="right"/>
              <w:rPr>
                <w:rFonts w:ascii="Times New Roman" w:hAnsi="Times New Roman" w:eastAsia="方正书宋_GBK" w:cs="Times New Roman"/>
                <w:b/>
              </w:rPr>
            </w:pPr>
          </w:p>
        </w:tc>
        <w:tc>
          <w:tcPr>
            <w:tcW w:w="331" w:type="pct"/>
            <w:shd w:val="clear" w:color="auto" w:fill="auto"/>
            <w:vAlign w:val="center"/>
          </w:tcPr>
          <w:p>
            <w:pPr>
              <w:spacing w:line="300" w:lineRule="exact"/>
              <w:jc w:val="right"/>
              <w:rPr>
                <w:rFonts w:ascii="Times New Roman" w:hAnsi="Times New Roman" w:eastAsia="方正书宋_GBK" w:cs="Times New Roman"/>
                <w:b/>
              </w:rPr>
            </w:pPr>
          </w:p>
        </w:tc>
        <w:tc>
          <w:tcPr>
            <w:tcW w:w="331" w:type="pct"/>
            <w:shd w:val="clear" w:color="auto" w:fill="auto"/>
            <w:vAlign w:val="center"/>
          </w:tcPr>
          <w:p>
            <w:pPr>
              <w:spacing w:line="300" w:lineRule="exact"/>
              <w:jc w:val="right"/>
              <w:rPr>
                <w:rFonts w:ascii="Times New Roman" w:hAnsi="Times New Roman" w:eastAsia="方正书宋_GBK" w:cs="Times New Roman"/>
                <w:b/>
              </w:rPr>
            </w:pPr>
          </w:p>
        </w:tc>
        <w:tc>
          <w:tcPr>
            <w:tcW w:w="317" w:type="pct"/>
            <w:shd w:val="clear" w:color="auto" w:fill="auto"/>
            <w:vAlign w:val="center"/>
          </w:tcPr>
          <w:p>
            <w:pPr>
              <w:spacing w:line="300" w:lineRule="exact"/>
              <w:jc w:val="right"/>
              <w:rPr>
                <w:rFonts w:ascii="Times New Roman"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社保业务管理及社保基金监管经费（含协办员补贴）</w:t>
            </w:r>
          </w:p>
        </w:tc>
        <w:tc>
          <w:tcPr>
            <w:tcW w:w="377"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50.00</w:t>
            </w:r>
          </w:p>
        </w:tc>
        <w:tc>
          <w:tcPr>
            <w:tcW w:w="334"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货物</w:t>
            </w:r>
          </w:p>
        </w:tc>
        <w:tc>
          <w:tcPr>
            <w:tcW w:w="338"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A</w:t>
            </w:r>
          </w:p>
        </w:tc>
        <w:tc>
          <w:tcPr>
            <w:tcW w:w="261" w:type="pct"/>
            <w:shd w:val="clear" w:color="auto" w:fill="auto"/>
            <w:vAlign w:val="center"/>
          </w:tcPr>
          <w:p>
            <w:pPr>
              <w:spacing w:line="300" w:lineRule="exact"/>
              <w:jc w:val="left"/>
              <w:rPr>
                <w:rFonts w:ascii="Times New Roman" w:hAnsi="Times New Roman" w:eastAsia="方正书宋_GBK" w:cs="Times New Roman"/>
              </w:rPr>
            </w:pPr>
          </w:p>
        </w:tc>
        <w:tc>
          <w:tcPr>
            <w:tcW w:w="261"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54.00</w:t>
            </w:r>
          </w:p>
        </w:tc>
        <w:tc>
          <w:tcPr>
            <w:tcW w:w="29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0.50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27.00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27.00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27.00</w:t>
            </w:r>
          </w:p>
        </w:tc>
        <w:tc>
          <w:tcPr>
            <w:tcW w:w="330" w:type="pct"/>
            <w:shd w:val="clear" w:color="auto" w:fill="auto"/>
            <w:vAlign w:val="center"/>
          </w:tcPr>
          <w:p>
            <w:pPr>
              <w:spacing w:line="300" w:lineRule="exact"/>
              <w:jc w:val="right"/>
              <w:rPr>
                <w:rFonts w:ascii="Times New Roman" w:hAnsi="Times New Roman" w:eastAsia="方正书宋_GBK" w:cs="Times New Roman"/>
              </w:rPr>
            </w:pPr>
          </w:p>
        </w:tc>
        <w:tc>
          <w:tcPr>
            <w:tcW w:w="331" w:type="pct"/>
            <w:shd w:val="clear" w:color="auto" w:fill="auto"/>
            <w:vAlign w:val="center"/>
          </w:tcPr>
          <w:p>
            <w:pPr>
              <w:spacing w:line="300" w:lineRule="exact"/>
              <w:jc w:val="right"/>
              <w:rPr>
                <w:rFonts w:ascii="Times New Roman" w:hAnsi="Times New Roman" w:eastAsia="方正书宋_GBK" w:cs="Times New Roman"/>
              </w:rPr>
            </w:pPr>
          </w:p>
        </w:tc>
        <w:tc>
          <w:tcPr>
            <w:tcW w:w="331" w:type="pct"/>
            <w:shd w:val="clear" w:color="auto" w:fill="auto"/>
            <w:vAlign w:val="center"/>
          </w:tcPr>
          <w:p>
            <w:pPr>
              <w:spacing w:line="300" w:lineRule="exact"/>
              <w:jc w:val="right"/>
              <w:rPr>
                <w:rFonts w:ascii="Times New Roman" w:hAnsi="Times New Roman" w:eastAsia="方正书宋_GBK" w:cs="Times New Roman"/>
              </w:rPr>
            </w:pPr>
          </w:p>
        </w:tc>
        <w:tc>
          <w:tcPr>
            <w:tcW w:w="317" w:type="pct"/>
            <w:shd w:val="clear" w:color="auto" w:fill="auto"/>
            <w:vAlign w:val="center"/>
          </w:tcPr>
          <w:p>
            <w:pPr>
              <w:spacing w:line="300" w:lineRule="exact"/>
              <w:jc w:val="right"/>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日常公用经费</w:t>
            </w:r>
          </w:p>
        </w:tc>
        <w:tc>
          <w:tcPr>
            <w:tcW w:w="377"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127.74</w:t>
            </w:r>
          </w:p>
        </w:tc>
        <w:tc>
          <w:tcPr>
            <w:tcW w:w="334"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货物</w:t>
            </w:r>
          </w:p>
        </w:tc>
        <w:tc>
          <w:tcPr>
            <w:tcW w:w="338"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A</w:t>
            </w:r>
          </w:p>
        </w:tc>
        <w:tc>
          <w:tcPr>
            <w:tcW w:w="261" w:type="pct"/>
            <w:shd w:val="clear" w:color="auto" w:fill="auto"/>
            <w:vAlign w:val="center"/>
          </w:tcPr>
          <w:p>
            <w:pPr>
              <w:spacing w:line="300" w:lineRule="exact"/>
              <w:jc w:val="left"/>
              <w:rPr>
                <w:rFonts w:ascii="Times New Roman" w:hAnsi="Times New Roman" w:eastAsia="方正书宋_GBK" w:cs="Times New Roman"/>
              </w:rPr>
            </w:pPr>
          </w:p>
        </w:tc>
        <w:tc>
          <w:tcPr>
            <w:tcW w:w="261"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10.00</w:t>
            </w:r>
          </w:p>
        </w:tc>
        <w:tc>
          <w:tcPr>
            <w:tcW w:w="29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0.38</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3.80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3.80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3.80</w:t>
            </w:r>
          </w:p>
        </w:tc>
        <w:tc>
          <w:tcPr>
            <w:tcW w:w="330" w:type="pct"/>
            <w:shd w:val="clear" w:color="auto" w:fill="auto"/>
            <w:vAlign w:val="center"/>
          </w:tcPr>
          <w:p>
            <w:pPr>
              <w:spacing w:line="300" w:lineRule="exact"/>
              <w:jc w:val="right"/>
              <w:rPr>
                <w:rFonts w:ascii="Times New Roman" w:hAnsi="Times New Roman" w:eastAsia="方正书宋_GBK" w:cs="Times New Roman"/>
              </w:rPr>
            </w:pPr>
          </w:p>
        </w:tc>
        <w:tc>
          <w:tcPr>
            <w:tcW w:w="331" w:type="pct"/>
            <w:shd w:val="clear" w:color="auto" w:fill="auto"/>
            <w:vAlign w:val="center"/>
          </w:tcPr>
          <w:p>
            <w:pPr>
              <w:spacing w:line="300" w:lineRule="exact"/>
              <w:jc w:val="right"/>
              <w:rPr>
                <w:rFonts w:ascii="Times New Roman" w:hAnsi="Times New Roman" w:eastAsia="方正书宋_GBK" w:cs="Times New Roman"/>
              </w:rPr>
            </w:pPr>
          </w:p>
        </w:tc>
        <w:tc>
          <w:tcPr>
            <w:tcW w:w="331" w:type="pct"/>
            <w:shd w:val="clear" w:color="auto" w:fill="auto"/>
            <w:vAlign w:val="center"/>
          </w:tcPr>
          <w:p>
            <w:pPr>
              <w:spacing w:line="300" w:lineRule="exact"/>
              <w:jc w:val="right"/>
              <w:rPr>
                <w:rFonts w:ascii="Times New Roman" w:hAnsi="Times New Roman" w:eastAsia="方正书宋_GBK" w:cs="Times New Roman"/>
              </w:rPr>
            </w:pPr>
          </w:p>
        </w:tc>
        <w:tc>
          <w:tcPr>
            <w:tcW w:w="317" w:type="pct"/>
            <w:shd w:val="clear" w:color="auto" w:fill="auto"/>
            <w:vAlign w:val="center"/>
          </w:tcPr>
          <w:p>
            <w:pPr>
              <w:spacing w:line="300" w:lineRule="exact"/>
              <w:jc w:val="right"/>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就业及劳动监察、仲裁业务费</w:t>
            </w:r>
          </w:p>
        </w:tc>
        <w:tc>
          <w:tcPr>
            <w:tcW w:w="377"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6.00</w:t>
            </w:r>
          </w:p>
        </w:tc>
        <w:tc>
          <w:tcPr>
            <w:tcW w:w="334"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货物</w:t>
            </w:r>
          </w:p>
        </w:tc>
        <w:tc>
          <w:tcPr>
            <w:tcW w:w="338"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A</w:t>
            </w:r>
          </w:p>
        </w:tc>
        <w:tc>
          <w:tcPr>
            <w:tcW w:w="261" w:type="pct"/>
            <w:shd w:val="clear" w:color="auto" w:fill="auto"/>
            <w:vAlign w:val="center"/>
          </w:tcPr>
          <w:p>
            <w:pPr>
              <w:spacing w:line="300" w:lineRule="exact"/>
              <w:jc w:val="left"/>
              <w:rPr>
                <w:rFonts w:ascii="Times New Roman" w:hAnsi="Times New Roman" w:eastAsia="方正书宋_GBK" w:cs="Times New Roman"/>
              </w:rPr>
            </w:pPr>
          </w:p>
        </w:tc>
        <w:tc>
          <w:tcPr>
            <w:tcW w:w="261"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5.00</w:t>
            </w:r>
          </w:p>
        </w:tc>
        <w:tc>
          <w:tcPr>
            <w:tcW w:w="29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0.28</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1.40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1.40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1.40</w:t>
            </w:r>
          </w:p>
        </w:tc>
        <w:tc>
          <w:tcPr>
            <w:tcW w:w="330" w:type="pct"/>
            <w:shd w:val="clear" w:color="auto" w:fill="auto"/>
            <w:vAlign w:val="center"/>
          </w:tcPr>
          <w:p>
            <w:pPr>
              <w:spacing w:line="300" w:lineRule="exact"/>
              <w:jc w:val="right"/>
              <w:rPr>
                <w:rFonts w:ascii="Times New Roman" w:hAnsi="Times New Roman" w:eastAsia="方正书宋_GBK" w:cs="Times New Roman"/>
              </w:rPr>
            </w:pPr>
          </w:p>
        </w:tc>
        <w:tc>
          <w:tcPr>
            <w:tcW w:w="331" w:type="pct"/>
            <w:shd w:val="clear" w:color="auto" w:fill="auto"/>
            <w:vAlign w:val="center"/>
          </w:tcPr>
          <w:p>
            <w:pPr>
              <w:spacing w:line="300" w:lineRule="exact"/>
              <w:jc w:val="right"/>
              <w:rPr>
                <w:rFonts w:ascii="Times New Roman" w:hAnsi="Times New Roman" w:eastAsia="方正书宋_GBK" w:cs="Times New Roman"/>
              </w:rPr>
            </w:pPr>
          </w:p>
        </w:tc>
        <w:tc>
          <w:tcPr>
            <w:tcW w:w="331" w:type="pct"/>
            <w:shd w:val="clear" w:color="auto" w:fill="auto"/>
            <w:vAlign w:val="center"/>
          </w:tcPr>
          <w:p>
            <w:pPr>
              <w:spacing w:line="300" w:lineRule="exact"/>
              <w:jc w:val="right"/>
              <w:rPr>
                <w:rFonts w:ascii="Times New Roman" w:hAnsi="Times New Roman" w:eastAsia="方正书宋_GBK" w:cs="Times New Roman"/>
              </w:rPr>
            </w:pPr>
          </w:p>
        </w:tc>
        <w:tc>
          <w:tcPr>
            <w:tcW w:w="317" w:type="pct"/>
            <w:shd w:val="clear" w:color="auto" w:fill="auto"/>
            <w:vAlign w:val="center"/>
          </w:tcPr>
          <w:p>
            <w:pPr>
              <w:spacing w:line="300" w:lineRule="exact"/>
              <w:jc w:val="right"/>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人力资源事务管理经费</w:t>
            </w:r>
          </w:p>
        </w:tc>
        <w:tc>
          <w:tcPr>
            <w:tcW w:w="377"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15.00</w:t>
            </w:r>
          </w:p>
        </w:tc>
        <w:tc>
          <w:tcPr>
            <w:tcW w:w="334"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货物</w:t>
            </w:r>
          </w:p>
        </w:tc>
        <w:tc>
          <w:tcPr>
            <w:tcW w:w="338"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A</w:t>
            </w:r>
          </w:p>
        </w:tc>
        <w:tc>
          <w:tcPr>
            <w:tcW w:w="261" w:type="pct"/>
            <w:shd w:val="clear" w:color="auto" w:fill="auto"/>
            <w:vAlign w:val="center"/>
          </w:tcPr>
          <w:p>
            <w:pPr>
              <w:spacing w:line="300" w:lineRule="exact"/>
              <w:jc w:val="left"/>
              <w:rPr>
                <w:rFonts w:ascii="Times New Roman" w:hAnsi="Times New Roman" w:eastAsia="方正书宋_GBK" w:cs="Times New Roman"/>
              </w:rPr>
            </w:pPr>
          </w:p>
        </w:tc>
        <w:tc>
          <w:tcPr>
            <w:tcW w:w="261"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10.00</w:t>
            </w:r>
          </w:p>
        </w:tc>
        <w:tc>
          <w:tcPr>
            <w:tcW w:w="29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0.50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5.00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5.00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5.00</w:t>
            </w:r>
          </w:p>
        </w:tc>
        <w:tc>
          <w:tcPr>
            <w:tcW w:w="330" w:type="pct"/>
            <w:shd w:val="clear" w:color="auto" w:fill="auto"/>
            <w:vAlign w:val="center"/>
          </w:tcPr>
          <w:p>
            <w:pPr>
              <w:spacing w:line="300" w:lineRule="exact"/>
              <w:jc w:val="right"/>
              <w:rPr>
                <w:rFonts w:ascii="Times New Roman" w:hAnsi="Times New Roman" w:eastAsia="方正书宋_GBK" w:cs="Times New Roman"/>
              </w:rPr>
            </w:pPr>
          </w:p>
        </w:tc>
        <w:tc>
          <w:tcPr>
            <w:tcW w:w="331" w:type="pct"/>
            <w:shd w:val="clear" w:color="auto" w:fill="auto"/>
            <w:vAlign w:val="center"/>
          </w:tcPr>
          <w:p>
            <w:pPr>
              <w:spacing w:line="300" w:lineRule="exact"/>
              <w:jc w:val="right"/>
              <w:rPr>
                <w:rFonts w:ascii="Times New Roman" w:hAnsi="Times New Roman" w:eastAsia="方正书宋_GBK" w:cs="Times New Roman"/>
              </w:rPr>
            </w:pPr>
          </w:p>
        </w:tc>
        <w:tc>
          <w:tcPr>
            <w:tcW w:w="331" w:type="pct"/>
            <w:shd w:val="clear" w:color="auto" w:fill="auto"/>
            <w:vAlign w:val="center"/>
          </w:tcPr>
          <w:p>
            <w:pPr>
              <w:spacing w:line="300" w:lineRule="exact"/>
              <w:jc w:val="right"/>
              <w:rPr>
                <w:rFonts w:ascii="Times New Roman" w:hAnsi="Times New Roman" w:eastAsia="方正书宋_GBK" w:cs="Times New Roman"/>
              </w:rPr>
            </w:pPr>
          </w:p>
        </w:tc>
        <w:tc>
          <w:tcPr>
            <w:tcW w:w="317" w:type="pct"/>
            <w:shd w:val="clear" w:color="auto" w:fill="auto"/>
            <w:vAlign w:val="center"/>
          </w:tcPr>
          <w:p>
            <w:pPr>
              <w:spacing w:line="300" w:lineRule="exact"/>
              <w:jc w:val="right"/>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基层党建及组织工作经费（含非公党建）</w:t>
            </w:r>
          </w:p>
        </w:tc>
        <w:tc>
          <w:tcPr>
            <w:tcW w:w="377"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45.00</w:t>
            </w:r>
          </w:p>
        </w:tc>
        <w:tc>
          <w:tcPr>
            <w:tcW w:w="334"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货物</w:t>
            </w:r>
          </w:p>
        </w:tc>
        <w:tc>
          <w:tcPr>
            <w:tcW w:w="338"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A</w:t>
            </w:r>
          </w:p>
        </w:tc>
        <w:tc>
          <w:tcPr>
            <w:tcW w:w="261" w:type="pct"/>
            <w:shd w:val="clear" w:color="auto" w:fill="auto"/>
            <w:vAlign w:val="center"/>
          </w:tcPr>
          <w:p>
            <w:pPr>
              <w:spacing w:line="300" w:lineRule="exact"/>
              <w:jc w:val="left"/>
              <w:rPr>
                <w:rFonts w:ascii="Times New Roman" w:hAnsi="Times New Roman" w:eastAsia="方正书宋_GBK" w:cs="Times New Roman"/>
              </w:rPr>
            </w:pPr>
          </w:p>
        </w:tc>
        <w:tc>
          <w:tcPr>
            <w:tcW w:w="261"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14.00</w:t>
            </w:r>
          </w:p>
        </w:tc>
        <w:tc>
          <w:tcPr>
            <w:tcW w:w="29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0.50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7.00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7.00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7.00</w:t>
            </w:r>
          </w:p>
        </w:tc>
        <w:tc>
          <w:tcPr>
            <w:tcW w:w="330" w:type="pct"/>
            <w:shd w:val="clear" w:color="auto" w:fill="auto"/>
            <w:vAlign w:val="center"/>
          </w:tcPr>
          <w:p>
            <w:pPr>
              <w:spacing w:line="300" w:lineRule="exact"/>
              <w:jc w:val="right"/>
              <w:rPr>
                <w:rFonts w:ascii="Times New Roman" w:hAnsi="Times New Roman" w:eastAsia="方正书宋_GBK" w:cs="Times New Roman"/>
              </w:rPr>
            </w:pPr>
          </w:p>
        </w:tc>
        <w:tc>
          <w:tcPr>
            <w:tcW w:w="331" w:type="pct"/>
            <w:shd w:val="clear" w:color="auto" w:fill="auto"/>
            <w:vAlign w:val="center"/>
          </w:tcPr>
          <w:p>
            <w:pPr>
              <w:spacing w:line="300" w:lineRule="exact"/>
              <w:jc w:val="right"/>
              <w:rPr>
                <w:rFonts w:ascii="Times New Roman" w:hAnsi="Times New Roman" w:eastAsia="方正书宋_GBK" w:cs="Times New Roman"/>
              </w:rPr>
            </w:pPr>
          </w:p>
        </w:tc>
        <w:tc>
          <w:tcPr>
            <w:tcW w:w="331" w:type="pct"/>
            <w:shd w:val="clear" w:color="auto" w:fill="auto"/>
            <w:vAlign w:val="center"/>
          </w:tcPr>
          <w:p>
            <w:pPr>
              <w:spacing w:line="300" w:lineRule="exact"/>
              <w:jc w:val="right"/>
              <w:rPr>
                <w:rFonts w:ascii="Times New Roman" w:hAnsi="Times New Roman" w:eastAsia="方正书宋_GBK" w:cs="Times New Roman"/>
              </w:rPr>
            </w:pPr>
          </w:p>
        </w:tc>
        <w:tc>
          <w:tcPr>
            <w:tcW w:w="317" w:type="pct"/>
            <w:shd w:val="clear" w:color="auto" w:fill="auto"/>
            <w:vAlign w:val="center"/>
          </w:tcPr>
          <w:p>
            <w:pPr>
              <w:spacing w:line="300" w:lineRule="exact"/>
              <w:jc w:val="right"/>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综治及防范工作经费</w:t>
            </w:r>
          </w:p>
        </w:tc>
        <w:tc>
          <w:tcPr>
            <w:tcW w:w="377"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18.00</w:t>
            </w:r>
          </w:p>
        </w:tc>
        <w:tc>
          <w:tcPr>
            <w:tcW w:w="334"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货物</w:t>
            </w:r>
          </w:p>
        </w:tc>
        <w:tc>
          <w:tcPr>
            <w:tcW w:w="338"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A</w:t>
            </w:r>
          </w:p>
        </w:tc>
        <w:tc>
          <w:tcPr>
            <w:tcW w:w="261" w:type="pct"/>
            <w:shd w:val="clear" w:color="auto" w:fill="auto"/>
            <w:vAlign w:val="center"/>
          </w:tcPr>
          <w:p>
            <w:pPr>
              <w:spacing w:line="300" w:lineRule="exact"/>
              <w:jc w:val="left"/>
              <w:rPr>
                <w:rFonts w:ascii="Times New Roman" w:hAnsi="Times New Roman" w:eastAsia="方正书宋_GBK" w:cs="Times New Roman"/>
              </w:rPr>
            </w:pPr>
          </w:p>
        </w:tc>
        <w:tc>
          <w:tcPr>
            <w:tcW w:w="261"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6.00</w:t>
            </w:r>
          </w:p>
        </w:tc>
        <w:tc>
          <w:tcPr>
            <w:tcW w:w="29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0.50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3.00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3.00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3.00</w:t>
            </w:r>
          </w:p>
        </w:tc>
        <w:tc>
          <w:tcPr>
            <w:tcW w:w="330" w:type="pct"/>
            <w:shd w:val="clear" w:color="auto" w:fill="auto"/>
            <w:vAlign w:val="center"/>
          </w:tcPr>
          <w:p>
            <w:pPr>
              <w:spacing w:line="300" w:lineRule="exact"/>
              <w:jc w:val="right"/>
              <w:rPr>
                <w:rFonts w:ascii="Times New Roman" w:hAnsi="Times New Roman" w:eastAsia="方正书宋_GBK" w:cs="Times New Roman"/>
              </w:rPr>
            </w:pPr>
          </w:p>
        </w:tc>
        <w:tc>
          <w:tcPr>
            <w:tcW w:w="331" w:type="pct"/>
            <w:shd w:val="clear" w:color="auto" w:fill="auto"/>
            <w:vAlign w:val="center"/>
          </w:tcPr>
          <w:p>
            <w:pPr>
              <w:spacing w:line="300" w:lineRule="exact"/>
              <w:jc w:val="right"/>
              <w:rPr>
                <w:rFonts w:ascii="Times New Roman" w:hAnsi="Times New Roman" w:eastAsia="方正书宋_GBK" w:cs="Times New Roman"/>
              </w:rPr>
            </w:pPr>
          </w:p>
        </w:tc>
        <w:tc>
          <w:tcPr>
            <w:tcW w:w="331" w:type="pct"/>
            <w:shd w:val="clear" w:color="auto" w:fill="auto"/>
            <w:vAlign w:val="center"/>
          </w:tcPr>
          <w:p>
            <w:pPr>
              <w:spacing w:line="300" w:lineRule="exact"/>
              <w:jc w:val="right"/>
              <w:rPr>
                <w:rFonts w:ascii="Times New Roman" w:hAnsi="Times New Roman" w:eastAsia="方正书宋_GBK" w:cs="Times New Roman"/>
              </w:rPr>
            </w:pPr>
          </w:p>
        </w:tc>
        <w:tc>
          <w:tcPr>
            <w:tcW w:w="317" w:type="pct"/>
            <w:shd w:val="clear" w:color="auto" w:fill="auto"/>
            <w:vAlign w:val="center"/>
          </w:tcPr>
          <w:p>
            <w:pPr>
              <w:spacing w:line="300" w:lineRule="exact"/>
              <w:jc w:val="right"/>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社区戒毒社区康复工作经费</w:t>
            </w:r>
          </w:p>
        </w:tc>
        <w:tc>
          <w:tcPr>
            <w:tcW w:w="377"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15.00</w:t>
            </w:r>
          </w:p>
        </w:tc>
        <w:tc>
          <w:tcPr>
            <w:tcW w:w="334"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货物</w:t>
            </w:r>
          </w:p>
        </w:tc>
        <w:tc>
          <w:tcPr>
            <w:tcW w:w="338"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A</w:t>
            </w:r>
          </w:p>
        </w:tc>
        <w:tc>
          <w:tcPr>
            <w:tcW w:w="261" w:type="pct"/>
            <w:shd w:val="clear" w:color="auto" w:fill="auto"/>
            <w:vAlign w:val="center"/>
          </w:tcPr>
          <w:p>
            <w:pPr>
              <w:spacing w:line="300" w:lineRule="exact"/>
              <w:jc w:val="left"/>
              <w:rPr>
                <w:rFonts w:ascii="Times New Roman" w:hAnsi="Times New Roman" w:eastAsia="方正书宋_GBK" w:cs="Times New Roman"/>
              </w:rPr>
            </w:pPr>
          </w:p>
        </w:tc>
        <w:tc>
          <w:tcPr>
            <w:tcW w:w="261"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4.00</w:t>
            </w:r>
          </w:p>
        </w:tc>
        <w:tc>
          <w:tcPr>
            <w:tcW w:w="29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0.50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2.00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2.00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2.00</w:t>
            </w:r>
          </w:p>
        </w:tc>
        <w:tc>
          <w:tcPr>
            <w:tcW w:w="330" w:type="pct"/>
            <w:shd w:val="clear" w:color="auto" w:fill="auto"/>
            <w:vAlign w:val="center"/>
          </w:tcPr>
          <w:p>
            <w:pPr>
              <w:spacing w:line="300" w:lineRule="exact"/>
              <w:jc w:val="right"/>
              <w:rPr>
                <w:rFonts w:ascii="Times New Roman" w:hAnsi="Times New Roman" w:eastAsia="方正书宋_GBK" w:cs="Times New Roman"/>
              </w:rPr>
            </w:pPr>
          </w:p>
        </w:tc>
        <w:tc>
          <w:tcPr>
            <w:tcW w:w="331" w:type="pct"/>
            <w:shd w:val="clear" w:color="auto" w:fill="auto"/>
            <w:vAlign w:val="center"/>
          </w:tcPr>
          <w:p>
            <w:pPr>
              <w:spacing w:line="300" w:lineRule="exact"/>
              <w:jc w:val="right"/>
              <w:rPr>
                <w:rFonts w:ascii="Times New Roman" w:hAnsi="Times New Roman" w:eastAsia="方正书宋_GBK" w:cs="Times New Roman"/>
              </w:rPr>
            </w:pPr>
          </w:p>
        </w:tc>
        <w:tc>
          <w:tcPr>
            <w:tcW w:w="331" w:type="pct"/>
            <w:shd w:val="clear" w:color="auto" w:fill="auto"/>
            <w:vAlign w:val="center"/>
          </w:tcPr>
          <w:p>
            <w:pPr>
              <w:spacing w:line="300" w:lineRule="exact"/>
              <w:jc w:val="right"/>
              <w:rPr>
                <w:rFonts w:ascii="Times New Roman" w:hAnsi="Times New Roman" w:eastAsia="方正书宋_GBK" w:cs="Times New Roman"/>
              </w:rPr>
            </w:pPr>
          </w:p>
        </w:tc>
        <w:tc>
          <w:tcPr>
            <w:tcW w:w="317" w:type="pct"/>
            <w:shd w:val="clear" w:color="auto" w:fill="auto"/>
            <w:vAlign w:val="center"/>
          </w:tcPr>
          <w:p>
            <w:pPr>
              <w:spacing w:line="300" w:lineRule="exact"/>
              <w:jc w:val="right"/>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宣传工作经费（含十九大宣传、网络安全及信息化管理等）</w:t>
            </w:r>
          </w:p>
        </w:tc>
        <w:tc>
          <w:tcPr>
            <w:tcW w:w="377"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100.00</w:t>
            </w:r>
          </w:p>
        </w:tc>
        <w:tc>
          <w:tcPr>
            <w:tcW w:w="334"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货物</w:t>
            </w:r>
          </w:p>
        </w:tc>
        <w:tc>
          <w:tcPr>
            <w:tcW w:w="338"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A</w:t>
            </w:r>
          </w:p>
        </w:tc>
        <w:tc>
          <w:tcPr>
            <w:tcW w:w="261" w:type="pct"/>
            <w:shd w:val="clear" w:color="auto" w:fill="auto"/>
            <w:vAlign w:val="center"/>
          </w:tcPr>
          <w:p>
            <w:pPr>
              <w:spacing w:line="300" w:lineRule="exact"/>
              <w:jc w:val="left"/>
              <w:rPr>
                <w:rFonts w:ascii="Times New Roman" w:hAnsi="Times New Roman" w:eastAsia="方正书宋_GBK" w:cs="Times New Roman"/>
              </w:rPr>
            </w:pPr>
          </w:p>
        </w:tc>
        <w:tc>
          <w:tcPr>
            <w:tcW w:w="261"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10.00</w:t>
            </w:r>
          </w:p>
        </w:tc>
        <w:tc>
          <w:tcPr>
            <w:tcW w:w="29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0.50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5.00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5.00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5.00</w:t>
            </w:r>
          </w:p>
        </w:tc>
        <w:tc>
          <w:tcPr>
            <w:tcW w:w="330" w:type="pct"/>
            <w:shd w:val="clear" w:color="auto" w:fill="auto"/>
            <w:vAlign w:val="center"/>
          </w:tcPr>
          <w:p>
            <w:pPr>
              <w:spacing w:line="300" w:lineRule="exact"/>
              <w:jc w:val="right"/>
              <w:rPr>
                <w:rFonts w:ascii="Times New Roman" w:hAnsi="Times New Roman" w:eastAsia="方正书宋_GBK" w:cs="Times New Roman"/>
              </w:rPr>
            </w:pPr>
          </w:p>
        </w:tc>
        <w:tc>
          <w:tcPr>
            <w:tcW w:w="331" w:type="pct"/>
            <w:shd w:val="clear" w:color="auto" w:fill="auto"/>
            <w:vAlign w:val="center"/>
          </w:tcPr>
          <w:p>
            <w:pPr>
              <w:spacing w:line="300" w:lineRule="exact"/>
              <w:jc w:val="right"/>
              <w:rPr>
                <w:rFonts w:ascii="Times New Roman" w:hAnsi="Times New Roman" w:eastAsia="方正书宋_GBK" w:cs="Times New Roman"/>
              </w:rPr>
            </w:pPr>
          </w:p>
        </w:tc>
        <w:tc>
          <w:tcPr>
            <w:tcW w:w="331" w:type="pct"/>
            <w:shd w:val="clear" w:color="auto" w:fill="auto"/>
            <w:vAlign w:val="center"/>
          </w:tcPr>
          <w:p>
            <w:pPr>
              <w:spacing w:line="300" w:lineRule="exact"/>
              <w:jc w:val="right"/>
              <w:rPr>
                <w:rFonts w:ascii="Times New Roman" w:hAnsi="Times New Roman" w:eastAsia="方正书宋_GBK" w:cs="Times New Roman"/>
              </w:rPr>
            </w:pPr>
          </w:p>
        </w:tc>
        <w:tc>
          <w:tcPr>
            <w:tcW w:w="317" w:type="pct"/>
            <w:shd w:val="clear" w:color="auto" w:fill="auto"/>
            <w:vAlign w:val="center"/>
          </w:tcPr>
          <w:p>
            <w:pPr>
              <w:spacing w:line="300" w:lineRule="exact"/>
              <w:jc w:val="right"/>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新闻中心及电视台（记者站）运行经费</w:t>
            </w:r>
          </w:p>
        </w:tc>
        <w:tc>
          <w:tcPr>
            <w:tcW w:w="377"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50.00</w:t>
            </w:r>
          </w:p>
        </w:tc>
        <w:tc>
          <w:tcPr>
            <w:tcW w:w="334"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货物</w:t>
            </w:r>
          </w:p>
        </w:tc>
        <w:tc>
          <w:tcPr>
            <w:tcW w:w="338"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A</w:t>
            </w:r>
          </w:p>
        </w:tc>
        <w:tc>
          <w:tcPr>
            <w:tcW w:w="261" w:type="pct"/>
            <w:shd w:val="clear" w:color="auto" w:fill="auto"/>
            <w:vAlign w:val="center"/>
          </w:tcPr>
          <w:p>
            <w:pPr>
              <w:spacing w:line="300" w:lineRule="exact"/>
              <w:jc w:val="left"/>
              <w:rPr>
                <w:rFonts w:ascii="Times New Roman" w:hAnsi="Times New Roman" w:eastAsia="方正书宋_GBK" w:cs="Times New Roman"/>
              </w:rPr>
            </w:pPr>
          </w:p>
        </w:tc>
        <w:tc>
          <w:tcPr>
            <w:tcW w:w="261"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72.00</w:t>
            </w:r>
          </w:p>
        </w:tc>
        <w:tc>
          <w:tcPr>
            <w:tcW w:w="29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0.50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36.00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36.00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36.00</w:t>
            </w:r>
          </w:p>
        </w:tc>
        <w:tc>
          <w:tcPr>
            <w:tcW w:w="330" w:type="pct"/>
            <w:shd w:val="clear" w:color="auto" w:fill="auto"/>
            <w:vAlign w:val="center"/>
          </w:tcPr>
          <w:p>
            <w:pPr>
              <w:spacing w:line="300" w:lineRule="exact"/>
              <w:jc w:val="right"/>
              <w:rPr>
                <w:rFonts w:ascii="Times New Roman" w:hAnsi="Times New Roman" w:eastAsia="方正书宋_GBK" w:cs="Times New Roman"/>
              </w:rPr>
            </w:pPr>
          </w:p>
        </w:tc>
        <w:tc>
          <w:tcPr>
            <w:tcW w:w="331" w:type="pct"/>
            <w:shd w:val="clear" w:color="auto" w:fill="auto"/>
            <w:vAlign w:val="center"/>
          </w:tcPr>
          <w:p>
            <w:pPr>
              <w:spacing w:line="300" w:lineRule="exact"/>
              <w:jc w:val="right"/>
              <w:rPr>
                <w:rFonts w:ascii="Times New Roman" w:hAnsi="Times New Roman" w:eastAsia="方正书宋_GBK" w:cs="Times New Roman"/>
              </w:rPr>
            </w:pPr>
          </w:p>
        </w:tc>
        <w:tc>
          <w:tcPr>
            <w:tcW w:w="331" w:type="pct"/>
            <w:shd w:val="clear" w:color="auto" w:fill="auto"/>
            <w:vAlign w:val="center"/>
          </w:tcPr>
          <w:p>
            <w:pPr>
              <w:spacing w:line="300" w:lineRule="exact"/>
              <w:jc w:val="right"/>
              <w:rPr>
                <w:rFonts w:ascii="Times New Roman" w:hAnsi="Times New Roman" w:eastAsia="方正书宋_GBK" w:cs="Times New Roman"/>
              </w:rPr>
            </w:pPr>
          </w:p>
        </w:tc>
        <w:tc>
          <w:tcPr>
            <w:tcW w:w="317" w:type="pct"/>
            <w:shd w:val="clear" w:color="auto" w:fill="auto"/>
            <w:vAlign w:val="center"/>
          </w:tcPr>
          <w:p>
            <w:pPr>
              <w:spacing w:line="300" w:lineRule="exact"/>
              <w:jc w:val="right"/>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机关党委工作经费（含民主党派、民族宗教、群众团体）</w:t>
            </w:r>
          </w:p>
        </w:tc>
        <w:tc>
          <w:tcPr>
            <w:tcW w:w="377"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15.00</w:t>
            </w:r>
          </w:p>
        </w:tc>
        <w:tc>
          <w:tcPr>
            <w:tcW w:w="334"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货物</w:t>
            </w:r>
          </w:p>
        </w:tc>
        <w:tc>
          <w:tcPr>
            <w:tcW w:w="338"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A</w:t>
            </w:r>
          </w:p>
        </w:tc>
        <w:tc>
          <w:tcPr>
            <w:tcW w:w="261" w:type="pct"/>
            <w:shd w:val="clear" w:color="auto" w:fill="auto"/>
            <w:vAlign w:val="center"/>
          </w:tcPr>
          <w:p>
            <w:pPr>
              <w:spacing w:line="300" w:lineRule="exact"/>
              <w:jc w:val="left"/>
              <w:rPr>
                <w:rFonts w:ascii="Times New Roman" w:hAnsi="Times New Roman" w:eastAsia="方正书宋_GBK" w:cs="Times New Roman"/>
              </w:rPr>
            </w:pPr>
          </w:p>
        </w:tc>
        <w:tc>
          <w:tcPr>
            <w:tcW w:w="261"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6.00</w:t>
            </w:r>
          </w:p>
        </w:tc>
        <w:tc>
          <w:tcPr>
            <w:tcW w:w="29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0.50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3.00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3.00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3.00</w:t>
            </w:r>
          </w:p>
        </w:tc>
        <w:tc>
          <w:tcPr>
            <w:tcW w:w="330" w:type="pct"/>
            <w:shd w:val="clear" w:color="auto" w:fill="auto"/>
            <w:vAlign w:val="center"/>
          </w:tcPr>
          <w:p>
            <w:pPr>
              <w:spacing w:line="300" w:lineRule="exact"/>
              <w:jc w:val="right"/>
              <w:rPr>
                <w:rFonts w:ascii="Times New Roman" w:hAnsi="Times New Roman" w:eastAsia="方正书宋_GBK" w:cs="Times New Roman"/>
              </w:rPr>
            </w:pPr>
          </w:p>
        </w:tc>
        <w:tc>
          <w:tcPr>
            <w:tcW w:w="331" w:type="pct"/>
            <w:shd w:val="clear" w:color="auto" w:fill="auto"/>
            <w:vAlign w:val="center"/>
          </w:tcPr>
          <w:p>
            <w:pPr>
              <w:spacing w:line="300" w:lineRule="exact"/>
              <w:jc w:val="right"/>
              <w:rPr>
                <w:rFonts w:ascii="Times New Roman" w:hAnsi="Times New Roman" w:eastAsia="方正书宋_GBK" w:cs="Times New Roman"/>
              </w:rPr>
            </w:pPr>
          </w:p>
        </w:tc>
        <w:tc>
          <w:tcPr>
            <w:tcW w:w="331" w:type="pct"/>
            <w:shd w:val="clear" w:color="auto" w:fill="auto"/>
            <w:vAlign w:val="center"/>
          </w:tcPr>
          <w:p>
            <w:pPr>
              <w:spacing w:line="300" w:lineRule="exact"/>
              <w:jc w:val="right"/>
              <w:rPr>
                <w:rFonts w:ascii="Times New Roman" w:hAnsi="Times New Roman" w:eastAsia="方正书宋_GBK" w:cs="Times New Roman"/>
              </w:rPr>
            </w:pPr>
          </w:p>
        </w:tc>
        <w:tc>
          <w:tcPr>
            <w:tcW w:w="317" w:type="pct"/>
            <w:shd w:val="clear" w:color="auto" w:fill="auto"/>
            <w:vAlign w:val="center"/>
          </w:tcPr>
          <w:p>
            <w:pPr>
              <w:spacing w:line="300" w:lineRule="exact"/>
              <w:jc w:val="right"/>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扫黑除恶工作经费</w:t>
            </w:r>
          </w:p>
        </w:tc>
        <w:tc>
          <w:tcPr>
            <w:tcW w:w="377"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120.00</w:t>
            </w:r>
          </w:p>
        </w:tc>
        <w:tc>
          <w:tcPr>
            <w:tcW w:w="334"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货物</w:t>
            </w:r>
          </w:p>
        </w:tc>
        <w:tc>
          <w:tcPr>
            <w:tcW w:w="338"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A</w:t>
            </w:r>
          </w:p>
        </w:tc>
        <w:tc>
          <w:tcPr>
            <w:tcW w:w="261" w:type="pct"/>
            <w:shd w:val="clear" w:color="auto" w:fill="auto"/>
            <w:vAlign w:val="center"/>
          </w:tcPr>
          <w:p>
            <w:pPr>
              <w:spacing w:line="300" w:lineRule="exact"/>
              <w:jc w:val="left"/>
              <w:rPr>
                <w:rFonts w:ascii="Times New Roman" w:hAnsi="Times New Roman" w:eastAsia="方正书宋_GBK" w:cs="Times New Roman"/>
              </w:rPr>
            </w:pPr>
          </w:p>
        </w:tc>
        <w:tc>
          <w:tcPr>
            <w:tcW w:w="261"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20.00</w:t>
            </w:r>
          </w:p>
        </w:tc>
        <w:tc>
          <w:tcPr>
            <w:tcW w:w="29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0.50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10.00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10.00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10.00</w:t>
            </w:r>
          </w:p>
        </w:tc>
        <w:tc>
          <w:tcPr>
            <w:tcW w:w="330" w:type="pct"/>
            <w:shd w:val="clear" w:color="auto" w:fill="auto"/>
            <w:vAlign w:val="center"/>
          </w:tcPr>
          <w:p>
            <w:pPr>
              <w:spacing w:line="300" w:lineRule="exact"/>
              <w:jc w:val="right"/>
              <w:rPr>
                <w:rFonts w:ascii="Times New Roman" w:hAnsi="Times New Roman" w:eastAsia="方正书宋_GBK" w:cs="Times New Roman"/>
              </w:rPr>
            </w:pPr>
          </w:p>
        </w:tc>
        <w:tc>
          <w:tcPr>
            <w:tcW w:w="331" w:type="pct"/>
            <w:shd w:val="clear" w:color="auto" w:fill="auto"/>
            <w:vAlign w:val="center"/>
          </w:tcPr>
          <w:p>
            <w:pPr>
              <w:spacing w:line="300" w:lineRule="exact"/>
              <w:jc w:val="right"/>
              <w:rPr>
                <w:rFonts w:ascii="Times New Roman" w:hAnsi="Times New Roman" w:eastAsia="方正书宋_GBK" w:cs="Times New Roman"/>
              </w:rPr>
            </w:pPr>
          </w:p>
        </w:tc>
        <w:tc>
          <w:tcPr>
            <w:tcW w:w="331" w:type="pct"/>
            <w:shd w:val="clear" w:color="auto" w:fill="auto"/>
            <w:vAlign w:val="center"/>
          </w:tcPr>
          <w:p>
            <w:pPr>
              <w:spacing w:line="300" w:lineRule="exact"/>
              <w:jc w:val="right"/>
              <w:rPr>
                <w:rFonts w:ascii="Times New Roman" w:hAnsi="Times New Roman" w:eastAsia="方正书宋_GBK" w:cs="Times New Roman"/>
              </w:rPr>
            </w:pPr>
          </w:p>
        </w:tc>
        <w:tc>
          <w:tcPr>
            <w:tcW w:w="317" w:type="pct"/>
            <w:shd w:val="clear" w:color="auto" w:fill="auto"/>
            <w:vAlign w:val="center"/>
          </w:tcPr>
          <w:p>
            <w:pPr>
              <w:spacing w:line="300" w:lineRule="exact"/>
              <w:jc w:val="right"/>
              <w:rPr>
                <w:rFonts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司法业务经费（含人民调解、社区矫正、安置帮教等）</w:t>
            </w:r>
          </w:p>
        </w:tc>
        <w:tc>
          <w:tcPr>
            <w:tcW w:w="377"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18.00</w:t>
            </w:r>
          </w:p>
        </w:tc>
        <w:tc>
          <w:tcPr>
            <w:tcW w:w="334"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货物</w:t>
            </w:r>
          </w:p>
        </w:tc>
        <w:tc>
          <w:tcPr>
            <w:tcW w:w="338" w:type="pct"/>
            <w:shd w:val="clear" w:color="auto" w:fill="auto"/>
            <w:vAlign w:val="center"/>
          </w:tcPr>
          <w:p>
            <w:pPr>
              <w:spacing w:line="300" w:lineRule="exact"/>
              <w:jc w:val="left"/>
              <w:rPr>
                <w:rFonts w:ascii="Times New Roman" w:hAnsi="Times New Roman" w:eastAsia="方正书宋_GBK" w:cs="Times New Roman"/>
              </w:rPr>
            </w:pPr>
            <w:r>
              <w:rPr>
                <w:rFonts w:ascii="Times New Roman" w:hAnsi="Times New Roman" w:eastAsia="方正书宋_GBK" w:cs="Times New Roman"/>
              </w:rPr>
              <w:t>A</w:t>
            </w:r>
          </w:p>
        </w:tc>
        <w:tc>
          <w:tcPr>
            <w:tcW w:w="261" w:type="pct"/>
            <w:shd w:val="clear" w:color="auto" w:fill="auto"/>
            <w:vAlign w:val="center"/>
          </w:tcPr>
          <w:p>
            <w:pPr>
              <w:spacing w:line="300" w:lineRule="exact"/>
              <w:jc w:val="left"/>
              <w:rPr>
                <w:rFonts w:ascii="Times New Roman" w:hAnsi="Times New Roman" w:eastAsia="方正书宋_GBK" w:cs="Times New Roman"/>
              </w:rPr>
            </w:pPr>
          </w:p>
        </w:tc>
        <w:tc>
          <w:tcPr>
            <w:tcW w:w="261"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10.00</w:t>
            </w:r>
          </w:p>
        </w:tc>
        <w:tc>
          <w:tcPr>
            <w:tcW w:w="29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0.50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5.00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5.00</w:t>
            </w:r>
          </w:p>
        </w:tc>
        <w:tc>
          <w:tcPr>
            <w:tcW w:w="330" w:type="pct"/>
            <w:shd w:val="clear" w:color="auto" w:fill="auto"/>
            <w:vAlign w:val="center"/>
          </w:tcPr>
          <w:p>
            <w:pPr>
              <w:spacing w:line="300" w:lineRule="exact"/>
              <w:jc w:val="right"/>
              <w:rPr>
                <w:rFonts w:ascii="Times New Roman" w:hAnsi="Times New Roman" w:eastAsia="方正书宋_GBK" w:cs="Times New Roman"/>
              </w:rPr>
            </w:pPr>
            <w:r>
              <w:rPr>
                <w:rFonts w:ascii="Times New Roman" w:hAnsi="Times New Roman" w:eastAsia="方正书宋_GBK" w:cs="Times New Roman"/>
              </w:rPr>
              <w:t>5.00</w:t>
            </w:r>
          </w:p>
        </w:tc>
        <w:tc>
          <w:tcPr>
            <w:tcW w:w="330" w:type="pct"/>
            <w:shd w:val="clear" w:color="auto" w:fill="auto"/>
            <w:vAlign w:val="center"/>
          </w:tcPr>
          <w:p>
            <w:pPr>
              <w:spacing w:line="300" w:lineRule="exact"/>
              <w:jc w:val="right"/>
              <w:rPr>
                <w:rFonts w:ascii="Times New Roman" w:hAnsi="Times New Roman" w:eastAsia="方正书宋_GBK" w:cs="Times New Roman"/>
              </w:rPr>
            </w:pPr>
          </w:p>
        </w:tc>
        <w:tc>
          <w:tcPr>
            <w:tcW w:w="331" w:type="pct"/>
            <w:shd w:val="clear" w:color="auto" w:fill="auto"/>
            <w:vAlign w:val="center"/>
          </w:tcPr>
          <w:p>
            <w:pPr>
              <w:spacing w:line="300" w:lineRule="exact"/>
              <w:jc w:val="right"/>
              <w:rPr>
                <w:rFonts w:ascii="Times New Roman" w:hAnsi="Times New Roman" w:eastAsia="方正书宋_GBK" w:cs="Times New Roman"/>
              </w:rPr>
            </w:pPr>
          </w:p>
        </w:tc>
        <w:tc>
          <w:tcPr>
            <w:tcW w:w="331" w:type="pct"/>
            <w:shd w:val="clear" w:color="auto" w:fill="auto"/>
            <w:vAlign w:val="center"/>
          </w:tcPr>
          <w:p>
            <w:pPr>
              <w:spacing w:line="300" w:lineRule="exact"/>
              <w:jc w:val="right"/>
              <w:rPr>
                <w:rFonts w:ascii="Times New Roman" w:hAnsi="Times New Roman" w:eastAsia="方正书宋_GBK" w:cs="Times New Roman"/>
              </w:rPr>
            </w:pPr>
          </w:p>
        </w:tc>
        <w:tc>
          <w:tcPr>
            <w:tcW w:w="317" w:type="pct"/>
            <w:shd w:val="clear" w:color="auto" w:fill="auto"/>
            <w:vAlign w:val="center"/>
          </w:tcPr>
          <w:p>
            <w:pPr>
              <w:spacing w:line="300" w:lineRule="exact"/>
              <w:jc w:val="right"/>
              <w:rPr>
                <w:rFonts w:ascii="Times New Roman" w:hAnsi="Times New Roman" w:eastAsia="方正书宋_GBK" w:cs="Times New Roman"/>
              </w:rPr>
            </w:pPr>
          </w:p>
        </w:tc>
      </w:tr>
    </w:tbl>
    <w:p>
      <w:pPr>
        <w:spacing w:line="300" w:lineRule="exact"/>
        <w:jc w:val="left"/>
        <w:outlineLvl w:val="0"/>
        <w:rPr>
          <w:rFonts w:ascii="Times New Roman" w:hAnsi="Times New Roman" w:cs="Times New Roman"/>
        </w:rPr>
        <w:sectPr>
          <w:pgSz w:w="16839" w:h="11907" w:orient="landscape"/>
          <w:pgMar w:top="1361" w:right="1020" w:bottom="1361" w:left="1020" w:header="851" w:footer="992" w:gutter="0"/>
          <w:cols w:space="425" w:num="1"/>
          <w:docGrid w:type="lines" w:linePitch="312" w:charSpace="0"/>
        </w:sectPr>
      </w:pPr>
    </w:p>
    <w:p>
      <w:pPr>
        <w:rPr>
          <w:rFonts w:ascii="Times New Roman" w:hAnsi="Times New Roman" w:eastAsia="方正仿宋简体" w:cs="Times New Roman"/>
          <w:sz w:val="32"/>
          <w:szCs w:val="24"/>
        </w:rPr>
      </w:pPr>
    </w:p>
    <w:p>
      <w:pPr>
        <w:ind w:firstLine="640"/>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上年末固定资产金额为268.25万元（详见下表），主要为计算机、打印机、办公桌等，均是20万元以下的设备。本年度因机构改革调整，办公人员增加拟购置计算机、打印机等固定资产，均是20万元以下的设备。</w:t>
      </w:r>
    </w:p>
    <w:p>
      <w:pPr>
        <w:ind w:firstLine="640"/>
        <w:rPr>
          <w:rFonts w:ascii="Times New Roman" w:hAnsi="Times New Roman" w:eastAsia="方正仿宋简体" w:cs="Times New Roman"/>
          <w:sz w:val="32"/>
          <w:szCs w:val="32"/>
        </w:rPr>
      </w:pPr>
    </w:p>
    <w:tbl>
      <w:tblPr>
        <w:tblStyle w:val="9"/>
        <w:tblW w:w="8440" w:type="dxa"/>
        <w:tblInd w:w="93" w:type="dxa"/>
        <w:tblLayout w:type="fixed"/>
        <w:tblCellMar>
          <w:top w:w="0" w:type="dxa"/>
          <w:left w:w="108" w:type="dxa"/>
          <w:bottom w:w="0" w:type="dxa"/>
          <w:right w:w="108" w:type="dxa"/>
        </w:tblCellMar>
      </w:tblPr>
      <w:tblGrid>
        <w:gridCol w:w="3270"/>
        <w:gridCol w:w="1975"/>
        <w:gridCol w:w="3195"/>
      </w:tblGrid>
      <w:tr>
        <w:tblPrEx>
          <w:tblCellMar>
            <w:top w:w="0" w:type="dxa"/>
            <w:left w:w="108" w:type="dxa"/>
            <w:bottom w:w="0" w:type="dxa"/>
            <w:right w:w="108" w:type="dxa"/>
          </w:tblCellMar>
        </w:tblPrEx>
        <w:trPr>
          <w:trHeight w:val="669" w:hRule="atLeast"/>
        </w:trPr>
        <w:tc>
          <w:tcPr>
            <w:tcW w:w="8440" w:type="dxa"/>
            <w:gridSpan w:val="3"/>
            <w:tcBorders>
              <w:top w:val="nil"/>
              <w:left w:val="nil"/>
              <w:bottom w:val="nil"/>
              <w:right w:val="nil"/>
            </w:tcBorders>
            <w:vAlign w:val="center"/>
          </w:tcPr>
          <w:p>
            <w:pPr>
              <w:widowControl/>
              <w:jc w:val="center"/>
              <w:rPr>
                <w:rFonts w:ascii="Times New Roman" w:hAnsi="Times New Roman" w:cs="Times New Roman"/>
                <w:b/>
                <w:bCs/>
                <w:kern w:val="0"/>
                <w:sz w:val="32"/>
                <w:szCs w:val="32"/>
              </w:rPr>
            </w:pPr>
            <w:r>
              <w:rPr>
                <w:rFonts w:ascii="Times New Roman" w:hAnsi="宋体" w:cs="Times New Roman"/>
                <w:b/>
                <w:bCs/>
                <w:kern w:val="0"/>
                <w:sz w:val="32"/>
                <w:szCs w:val="32"/>
              </w:rPr>
              <w:t>部门固定资产占用情况表</w:t>
            </w:r>
          </w:p>
        </w:tc>
      </w:tr>
      <w:tr>
        <w:tblPrEx>
          <w:tblCellMar>
            <w:top w:w="0" w:type="dxa"/>
            <w:left w:w="108" w:type="dxa"/>
            <w:bottom w:w="0" w:type="dxa"/>
            <w:right w:w="108" w:type="dxa"/>
          </w:tblCellMar>
        </w:tblPrEx>
        <w:trPr>
          <w:trHeight w:val="484" w:hRule="atLeast"/>
        </w:trPr>
        <w:tc>
          <w:tcPr>
            <w:tcW w:w="5245" w:type="dxa"/>
            <w:gridSpan w:val="2"/>
            <w:tcBorders>
              <w:top w:val="nil"/>
              <w:left w:val="nil"/>
              <w:bottom w:val="nil"/>
              <w:right w:val="nil"/>
            </w:tcBorders>
            <w:vAlign w:val="center"/>
          </w:tcPr>
          <w:p>
            <w:pPr>
              <w:widowControl/>
              <w:jc w:val="left"/>
              <w:rPr>
                <w:rFonts w:ascii="Times New Roman" w:hAnsi="Times New Roman" w:cs="Times New Roman"/>
                <w:kern w:val="0"/>
                <w:sz w:val="22"/>
              </w:rPr>
            </w:pPr>
            <w:r>
              <w:rPr>
                <w:rFonts w:ascii="Times New Roman" w:hAnsi="宋体" w:cs="Times New Roman"/>
                <w:kern w:val="0"/>
                <w:sz w:val="22"/>
              </w:rPr>
              <w:t>编制部门：秦皇岛北戴河新区党群工作部</w:t>
            </w:r>
          </w:p>
        </w:tc>
        <w:tc>
          <w:tcPr>
            <w:tcW w:w="3195" w:type="dxa"/>
            <w:tcBorders>
              <w:top w:val="nil"/>
              <w:left w:val="nil"/>
              <w:bottom w:val="nil"/>
              <w:right w:val="nil"/>
            </w:tcBorders>
            <w:vAlign w:val="center"/>
          </w:tcPr>
          <w:p>
            <w:pPr>
              <w:widowControl/>
              <w:jc w:val="left"/>
              <w:rPr>
                <w:rFonts w:ascii="Times New Roman" w:hAnsi="Times New Roman" w:cs="Times New Roman"/>
                <w:kern w:val="0"/>
                <w:sz w:val="22"/>
              </w:rPr>
            </w:pPr>
            <w:r>
              <w:rPr>
                <w:rFonts w:ascii="Times New Roman" w:hAnsi="宋体" w:cs="Times New Roman"/>
                <w:kern w:val="0"/>
                <w:sz w:val="22"/>
              </w:rPr>
              <w:t>截止时间：</w:t>
            </w:r>
            <w:r>
              <w:rPr>
                <w:rFonts w:ascii="Times New Roman" w:hAnsi="Times New Roman" w:cs="Times New Roman"/>
                <w:kern w:val="0"/>
                <w:sz w:val="22"/>
              </w:rPr>
              <w:t>2018</w:t>
            </w:r>
            <w:r>
              <w:rPr>
                <w:rFonts w:ascii="Times New Roman" w:hAnsi="宋体" w:cs="Times New Roman"/>
                <w:kern w:val="0"/>
                <w:sz w:val="22"/>
              </w:rPr>
              <w:t>年</w:t>
            </w:r>
            <w:r>
              <w:rPr>
                <w:rFonts w:ascii="Times New Roman" w:hAnsi="Times New Roman" w:cs="Times New Roman"/>
                <w:kern w:val="0"/>
                <w:sz w:val="22"/>
              </w:rPr>
              <w:t>12</w:t>
            </w:r>
            <w:r>
              <w:rPr>
                <w:rFonts w:ascii="Times New Roman" w:hAnsi="宋体" w:cs="Times New Roman"/>
                <w:kern w:val="0"/>
                <w:sz w:val="22"/>
              </w:rPr>
              <w:t>月</w:t>
            </w:r>
            <w:r>
              <w:rPr>
                <w:rFonts w:ascii="Times New Roman" w:hAnsi="Times New Roman" w:cs="Times New Roman"/>
                <w:kern w:val="0"/>
                <w:sz w:val="22"/>
              </w:rPr>
              <w:t>31</w:t>
            </w:r>
            <w:r>
              <w:rPr>
                <w:rFonts w:ascii="Times New Roman" w:hAnsi="宋体" w:cs="Times New Roman"/>
                <w:kern w:val="0"/>
                <w:sz w:val="22"/>
              </w:rPr>
              <w:t>日</w:t>
            </w:r>
            <w:r>
              <w:rPr>
                <w:rFonts w:ascii="Times New Roman" w:hAnsi="Times New Roman" w:cs="Times New Roman"/>
                <w:kern w:val="0"/>
                <w:sz w:val="22"/>
              </w:rPr>
              <w:t xml:space="preserve">  </w:t>
            </w:r>
          </w:p>
        </w:tc>
      </w:tr>
      <w:tr>
        <w:tblPrEx>
          <w:tblCellMar>
            <w:top w:w="0" w:type="dxa"/>
            <w:left w:w="108" w:type="dxa"/>
            <w:bottom w:w="0" w:type="dxa"/>
            <w:right w:w="108" w:type="dxa"/>
          </w:tblCellMar>
        </w:tblPrEx>
        <w:trPr>
          <w:trHeight w:val="622" w:hRule="atLeast"/>
        </w:trPr>
        <w:tc>
          <w:tcPr>
            <w:tcW w:w="32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kern w:val="0"/>
                <w:sz w:val="22"/>
              </w:rPr>
            </w:pPr>
            <w:r>
              <w:rPr>
                <w:rFonts w:ascii="Times New Roman" w:hAnsi="宋体" w:cs="Times New Roman"/>
                <w:b/>
                <w:bCs/>
                <w:kern w:val="0"/>
                <w:sz w:val="22"/>
              </w:rPr>
              <w:t>项</w:t>
            </w:r>
            <w:r>
              <w:rPr>
                <w:rFonts w:ascii="Times New Roman" w:hAnsi="Times New Roman" w:cs="Times New Roman"/>
                <w:b/>
                <w:bCs/>
                <w:kern w:val="0"/>
                <w:sz w:val="22"/>
              </w:rPr>
              <w:t xml:space="preserve">   </w:t>
            </w:r>
            <w:r>
              <w:rPr>
                <w:rFonts w:ascii="Times New Roman" w:hAnsi="宋体" w:cs="Times New Roman"/>
                <w:b/>
                <w:bCs/>
                <w:kern w:val="0"/>
                <w:sz w:val="22"/>
              </w:rPr>
              <w:t>目</w:t>
            </w:r>
          </w:p>
        </w:tc>
        <w:tc>
          <w:tcPr>
            <w:tcW w:w="19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kern w:val="0"/>
                <w:sz w:val="22"/>
              </w:rPr>
            </w:pPr>
            <w:r>
              <w:rPr>
                <w:rFonts w:ascii="Times New Roman" w:hAnsi="宋体" w:cs="Times New Roman"/>
                <w:b/>
                <w:bCs/>
                <w:kern w:val="0"/>
                <w:sz w:val="22"/>
              </w:rPr>
              <w:t>数量</w:t>
            </w:r>
          </w:p>
        </w:tc>
        <w:tc>
          <w:tcPr>
            <w:tcW w:w="319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kern w:val="0"/>
                <w:sz w:val="22"/>
              </w:rPr>
            </w:pPr>
            <w:r>
              <w:rPr>
                <w:rFonts w:ascii="Times New Roman" w:hAnsi="宋体" w:cs="Times New Roman"/>
                <w:b/>
                <w:bCs/>
                <w:kern w:val="0"/>
                <w:sz w:val="22"/>
              </w:rPr>
              <w:t>价值（金额单位：万元）</w:t>
            </w:r>
          </w:p>
        </w:tc>
      </w:tr>
      <w:tr>
        <w:tblPrEx>
          <w:tblCellMar>
            <w:top w:w="0" w:type="dxa"/>
            <w:left w:w="108" w:type="dxa"/>
            <w:bottom w:w="0" w:type="dxa"/>
            <w:right w:w="108" w:type="dxa"/>
          </w:tblCellMar>
        </w:tblPrEx>
        <w:trPr>
          <w:trHeight w:val="622" w:hRule="atLeast"/>
        </w:trPr>
        <w:tc>
          <w:tcPr>
            <w:tcW w:w="327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ascii="Times New Roman" w:hAnsi="宋体" w:cs="Times New Roman"/>
                <w:kern w:val="0"/>
                <w:sz w:val="22"/>
              </w:rPr>
              <w:t>资产总额</w:t>
            </w:r>
          </w:p>
        </w:tc>
        <w:tc>
          <w:tcPr>
            <w:tcW w:w="1975"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ascii="Times New Roman" w:hAnsi="Times New Roman" w:cs="Times New Roman"/>
                <w:kern w:val="0"/>
                <w:sz w:val="22"/>
              </w:rPr>
              <w:t>——</w:t>
            </w:r>
          </w:p>
        </w:tc>
        <w:tc>
          <w:tcPr>
            <w:tcW w:w="3195"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ascii="Times New Roman" w:hAnsi="Times New Roman" w:eastAsia="方正仿宋简体" w:cs="Times New Roman"/>
                <w:sz w:val="32"/>
                <w:szCs w:val="32"/>
              </w:rPr>
              <w:t>268.25</w:t>
            </w:r>
          </w:p>
        </w:tc>
      </w:tr>
      <w:tr>
        <w:tblPrEx>
          <w:tblCellMar>
            <w:top w:w="0" w:type="dxa"/>
            <w:left w:w="108" w:type="dxa"/>
            <w:bottom w:w="0" w:type="dxa"/>
            <w:right w:w="108" w:type="dxa"/>
          </w:tblCellMar>
        </w:tblPrEx>
        <w:trPr>
          <w:trHeight w:val="622" w:hRule="atLeast"/>
        </w:trPr>
        <w:tc>
          <w:tcPr>
            <w:tcW w:w="327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ascii="Times New Roman" w:hAnsi="Times New Roman" w:cs="Times New Roman"/>
                <w:kern w:val="0"/>
                <w:sz w:val="22"/>
              </w:rPr>
              <w:t>1</w:t>
            </w:r>
            <w:r>
              <w:rPr>
                <w:rFonts w:ascii="Times New Roman" w:hAnsi="宋体" w:cs="Times New Roman"/>
                <w:kern w:val="0"/>
                <w:sz w:val="22"/>
              </w:rPr>
              <w:t>、房屋（平方米）</w:t>
            </w:r>
          </w:p>
        </w:tc>
        <w:tc>
          <w:tcPr>
            <w:tcW w:w="1975"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p>
        </w:tc>
        <w:tc>
          <w:tcPr>
            <w:tcW w:w="3195"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622" w:hRule="atLeast"/>
        </w:trPr>
        <w:tc>
          <w:tcPr>
            <w:tcW w:w="327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ascii="Times New Roman" w:hAnsi="Times New Roman" w:cs="Times New Roman"/>
                <w:kern w:val="0"/>
                <w:sz w:val="22"/>
              </w:rPr>
              <w:t xml:space="preserve">  </w:t>
            </w:r>
            <w:r>
              <w:rPr>
                <w:rFonts w:ascii="Times New Roman" w:hAnsi="宋体" w:cs="Times New Roman"/>
                <w:kern w:val="0"/>
                <w:sz w:val="22"/>
              </w:rPr>
              <w:t>其中：办公用房（平方米）</w:t>
            </w:r>
          </w:p>
        </w:tc>
        <w:tc>
          <w:tcPr>
            <w:tcW w:w="1975"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p>
        </w:tc>
        <w:tc>
          <w:tcPr>
            <w:tcW w:w="3195"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622" w:hRule="atLeast"/>
        </w:trPr>
        <w:tc>
          <w:tcPr>
            <w:tcW w:w="327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ascii="Times New Roman" w:hAnsi="Times New Roman" w:cs="Times New Roman"/>
                <w:kern w:val="0"/>
                <w:sz w:val="22"/>
              </w:rPr>
              <w:t>2</w:t>
            </w:r>
            <w:r>
              <w:rPr>
                <w:rFonts w:ascii="Times New Roman" w:hAnsi="宋体" w:cs="Times New Roman"/>
                <w:kern w:val="0"/>
                <w:sz w:val="22"/>
              </w:rPr>
              <w:t>、车辆（台、辆）</w:t>
            </w:r>
          </w:p>
        </w:tc>
        <w:tc>
          <w:tcPr>
            <w:tcW w:w="1975"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p>
        </w:tc>
        <w:tc>
          <w:tcPr>
            <w:tcW w:w="3195"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622" w:hRule="atLeast"/>
        </w:trPr>
        <w:tc>
          <w:tcPr>
            <w:tcW w:w="327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ascii="Times New Roman" w:hAnsi="Times New Roman" w:cs="Times New Roman"/>
                <w:kern w:val="0"/>
                <w:sz w:val="22"/>
              </w:rPr>
              <w:t>3</w:t>
            </w:r>
            <w:r>
              <w:rPr>
                <w:rFonts w:ascii="Times New Roman" w:hAnsi="宋体" w:cs="Times New Roman"/>
                <w:kern w:val="0"/>
                <w:sz w:val="22"/>
              </w:rPr>
              <w:t>、单价在</w:t>
            </w:r>
            <w:r>
              <w:rPr>
                <w:rFonts w:ascii="Times New Roman" w:hAnsi="Times New Roman" w:cs="Times New Roman"/>
                <w:kern w:val="0"/>
                <w:sz w:val="22"/>
              </w:rPr>
              <w:t>20</w:t>
            </w:r>
            <w:r>
              <w:rPr>
                <w:rFonts w:ascii="Times New Roman" w:hAnsi="宋体" w:cs="Times New Roman"/>
                <w:kern w:val="0"/>
                <w:sz w:val="22"/>
              </w:rPr>
              <w:t>万元以上设备</w:t>
            </w:r>
          </w:p>
        </w:tc>
        <w:tc>
          <w:tcPr>
            <w:tcW w:w="1975"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ascii="Times New Roman" w:hAnsi="Times New Roman" w:cs="Times New Roman"/>
                <w:kern w:val="0"/>
                <w:sz w:val="22"/>
              </w:rPr>
              <w:t>——</w:t>
            </w:r>
          </w:p>
        </w:tc>
        <w:tc>
          <w:tcPr>
            <w:tcW w:w="3195"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631" w:hRule="atLeast"/>
        </w:trPr>
        <w:tc>
          <w:tcPr>
            <w:tcW w:w="327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2"/>
              </w:rPr>
            </w:pPr>
            <w:r>
              <w:rPr>
                <w:rFonts w:ascii="Times New Roman" w:hAnsi="Times New Roman" w:cs="Times New Roman"/>
                <w:kern w:val="0"/>
                <w:sz w:val="22"/>
              </w:rPr>
              <w:t>4</w:t>
            </w:r>
            <w:r>
              <w:rPr>
                <w:rFonts w:ascii="Times New Roman" w:hAnsi="宋体" w:cs="Times New Roman"/>
                <w:kern w:val="0"/>
                <w:sz w:val="22"/>
              </w:rPr>
              <w:t>、其他固定资产</w:t>
            </w:r>
          </w:p>
        </w:tc>
        <w:tc>
          <w:tcPr>
            <w:tcW w:w="1975"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ascii="Times New Roman" w:hAnsi="Times New Roman" w:cs="Times New Roman"/>
                <w:kern w:val="0"/>
                <w:sz w:val="22"/>
              </w:rPr>
              <w:t>——</w:t>
            </w:r>
          </w:p>
        </w:tc>
        <w:tc>
          <w:tcPr>
            <w:tcW w:w="3195"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ascii="Times New Roman" w:hAnsi="Times New Roman" w:eastAsia="方正仿宋简体" w:cs="Times New Roman"/>
                <w:sz w:val="32"/>
                <w:szCs w:val="32"/>
              </w:rPr>
              <w:t>268.25</w:t>
            </w:r>
          </w:p>
        </w:tc>
      </w:tr>
    </w:tbl>
    <w:p>
      <w:pPr>
        <w:ind w:firstLine="640"/>
        <w:rPr>
          <w:rFonts w:ascii="Times New Roman" w:hAnsi="Times New Roman" w:eastAsia="黑体" w:cs="Times New Roman"/>
          <w:sz w:val="32"/>
          <w:szCs w:val="32"/>
        </w:rPr>
      </w:pPr>
      <w:r>
        <w:rPr>
          <w:rFonts w:ascii="Times New Roman" w:hAnsi="黑体" w:eastAsia="黑体" w:cs="Times New Roman"/>
          <w:sz w:val="32"/>
          <w:szCs w:val="32"/>
        </w:rPr>
        <w:t>八、名词解释</w:t>
      </w:r>
    </w:p>
    <w:p>
      <w:pPr>
        <w:autoSpaceDE w:val="0"/>
        <w:autoSpaceDN w:val="0"/>
        <w:adjustRightInd w:val="0"/>
        <w:ind w:left="420" w:leftChars="200" w:firstLine="640" w:firstLineChars="200"/>
        <w:jc w:val="left"/>
        <w:rPr>
          <w:rFonts w:ascii="Times New Roman" w:hAnsi="Times New Roman" w:eastAsia="方正仿宋简体" w:cs="Times New Roman"/>
          <w:sz w:val="32"/>
          <w:szCs w:val="24"/>
        </w:rPr>
      </w:pPr>
      <w:r>
        <w:rPr>
          <w:rFonts w:ascii="Times New Roman" w:hAnsi="Times New Roman" w:eastAsia="方正仿宋简体" w:cs="Times New Roman"/>
          <w:sz w:val="32"/>
          <w:szCs w:val="24"/>
        </w:rPr>
        <w:t>1、一般预算收入：指区级财政当年拨付的资金。</w:t>
      </w:r>
    </w:p>
    <w:p>
      <w:pPr>
        <w:autoSpaceDE w:val="0"/>
        <w:autoSpaceDN w:val="0"/>
        <w:adjustRightInd w:val="0"/>
        <w:ind w:left="420" w:leftChars="200" w:firstLine="640" w:firstLineChars="200"/>
        <w:jc w:val="left"/>
        <w:rPr>
          <w:rFonts w:ascii="Times New Roman" w:hAnsi="Times New Roman" w:eastAsia="方正仿宋简体" w:cs="Times New Roman"/>
          <w:sz w:val="32"/>
          <w:szCs w:val="24"/>
        </w:rPr>
      </w:pPr>
      <w:r>
        <w:rPr>
          <w:rFonts w:ascii="Times New Roman" w:hAnsi="Times New Roman" w:eastAsia="方正仿宋简体" w:cs="Times New Roman"/>
          <w:sz w:val="32"/>
          <w:szCs w:val="24"/>
        </w:rPr>
        <w:t>2、基本支出：指为保障机构正常运转、完成日常工作任务而发生的人员支出和公用支出。</w:t>
      </w:r>
    </w:p>
    <w:p>
      <w:pPr>
        <w:autoSpaceDE w:val="0"/>
        <w:autoSpaceDN w:val="0"/>
        <w:adjustRightInd w:val="0"/>
        <w:ind w:left="420" w:leftChars="200" w:firstLine="640" w:firstLineChars="200"/>
        <w:jc w:val="left"/>
        <w:rPr>
          <w:rFonts w:ascii="Times New Roman" w:hAnsi="Times New Roman" w:eastAsia="方正仿宋简体" w:cs="Times New Roman"/>
          <w:sz w:val="32"/>
          <w:szCs w:val="24"/>
        </w:rPr>
      </w:pPr>
      <w:r>
        <w:rPr>
          <w:rFonts w:ascii="Times New Roman" w:hAnsi="Times New Roman" w:eastAsia="方正仿宋简体" w:cs="Times New Roman"/>
          <w:sz w:val="32"/>
          <w:szCs w:val="24"/>
        </w:rPr>
        <w:t>3、项目支出：指在基本支出之外为完成特定行政任务和事业发展目标所发生的支出。</w:t>
      </w:r>
    </w:p>
    <w:p>
      <w:pPr>
        <w:autoSpaceDE w:val="0"/>
        <w:autoSpaceDN w:val="0"/>
        <w:adjustRightInd w:val="0"/>
        <w:ind w:left="420" w:leftChars="200" w:firstLine="640" w:firstLineChars="200"/>
        <w:jc w:val="left"/>
        <w:rPr>
          <w:rFonts w:ascii="Times New Roman" w:hAnsi="Times New Roman" w:eastAsia="方正仿宋简体" w:cs="Times New Roman"/>
          <w:sz w:val="32"/>
          <w:szCs w:val="24"/>
        </w:rPr>
      </w:pPr>
      <w:r>
        <w:rPr>
          <w:rFonts w:ascii="Times New Roman" w:hAnsi="Times New Roman" w:eastAsia="方正仿宋简体" w:cs="Times New Roman"/>
          <w:sz w:val="32"/>
          <w:szCs w:val="24"/>
        </w:rPr>
        <w:t>4、机关运行费：是指为保证行政事业单位运行，用于购买货物和服务的各项资金。主要包括：办公费、印刷费，水费、电费、邮电费、福利费、日常维修费、办公取暖费、办公物业服务费、公务车运行维护费等。</w:t>
      </w:r>
    </w:p>
    <w:p>
      <w:pPr>
        <w:ind w:firstLine="640"/>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autoSpaceDE w:val="0"/>
        <w:autoSpaceDN w:val="0"/>
        <w:adjustRightInd w:val="0"/>
        <w:ind w:left="420" w:leftChars="200" w:firstLine="640" w:firstLineChars="200"/>
        <w:jc w:val="left"/>
        <w:rPr>
          <w:rFonts w:ascii="Times New Roman" w:hAnsi="Times New Roman" w:eastAsia="方正仿宋简体" w:cs="Times New Roman"/>
          <w:sz w:val="32"/>
          <w:szCs w:val="24"/>
        </w:rPr>
      </w:pPr>
      <w:r>
        <w:rPr>
          <w:rFonts w:ascii="Times New Roman" w:hAnsi="Times New Roman" w:eastAsia="方正仿宋简体" w:cs="Times New Roman"/>
          <w:sz w:val="32"/>
          <w:szCs w:val="24"/>
        </w:rPr>
        <w:t>无。</w:t>
      </w:r>
    </w:p>
    <w:p>
      <w:pPr>
        <w:autoSpaceDE w:val="0"/>
        <w:autoSpaceDN w:val="0"/>
        <w:adjustRightInd w:val="0"/>
        <w:ind w:left="420" w:leftChars="200" w:firstLine="640" w:firstLineChars="200"/>
        <w:jc w:val="left"/>
        <w:rPr>
          <w:rFonts w:ascii="Times New Roman" w:hAnsi="Times New Roman" w:eastAsia="方正仿宋简体" w:cs="Times New Roman"/>
          <w:sz w:val="32"/>
          <w:szCs w:val="24"/>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DDCC3"/>
    <w:multiLevelType w:val="singleLevel"/>
    <w:tmpl w:val="595DDCC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7AF6"/>
    <w:rsid w:val="00041994"/>
    <w:rsid w:val="00075D5F"/>
    <w:rsid w:val="00093D7A"/>
    <w:rsid w:val="000B3E8D"/>
    <w:rsid w:val="000C3A19"/>
    <w:rsid w:val="000D3F0D"/>
    <w:rsid w:val="001245BB"/>
    <w:rsid w:val="00241FD4"/>
    <w:rsid w:val="00251B12"/>
    <w:rsid w:val="002549E0"/>
    <w:rsid w:val="00296113"/>
    <w:rsid w:val="002F3E58"/>
    <w:rsid w:val="0030542C"/>
    <w:rsid w:val="00311B7A"/>
    <w:rsid w:val="00314C7B"/>
    <w:rsid w:val="00346B63"/>
    <w:rsid w:val="00364058"/>
    <w:rsid w:val="003A7550"/>
    <w:rsid w:val="00451871"/>
    <w:rsid w:val="004524B7"/>
    <w:rsid w:val="00472923"/>
    <w:rsid w:val="00475CC7"/>
    <w:rsid w:val="004764B4"/>
    <w:rsid w:val="00482D8D"/>
    <w:rsid w:val="004E3066"/>
    <w:rsid w:val="004E74CD"/>
    <w:rsid w:val="004F24CC"/>
    <w:rsid w:val="005157CB"/>
    <w:rsid w:val="00557D5D"/>
    <w:rsid w:val="00573562"/>
    <w:rsid w:val="00614A29"/>
    <w:rsid w:val="006509AF"/>
    <w:rsid w:val="006D0BF7"/>
    <w:rsid w:val="006E3FDA"/>
    <w:rsid w:val="00751FE1"/>
    <w:rsid w:val="0075393C"/>
    <w:rsid w:val="00776C08"/>
    <w:rsid w:val="007E1DA8"/>
    <w:rsid w:val="007F6C26"/>
    <w:rsid w:val="008334AE"/>
    <w:rsid w:val="00836FED"/>
    <w:rsid w:val="00845CD2"/>
    <w:rsid w:val="00852B0D"/>
    <w:rsid w:val="00881692"/>
    <w:rsid w:val="00882773"/>
    <w:rsid w:val="00887B5F"/>
    <w:rsid w:val="008B3CC5"/>
    <w:rsid w:val="008E4261"/>
    <w:rsid w:val="008F3E86"/>
    <w:rsid w:val="008F4662"/>
    <w:rsid w:val="00905D08"/>
    <w:rsid w:val="00925753"/>
    <w:rsid w:val="00966C5C"/>
    <w:rsid w:val="00973104"/>
    <w:rsid w:val="009A577B"/>
    <w:rsid w:val="009D5FBB"/>
    <w:rsid w:val="00A55AC0"/>
    <w:rsid w:val="00A72D2E"/>
    <w:rsid w:val="00A911E7"/>
    <w:rsid w:val="00A939D9"/>
    <w:rsid w:val="00AB1673"/>
    <w:rsid w:val="00AD44A3"/>
    <w:rsid w:val="00B20712"/>
    <w:rsid w:val="00B43238"/>
    <w:rsid w:val="00B516C4"/>
    <w:rsid w:val="00B75216"/>
    <w:rsid w:val="00B91D52"/>
    <w:rsid w:val="00B94598"/>
    <w:rsid w:val="00BA1ACD"/>
    <w:rsid w:val="00CA7176"/>
    <w:rsid w:val="00CC163D"/>
    <w:rsid w:val="00CD2773"/>
    <w:rsid w:val="00CE143B"/>
    <w:rsid w:val="00D342C3"/>
    <w:rsid w:val="00D74B13"/>
    <w:rsid w:val="00D8117B"/>
    <w:rsid w:val="00D87A11"/>
    <w:rsid w:val="00DF752B"/>
    <w:rsid w:val="00E167C7"/>
    <w:rsid w:val="00E521A6"/>
    <w:rsid w:val="00E55F76"/>
    <w:rsid w:val="00E90A40"/>
    <w:rsid w:val="00E97840"/>
    <w:rsid w:val="00EA5013"/>
    <w:rsid w:val="00EC47F6"/>
    <w:rsid w:val="00F24692"/>
    <w:rsid w:val="00F66032"/>
    <w:rsid w:val="00F958C2"/>
    <w:rsid w:val="01FB23CB"/>
    <w:rsid w:val="0963295E"/>
    <w:rsid w:val="0B0D77B0"/>
    <w:rsid w:val="0C3D5924"/>
    <w:rsid w:val="0D9F1876"/>
    <w:rsid w:val="0EFA2398"/>
    <w:rsid w:val="10ED36A0"/>
    <w:rsid w:val="114917E9"/>
    <w:rsid w:val="13062E2A"/>
    <w:rsid w:val="14894E4A"/>
    <w:rsid w:val="15F42192"/>
    <w:rsid w:val="19C36DAA"/>
    <w:rsid w:val="1A5D684E"/>
    <w:rsid w:val="1ABE55EE"/>
    <w:rsid w:val="1B824103"/>
    <w:rsid w:val="1D954D97"/>
    <w:rsid w:val="229750A0"/>
    <w:rsid w:val="2A012DF7"/>
    <w:rsid w:val="2C8829BF"/>
    <w:rsid w:val="303D4E30"/>
    <w:rsid w:val="316E2FA4"/>
    <w:rsid w:val="3507028C"/>
    <w:rsid w:val="3595643A"/>
    <w:rsid w:val="35A52C1A"/>
    <w:rsid w:val="38E01BC5"/>
    <w:rsid w:val="39D53FD2"/>
    <w:rsid w:val="3CD42DDC"/>
    <w:rsid w:val="429960CF"/>
    <w:rsid w:val="45C13553"/>
    <w:rsid w:val="45C76287"/>
    <w:rsid w:val="471D5503"/>
    <w:rsid w:val="492C0AE6"/>
    <w:rsid w:val="4A5B700A"/>
    <w:rsid w:val="4DF57B76"/>
    <w:rsid w:val="52BD3EC4"/>
    <w:rsid w:val="541C1C0A"/>
    <w:rsid w:val="55145A25"/>
    <w:rsid w:val="55383E38"/>
    <w:rsid w:val="5911172D"/>
    <w:rsid w:val="59870472"/>
    <w:rsid w:val="5ACF6CDD"/>
    <w:rsid w:val="5E731884"/>
    <w:rsid w:val="61D40FB9"/>
    <w:rsid w:val="67706CC4"/>
    <w:rsid w:val="678A783D"/>
    <w:rsid w:val="685B7F7B"/>
    <w:rsid w:val="6BD67F5C"/>
    <w:rsid w:val="6C053E44"/>
    <w:rsid w:val="6CA86ED0"/>
    <w:rsid w:val="70850EB0"/>
    <w:rsid w:val="724C7A91"/>
    <w:rsid w:val="72617A36"/>
    <w:rsid w:val="79C4601E"/>
    <w:rsid w:val="7EB2342C"/>
    <w:rsid w:val="7FBC79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0"/>
    <w:pPr>
      <w:jc w:val="left"/>
    </w:pPr>
  </w:style>
  <w:style w:type="paragraph" w:styleId="3">
    <w:name w:val="Balloon Text"/>
    <w:basedOn w:val="1"/>
    <w:link w:val="17"/>
    <w:unhideWhenUsed/>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39"/>
    <w:rPr>
      <w:rFonts w:ascii="Times New Roman" w:hAnsi="Times New Roman" w:cs="Times New Roman"/>
      <w:szCs w:val="24"/>
    </w:rPr>
  </w:style>
  <w:style w:type="paragraph" w:styleId="7">
    <w:name w:val="toc 2"/>
    <w:basedOn w:val="1"/>
    <w:next w:val="1"/>
    <w:qFormat/>
    <w:uiPriority w:val="39"/>
    <w:pPr>
      <w:ind w:left="420" w:leftChars="200"/>
    </w:pPr>
    <w:rPr>
      <w:rFonts w:ascii="Times New Roman" w:hAnsi="Times New Roman" w:cs="Times New Roman"/>
      <w:szCs w:val="24"/>
    </w:rPr>
  </w:style>
  <w:style w:type="paragraph" w:styleId="8">
    <w:name w:val="annotation subject"/>
    <w:basedOn w:val="2"/>
    <w:next w:val="2"/>
    <w:link w:val="16"/>
    <w:unhideWhenUsed/>
    <w:qFormat/>
    <w:uiPriority w:val="0"/>
    <w:rPr>
      <w:b/>
      <w:bCs/>
    </w:rPr>
  </w:style>
  <w:style w:type="character" w:styleId="11">
    <w:name w:val="Hyperlink"/>
    <w:basedOn w:val="10"/>
    <w:unhideWhenUsed/>
    <w:uiPriority w:val="99"/>
    <w:rPr>
      <w:color w:val="0000FF"/>
      <w:u w:val="single"/>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文字 Char"/>
    <w:basedOn w:val="10"/>
    <w:link w:val="2"/>
    <w:semiHidden/>
    <w:qFormat/>
    <w:uiPriority w:val="0"/>
    <w:rPr>
      <w:rFonts w:ascii="Calibri" w:hAnsi="Calibri" w:cs="黑体"/>
      <w:kern w:val="2"/>
      <w:sz w:val="21"/>
      <w:szCs w:val="22"/>
    </w:rPr>
  </w:style>
  <w:style w:type="character" w:customStyle="1" w:styleId="16">
    <w:name w:val="批注主题 Char"/>
    <w:basedOn w:val="15"/>
    <w:link w:val="8"/>
    <w:semiHidden/>
    <w:qFormat/>
    <w:uiPriority w:val="0"/>
    <w:rPr>
      <w:rFonts w:ascii="Calibri" w:hAnsi="Calibri" w:cs="黑体"/>
      <w:b/>
      <w:bCs/>
      <w:kern w:val="2"/>
      <w:sz w:val="21"/>
      <w:szCs w:val="22"/>
    </w:rPr>
  </w:style>
  <w:style w:type="character" w:customStyle="1" w:styleId="17">
    <w:name w:val="批注框文本 Char"/>
    <w:basedOn w:val="10"/>
    <w:link w:val="3"/>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66</Pages>
  <Words>5978</Words>
  <Characters>34080</Characters>
  <Lines>284</Lines>
  <Paragraphs>79</Paragraphs>
  <TotalTime>2</TotalTime>
  <ScaleCrop>false</ScaleCrop>
  <LinksUpToDate>false</LinksUpToDate>
  <CharactersWithSpaces>39979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2017-04-25T03:22:00Z</dcterms:created>
  <dc:creator>guest</dc:creator>
  <cp:lastModifiedBy>Administrator</cp:lastModifiedBy>
  <cp:lastPrinted>2017-05-04T00:34:00Z</cp:lastPrinted>
  <dcterms:modified xsi:type="dcterms:W3CDTF">2021-05-20T02:08:55Z</dcterms:modified>
  <dc:title>河北省2017年部门预算信息公开</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