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rPr>
          <w:rFonts w:ascii="Times New Roman" w:hAnsi="Times New Roman"/>
          <w:kern w:val="0"/>
          <w:sz w:val="24"/>
        </w:rPr>
      </w:pPr>
      <w:r>
        <w:rPr>
          <w:rFonts w:ascii="Times New Roman" w:hAnsi="Times New Roman" w:eastAsia="方正仿宋简体"/>
          <w:kern w:val="0"/>
          <w:sz w:val="32"/>
          <w:szCs w:val="32"/>
        </w:rPr>
        <w:t>附件2</w:t>
      </w:r>
    </w:p>
    <w:p>
      <w:pPr>
        <w:widowControl/>
        <w:spacing w:line="480" w:lineRule="exact"/>
        <w:rPr>
          <w:rFonts w:ascii="Times New Roman" w:hAnsi="Times New Roman"/>
          <w:kern w:val="0"/>
          <w:sz w:val="24"/>
        </w:rPr>
      </w:pPr>
    </w:p>
    <w:p>
      <w:pPr>
        <w:widowControl/>
        <w:spacing w:line="48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2020年部门预算公开情况说明</w:t>
      </w:r>
    </w:p>
    <w:p>
      <w:pPr>
        <w:widowControl/>
        <w:adjustRightInd w:val="0"/>
        <w:spacing w:line="480" w:lineRule="exact"/>
        <w:ind w:firstLine="643" w:firstLineChars="200"/>
        <w:rPr>
          <w:rFonts w:ascii="Times New Roman" w:hAnsi="Times New Roman" w:eastAsia="黑体"/>
          <w:b/>
          <w:kern w:val="0"/>
          <w:sz w:val="32"/>
          <w:szCs w:val="32"/>
        </w:rPr>
      </w:pPr>
    </w:p>
    <w:p>
      <w:pPr>
        <w:widowControl/>
        <w:adjustRightInd w:val="0"/>
        <w:spacing w:line="480" w:lineRule="exact"/>
        <w:ind w:firstLine="643" w:firstLineChars="200"/>
        <w:rPr>
          <w:rFonts w:ascii="Times New Roman" w:hAnsi="Times New Roman"/>
          <w:kern w:val="0"/>
          <w:sz w:val="24"/>
        </w:rPr>
      </w:pPr>
      <w:r>
        <w:rPr>
          <w:rFonts w:ascii="Times New Roman" w:hAnsi="Times New Roman" w:eastAsia="黑体"/>
          <w:b/>
          <w:kern w:val="0"/>
          <w:sz w:val="32"/>
          <w:szCs w:val="32"/>
        </w:rPr>
        <w:t>一、</w:t>
      </w:r>
      <w:r>
        <w:rPr>
          <w:rFonts w:ascii="Times New Roman" w:hAnsi="Times New Roman" w:eastAsia="黑体"/>
          <w:kern w:val="0"/>
          <w:sz w:val="32"/>
          <w:szCs w:val="32"/>
        </w:rPr>
        <w:t>部门职责及机构设置情况</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1.部门职责：负责本区域社会管理、综合治理、普法宣传、信访调解等工作；负责本区域农业、林业、水利、畜牧、渔业管理及统计</w:t>
      </w:r>
      <w:bookmarkStart w:id="1" w:name="_GoBack"/>
      <w:bookmarkEnd w:id="1"/>
      <w:r>
        <w:rPr>
          <w:rFonts w:ascii="Times New Roman" w:hAnsi="Times New Roman" w:eastAsia="方正仿宋简体"/>
          <w:sz w:val="32"/>
          <w:szCs w:val="32"/>
        </w:rPr>
        <w:t>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widowControl/>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2.机构设置：</w:t>
      </w:r>
    </w:p>
    <w:p>
      <w:pPr>
        <w:widowControl/>
        <w:adjustRightInd w:val="0"/>
        <w:spacing w:line="480" w:lineRule="exact"/>
        <w:ind w:firstLine="640" w:firstLineChars="200"/>
        <w:jc w:val="center"/>
        <w:rPr>
          <w:rFonts w:ascii="Times New Roman" w:hAnsi="Times New Roman" w:eastAsia="黑体"/>
          <w:kern w:val="0"/>
          <w:sz w:val="32"/>
          <w:szCs w:val="32"/>
        </w:rPr>
      </w:pPr>
      <w:r>
        <w:rPr>
          <w:rFonts w:ascii="Times New Roman" w:hAnsi="Times New Roman" w:eastAsia="黑体"/>
          <w:kern w:val="0"/>
          <w:sz w:val="32"/>
          <w:szCs w:val="32"/>
        </w:rPr>
        <w:t>部门机构设置情况</w:t>
      </w:r>
    </w:p>
    <w:tbl>
      <w:tblPr>
        <w:tblStyle w:val="4"/>
        <w:tblW w:w="83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7"/>
        <w:gridCol w:w="1563"/>
        <w:gridCol w:w="1762"/>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blHeader/>
          <w:jc w:val="center"/>
        </w:trPr>
        <w:tc>
          <w:tcPr>
            <w:tcW w:w="2737" w:type="dxa"/>
            <w:vMerge w:val="restart"/>
            <w:vAlign w:val="center"/>
          </w:tcPr>
          <w:p>
            <w:pPr>
              <w:widowControl/>
              <w:adjustRightInd w:val="0"/>
              <w:spacing w:line="480" w:lineRule="exact"/>
              <w:jc w:val="center"/>
              <w:rPr>
                <w:rFonts w:ascii="Times New Roman" w:hAnsi="Times New Roman" w:eastAsia="黑体"/>
                <w:kern w:val="0"/>
                <w:sz w:val="32"/>
                <w:szCs w:val="32"/>
              </w:rPr>
            </w:pPr>
            <w:r>
              <w:rPr>
                <w:rFonts w:ascii="Times New Roman" w:hAnsi="Times New Roman" w:eastAsia="黑体"/>
                <w:kern w:val="0"/>
                <w:sz w:val="32"/>
                <w:szCs w:val="32"/>
              </w:rPr>
              <w:t>单位名称</w:t>
            </w:r>
          </w:p>
        </w:tc>
        <w:tc>
          <w:tcPr>
            <w:tcW w:w="1563" w:type="dxa"/>
            <w:vMerge w:val="restart"/>
            <w:vAlign w:val="center"/>
          </w:tcPr>
          <w:p>
            <w:pPr>
              <w:widowControl/>
              <w:adjustRightInd w:val="0"/>
              <w:spacing w:line="480" w:lineRule="exact"/>
              <w:jc w:val="center"/>
              <w:rPr>
                <w:rFonts w:ascii="Times New Roman" w:hAnsi="Times New Roman" w:eastAsia="黑体"/>
                <w:kern w:val="0"/>
                <w:sz w:val="32"/>
                <w:szCs w:val="32"/>
              </w:rPr>
            </w:pPr>
            <w:r>
              <w:rPr>
                <w:rFonts w:ascii="Times New Roman" w:hAnsi="Times New Roman" w:eastAsia="黑体"/>
                <w:kern w:val="0"/>
                <w:sz w:val="32"/>
                <w:szCs w:val="32"/>
              </w:rPr>
              <w:t>单位性质</w:t>
            </w:r>
          </w:p>
        </w:tc>
        <w:tc>
          <w:tcPr>
            <w:tcW w:w="1762" w:type="dxa"/>
            <w:vMerge w:val="restart"/>
            <w:vAlign w:val="center"/>
          </w:tcPr>
          <w:p>
            <w:pPr>
              <w:widowControl/>
              <w:adjustRightInd w:val="0"/>
              <w:spacing w:line="480" w:lineRule="exact"/>
              <w:jc w:val="center"/>
              <w:rPr>
                <w:rFonts w:ascii="Times New Roman" w:hAnsi="Times New Roman" w:eastAsia="黑体"/>
                <w:kern w:val="0"/>
                <w:sz w:val="32"/>
                <w:szCs w:val="32"/>
              </w:rPr>
            </w:pPr>
            <w:r>
              <w:rPr>
                <w:rFonts w:ascii="Times New Roman" w:hAnsi="Times New Roman" w:eastAsia="黑体"/>
                <w:kern w:val="0"/>
                <w:sz w:val="32"/>
                <w:szCs w:val="32"/>
              </w:rPr>
              <w:t>单位规格</w:t>
            </w:r>
          </w:p>
        </w:tc>
        <w:tc>
          <w:tcPr>
            <w:tcW w:w="2241" w:type="dxa"/>
            <w:vMerge w:val="restart"/>
            <w:vAlign w:val="center"/>
          </w:tcPr>
          <w:p>
            <w:pPr>
              <w:widowControl/>
              <w:adjustRightInd w:val="0"/>
              <w:spacing w:line="480" w:lineRule="exact"/>
              <w:jc w:val="center"/>
              <w:rPr>
                <w:rFonts w:ascii="Times New Roman" w:hAnsi="Times New Roman" w:eastAsia="黑体"/>
                <w:kern w:val="0"/>
                <w:sz w:val="32"/>
                <w:szCs w:val="32"/>
              </w:rPr>
            </w:pPr>
            <w:r>
              <w:rPr>
                <w:rFonts w:ascii="Times New Roman" w:hAnsi="Times New Roman" w:eastAsia="黑体"/>
                <w:kern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blHeader/>
          <w:jc w:val="center"/>
        </w:trPr>
        <w:tc>
          <w:tcPr>
            <w:tcW w:w="2737" w:type="dxa"/>
            <w:vMerge w:val="continue"/>
            <w:vAlign w:val="center"/>
          </w:tcPr>
          <w:p>
            <w:pPr>
              <w:widowControl/>
              <w:adjustRightInd w:val="0"/>
              <w:spacing w:line="480" w:lineRule="exact"/>
              <w:ind w:firstLine="640" w:firstLineChars="200"/>
              <w:rPr>
                <w:rFonts w:ascii="Times New Roman" w:hAnsi="Times New Roman" w:eastAsia="黑体"/>
                <w:kern w:val="0"/>
                <w:sz w:val="32"/>
                <w:szCs w:val="32"/>
              </w:rPr>
            </w:pPr>
          </w:p>
        </w:tc>
        <w:tc>
          <w:tcPr>
            <w:tcW w:w="1563" w:type="dxa"/>
            <w:vMerge w:val="continue"/>
            <w:vAlign w:val="center"/>
          </w:tcPr>
          <w:p>
            <w:pPr>
              <w:widowControl/>
              <w:adjustRightInd w:val="0"/>
              <w:spacing w:line="480" w:lineRule="exact"/>
              <w:ind w:firstLine="640" w:firstLineChars="200"/>
              <w:rPr>
                <w:rFonts w:ascii="Times New Roman" w:hAnsi="Times New Roman" w:eastAsia="黑体"/>
                <w:kern w:val="0"/>
                <w:sz w:val="32"/>
                <w:szCs w:val="32"/>
              </w:rPr>
            </w:pPr>
          </w:p>
        </w:tc>
        <w:tc>
          <w:tcPr>
            <w:tcW w:w="1762" w:type="dxa"/>
            <w:vMerge w:val="continue"/>
            <w:vAlign w:val="center"/>
          </w:tcPr>
          <w:p>
            <w:pPr>
              <w:widowControl/>
              <w:adjustRightInd w:val="0"/>
              <w:spacing w:line="480" w:lineRule="exact"/>
              <w:ind w:firstLine="640" w:firstLineChars="200"/>
              <w:rPr>
                <w:rFonts w:ascii="Times New Roman" w:hAnsi="Times New Roman" w:eastAsia="黑体"/>
                <w:kern w:val="0"/>
                <w:sz w:val="32"/>
                <w:szCs w:val="32"/>
              </w:rPr>
            </w:pPr>
          </w:p>
        </w:tc>
        <w:tc>
          <w:tcPr>
            <w:tcW w:w="2241" w:type="dxa"/>
            <w:vMerge w:val="continue"/>
            <w:vAlign w:val="center"/>
          </w:tcPr>
          <w:p>
            <w:pPr>
              <w:widowControl/>
              <w:adjustRightInd w:val="0"/>
              <w:spacing w:line="480" w:lineRule="exact"/>
              <w:ind w:firstLine="640" w:firstLineChars="200"/>
              <w:rPr>
                <w:rFonts w:ascii="Times New Roman" w:hAnsi="Times New Roman" w:eastAsia="黑体"/>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2737" w:type="dxa"/>
            <w:vAlign w:val="center"/>
          </w:tcPr>
          <w:p>
            <w:pPr>
              <w:widowControl/>
              <w:adjustRightInd w:val="0"/>
              <w:spacing w:line="480" w:lineRule="exact"/>
              <w:jc w:val="center"/>
              <w:rPr>
                <w:rFonts w:ascii="Times New Roman" w:hAnsi="Times New Roman" w:eastAsia="方正仿宋简体"/>
                <w:sz w:val="32"/>
                <w:szCs w:val="32"/>
              </w:rPr>
            </w:pPr>
            <w:r>
              <w:rPr>
                <w:rFonts w:ascii="Times New Roman" w:hAnsi="Times New Roman" w:eastAsia="方正仿宋简体"/>
                <w:sz w:val="32"/>
                <w:szCs w:val="32"/>
              </w:rPr>
              <w:t>北戴河新区南戴河街道办事处</w:t>
            </w:r>
          </w:p>
        </w:tc>
        <w:tc>
          <w:tcPr>
            <w:tcW w:w="1563" w:type="dxa"/>
            <w:vAlign w:val="center"/>
          </w:tcPr>
          <w:p>
            <w:pPr>
              <w:widowControl/>
              <w:adjustRightInd w:val="0"/>
              <w:spacing w:line="480" w:lineRule="exact"/>
              <w:jc w:val="center"/>
              <w:rPr>
                <w:rFonts w:ascii="Times New Roman" w:hAnsi="Times New Roman" w:eastAsia="方正仿宋简体"/>
                <w:sz w:val="32"/>
                <w:szCs w:val="32"/>
              </w:rPr>
            </w:pPr>
            <w:r>
              <w:rPr>
                <w:rFonts w:ascii="Times New Roman" w:hAnsi="Times New Roman" w:eastAsia="方正仿宋简体"/>
                <w:sz w:val="32"/>
                <w:szCs w:val="32"/>
              </w:rPr>
              <w:t>行政</w:t>
            </w:r>
          </w:p>
        </w:tc>
        <w:tc>
          <w:tcPr>
            <w:tcW w:w="1762" w:type="dxa"/>
            <w:vAlign w:val="center"/>
          </w:tcPr>
          <w:p>
            <w:pPr>
              <w:widowControl/>
              <w:adjustRightInd w:val="0"/>
              <w:spacing w:line="480" w:lineRule="exact"/>
              <w:jc w:val="center"/>
              <w:rPr>
                <w:rFonts w:ascii="Times New Roman" w:hAnsi="Times New Roman" w:eastAsia="方正仿宋简体"/>
                <w:sz w:val="32"/>
                <w:szCs w:val="32"/>
              </w:rPr>
            </w:pPr>
            <w:r>
              <w:rPr>
                <w:rFonts w:ascii="Times New Roman" w:hAnsi="Times New Roman" w:eastAsia="方正仿宋简体"/>
                <w:sz w:val="32"/>
                <w:szCs w:val="32"/>
              </w:rPr>
              <w:t>正科级</w:t>
            </w:r>
          </w:p>
        </w:tc>
        <w:tc>
          <w:tcPr>
            <w:tcW w:w="2241" w:type="dxa"/>
            <w:vAlign w:val="center"/>
          </w:tcPr>
          <w:p>
            <w:pPr>
              <w:widowControl/>
              <w:adjustRightInd w:val="0"/>
              <w:spacing w:line="480" w:lineRule="exact"/>
              <w:jc w:val="center"/>
              <w:rPr>
                <w:rFonts w:ascii="Times New Roman" w:hAnsi="Times New Roman" w:eastAsia="方正仿宋简体"/>
                <w:sz w:val="32"/>
                <w:szCs w:val="32"/>
              </w:rPr>
            </w:pPr>
            <w:r>
              <w:rPr>
                <w:rFonts w:ascii="Times New Roman" w:hAnsi="Times New Roman" w:eastAsia="方正仿宋简体"/>
                <w:sz w:val="32"/>
                <w:szCs w:val="32"/>
              </w:rPr>
              <w:t>财政拨款</w:t>
            </w:r>
          </w:p>
        </w:tc>
      </w:tr>
    </w:tbl>
    <w:p>
      <w:pPr>
        <w:numPr>
          <w:ilvl w:val="0"/>
          <w:numId w:val="1"/>
        </w:num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部门预算安排总体情况</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按照预算管理有关规定，目前我区部门预算的编制实行综合预算制度，即全部收入和支出都反映在预算中。南戴河街道办事处的收支包含在部门预算中。</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1.收入说明</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反映本部门当年全部收入，2020年预算收入2289.09万元，其中：一般公共预算拨款2289.09万元（非限额补助2289.09万元）。</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2.支出说明</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部门预算收支总表支出栏、基本支出表、项目支出表按经济分类和支出功能分类科目编制，反映部门预算中支出预算的总体情况。2020年部门支出预算为2289.09万元，其中基本支出1864.09万元，包括人员经费1746.27万元和日常公用经费117.82万元；项目支出425万元，全部为本级支出。</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3.比上年增减情况</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2020年部门预算较2019年增加1167.58万元，其中：基本支出增加867.58万元，主要是在职人员工资福利支出、对个人和家庭的补助较上年增加；项目支出增加300万元，主要是增加了村级组织运转经费（农村环卫保洁）项目、社区党组织服务群众专项经费、社区组织运转经费等支出。</w:t>
      </w:r>
    </w:p>
    <w:p>
      <w:p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三、机关运行经费安排情况</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机关运行经费共计安排117.82万元，主要用于保证机关正常运转的办公及印刷费、邮电费、差旅费、会议费、福利费、专用材料及一般设备购置费、办公用房水电费、办公用房取暖费、日常维修费、办公楼物业管理费、公务车运行维护费等支出。</w:t>
      </w:r>
    </w:p>
    <w:p>
      <w:pPr>
        <w:widowControl/>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四、财政拔款“三公”经费预算情况及增减变化原因</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2020年，财政拨款“三公”经费预算安排6.40万元，其中：因公出国（境）费0万元；公务用车购置及运维费5.20万元（其中：公务用车运行费5.20万元)；公务接待费1.20万元。“三公”经费较上年减少0.89万元，主要原因是贯彻国家厉行节约原则。</w:t>
      </w:r>
    </w:p>
    <w:p>
      <w:pPr>
        <w:widowControl/>
        <w:numPr>
          <w:ilvl w:val="0"/>
          <w:numId w:val="2"/>
        </w:num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政府采购预算情况</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增加了村级组织运转经费（农村环卫保洁）的政府采购预算。</w:t>
      </w:r>
    </w:p>
    <w:p>
      <w:pPr>
        <w:ind w:firstLine="640" w:firstLineChars="200"/>
        <w:jc w:val="center"/>
        <w:outlineLvl w:val="0"/>
        <w:rPr>
          <w:rFonts w:ascii="Times New Roman" w:hAnsi="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0" w:name="_Toc28705959"/>
      <w:r>
        <w:rPr>
          <w:rFonts w:ascii="方正小标宋_GBK" w:eastAsia="方正小标宋_GBK"/>
          <w:sz w:val="32"/>
        </w:rPr>
        <w:instrText xml:space="preserve">部门政府采购预算</w:instrText>
      </w:r>
      <w:bookmarkEnd w:id="0"/>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4"/>
        <w:tblW w:w="15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1"/>
        <w:gridCol w:w="1106"/>
        <w:gridCol w:w="1701"/>
        <w:gridCol w:w="1417"/>
        <w:gridCol w:w="737"/>
        <w:gridCol w:w="737"/>
        <w:gridCol w:w="737"/>
        <w:gridCol w:w="1106"/>
        <w:gridCol w:w="1106"/>
        <w:gridCol w:w="1106"/>
        <w:gridCol w:w="1106"/>
        <w:gridCol w:w="1106"/>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98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339秦皇岛北戴河新区南戴河街道办事处</w:t>
            </w:r>
          </w:p>
        </w:tc>
        <w:tc>
          <w:tcPr>
            <w:tcW w:w="663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5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70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41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3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73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73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636"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0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701" w:type="dxa"/>
            <w:vMerge w:val="continue"/>
            <w:shd w:val="clear" w:color="auto" w:fill="auto"/>
            <w:vAlign w:val="center"/>
          </w:tcPr>
          <w:p>
            <w:pPr>
              <w:spacing w:line="300" w:lineRule="exact"/>
              <w:jc w:val="left"/>
              <w:outlineLvl w:val="0"/>
              <w:rPr>
                <w:rFonts w:ascii="Times New Roman" w:eastAsia="方正仿宋_GBK"/>
                <w:sz w:val="28"/>
              </w:rPr>
            </w:pPr>
          </w:p>
        </w:tc>
        <w:tc>
          <w:tcPr>
            <w:tcW w:w="1417" w:type="dxa"/>
            <w:vMerge w:val="continue"/>
            <w:shd w:val="clear" w:color="auto" w:fill="auto"/>
            <w:vAlign w:val="center"/>
          </w:tcPr>
          <w:p>
            <w:pPr>
              <w:spacing w:line="300" w:lineRule="exact"/>
              <w:jc w:val="left"/>
              <w:outlineLvl w:val="0"/>
              <w:rPr>
                <w:rFonts w:ascii="Times New Roman" w:eastAsia="方正仿宋_GBK"/>
                <w:sz w:val="28"/>
              </w:rPr>
            </w:pPr>
          </w:p>
        </w:tc>
        <w:tc>
          <w:tcPr>
            <w:tcW w:w="737" w:type="dxa"/>
            <w:vMerge w:val="continue"/>
            <w:shd w:val="clear" w:color="auto" w:fill="auto"/>
            <w:vAlign w:val="center"/>
          </w:tcPr>
          <w:p>
            <w:pPr>
              <w:spacing w:line="300" w:lineRule="exact"/>
              <w:jc w:val="left"/>
              <w:outlineLvl w:val="0"/>
              <w:rPr>
                <w:rFonts w:ascii="Times New Roman" w:eastAsia="方正仿宋_GBK"/>
                <w:sz w:val="28"/>
              </w:rPr>
            </w:pPr>
          </w:p>
        </w:tc>
        <w:tc>
          <w:tcPr>
            <w:tcW w:w="737" w:type="dxa"/>
            <w:vMerge w:val="continue"/>
            <w:shd w:val="clear" w:color="auto" w:fill="auto"/>
            <w:vAlign w:val="center"/>
          </w:tcPr>
          <w:p>
            <w:pPr>
              <w:spacing w:line="300" w:lineRule="exact"/>
              <w:jc w:val="left"/>
              <w:outlineLvl w:val="0"/>
              <w:rPr>
                <w:rFonts w:ascii="Times New Roman" w:eastAsia="方正仿宋_GBK"/>
                <w:sz w:val="28"/>
              </w:rPr>
            </w:pPr>
          </w:p>
        </w:tc>
        <w:tc>
          <w:tcPr>
            <w:tcW w:w="737" w:type="dxa"/>
            <w:vMerge w:val="continue"/>
            <w:shd w:val="clear" w:color="auto" w:fill="auto"/>
            <w:vAlign w:val="center"/>
          </w:tcPr>
          <w:p>
            <w:pPr>
              <w:spacing w:line="300" w:lineRule="exact"/>
              <w:jc w:val="left"/>
              <w:outlineLvl w:val="0"/>
              <w:rPr>
                <w:rFonts w:ascii="Times New Roman" w:eastAsia="方正仿宋_GBK"/>
                <w:sz w:val="28"/>
              </w:rPr>
            </w:pPr>
          </w:p>
        </w:tc>
        <w:tc>
          <w:tcPr>
            <w:tcW w:w="1106"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0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06"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06"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06"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0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秦皇岛北戴河新区南戴河街道办事处小计</w:t>
            </w:r>
          </w:p>
        </w:tc>
        <w:tc>
          <w:tcPr>
            <w:tcW w:w="1106" w:type="dxa"/>
            <w:shd w:val="clear" w:color="auto" w:fill="auto"/>
            <w:vAlign w:val="center"/>
          </w:tcPr>
          <w:p>
            <w:pPr>
              <w:spacing w:line="300" w:lineRule="exact"/>
              <w:jc w:val="right"/>
              <w:rPr>
                <w:rFonts w:ascii="方正书宋_GBK" w:eastAsia="方正书宋_GBK"/>
                <w:b/>
              </w:rPr>
            </w:pPr>
          </w:p>
        </w:tc>
        <w:tc>
          <w:tcPr>
            <w:tcW w:w="1701" w:type="dxa"/>
            <w:shd w:val="clear" w:color="auto" w:fill="auto"/>
            <w:vAlign w:val="center"/>
          </w:tcPr>
          <w:p>
            <w:pPr>
              <w:spacing w:line="300" w:lineRule="exact"/>
              <w:jc w:val="lef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737" w:type="dxa"/>
            <w:shd w:val="clear" w:color="auto" w:fill="auto"/>
            <w:vAlign w:val="center"/>
          </w:tcPr>
          <w:p>
            <w:pPr>
              <w:spacing w:line="300" w:lineRule="exact"/>
              <w:jc w:val="left"/>
              <w:rPr>
                <w:rFonts w:ascii="方正书宋_GBK" w:eastAsia="方正书宋_GBK"/>
                <w:b/>
              </w:rPr>
            </w:pPr>
          </w:p>
        </w:tc>
        <w:tc>
          <w:tcPr>
            <w:tcW w:w="737" w:type="dxa"/>
            <w:shd w:val="clear" w:color="auto" w:fill="auto"/>
            <w:vAlign w:val="center"/>
          </w:tcPr>
          <w:p>
            <w:pPr>
              <w:spacing w:line="300" w:lineRule="exact"/>
              <w:jc w:val="right"/>
              <w:rPr>
                <w:rFonts w:ascii="方正书宋_GBK" w:eastAsia="方正书宋_GBK"/>
                <w:b/>
              </w:rPr>
            </w:pPr>
          </w:p>
        </w:tc>
        <w:tc>
          <w:tcPr>
            <w:tcW w:w="737" w:type="dxa"/>
            <w:shd w:val="clear" w:color="auto" w:fill="auto"/>
            <w:vAlign w:val="center"/>
          </w:tcPr>
          <w:p>
            <w:pPr>
              <w:spacing w:line="300" w:lineRule="exact"/>
              <w:jc w:val="right"/>
              <w:rPr>
                <w:rFonts w:ascii="方正书宋_GBK" w:eastAsia="方正书宋_GBK"/>
                <w:b/>
              </w:rPr>
            </w:pPr>
          </w:p>
        </w:tc>
        <w:tc>
          <w:tcPr>
            <w:tcW w:w="1106"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w:t>
            </w:r>
          </w:p>
        </w:tc>
        <w:tc>
          <w:tcPr>
            <w:tcW w:w="1106" w:type="dxa"/>
            <w:shd w:val="clear" w:color="auto" w:fill="auto"/>
            <w:vAlign w:val="center"/>
          </w:tcPr>
          <w:p>
            <w:pPr>
              <w:spacing w:line="300" w:lineRule="exact"/>
              <w:jc w:val="right"/>
              <w:rPr>
                <w:rFonts w:ascii="方正书宋_GBK" w:eastAsia="方正书宋_GBK"/>
                <w:b/>
              </w:rPr>
            </w:pPr>
            <w:r>
              <w:rPr>
                <w:rFonts w:ascii="方正书宋_GBK" w:eastAsia="方正书宋_GBK"/>
                <w:b/>
              </w:rPr>
              <w:t>180.00</w:t>
            </w:r>
          </w:p>
        </w:tc>
        <w:tc>
          <w:tcPr>
            <w:tcW w:w="1106" w:type="dxa"/>
            <w:shd w:val="clear" w:color="auto" w:fill="auto"/>
            <w:vAlign w:val="center"/>
          </w:tcPr>
          <w:p>
            <w:pPr>
              <w:spacing w:line="300" w:lineRule="exact"/>
              <w:jc w:val="right"/>
              <w:rPr>
                <w:rFonts w:ascii="方正书宋_GBK" w:eastAsia="方正书宋_GBK"/>
                <w:b/>
              </w:rPr>
            </w:pPr>
          </w:p>
        </w:tc>
        <w:tc>
          <w:tcPr>
            <w:tcW w:w="1106" w:type="dxa"/>
            <w:shd w:val="clear" w:color="auto" w:fill="auto"/>
            <w:vAlign w:val="center"/>
          </w:tcPr>
          <w:p>
            <w:pPr>
              <w:spacing w:line="300" w:lineRule="exact"/>
              <w:jc w:val="right"/>
              <w:rPr>
                <w:rFonts w:ascii="方正书宋_GBK" w:eastAsia="方正书宋_GBK"/>
                <w:b/>
              </w:rPr>
            </w:pPr>
          </w:p>
        </w:tc>
        <w:tc>
          <w:tcPr>
            <w:tcW w:w="1106" w:type="dxa"/>
            <w:shd w:val="clear" w:color="auto" w:fill="auto"/>
            <w:vAlign w:val="center"/>
          </w:tcPr>
          <w:p>
            <w:pPr>
              <w:spacing w:line="300" w:lineRule="exact"/>
              <w:jc w:val="right"/>
              <w:rPr>
                <w:rFonts w:ascii="方正书宋_GBK" w:eastAsia="方正书宋_GBK"/>
                <w:b/>
              </w:rPr>
            </w:pPr>
          </w:p>
        </w:tc>
        <w:tc>
          <w:tcPr>
            <w:tcW w:w="110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村级组织运转经费（农村环卫保洁）</w:t>
            </w:r>
          </w:p>
        </w:tc>
        <w:tc>
          <w:tcPr>
            <w:tcW w:w="1106"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清扫服务</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C160101</w:t>
            </w:r>
          </w:p>
        </w:tc>
        <w:tc>
          <w:tcPr>
            <w:tcW w:w="737" w:type="dxa"/>
            <w:shd w:val="clear" w:color="auto" w:fill="auto"/>
            <w:vAlign w:val="center"/>
          </w:tcPr>
          <w:p>
            <w:pPr>
              <w:spacing w:line="300" w:lineRule="exact"/>
              <w:jc w:val="left"/>
              <w:rPr>
                <w:rFonts w:ascii="方正书宋_GBK" w:eastAsia="方正书宋_GBK"/>
              </w:rPr>
            </w:pPr>
            <w:r>
              <w:rPr>
                <w:rFonts w:ascii="方正书宋_GBK" w:eastAsia="方正书宋_GBK"/>
              </w:rPr>
              <w:t>年</w:t>
            </w:r>
          </w:p>
        </w:tc>
        <w:tc>
          <w:tcPr>
            <w:tcW w:w="73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106"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106"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106" w:type="dxa"/>
            <w:shd w:val="clear" w:color="auto" w:fill="auto"/>
            <w:vAlign w:val="center"/>
          </w:tcPr>
          <w:p>
            <w:pPr>
              <w:spacing w:line="300" w:lineRule="exact"/>
              <w:jc w:val="right"/>
              <w:rPr>
                <w:rFonts w:ascii="方正书宋_GBK" w:eastAsia="方正书宋_GBK"/>
              </w:rPr>
            </w:pPr>
          </w:p>
        </w:tc>
        <w:tc>
          <w:tcPr>
            <w:tcW w:w="1106" w:type="dxa"/>
            <w:shd w:val="clear" w:color="auto" w:fill="auto"/>
            <w:vAlign w:val="center"/>
          </w:tcPr>
          <w:p>
            <w:pPr>
              <w:spacing w:line="300" w:lineRule="exact"/>
              <w:jc w:val="right"/>
              <w:rPr>
                <w:rFonts w:ascii="方正书宋_GBK" w:eastAsia="方正书宋_GBK"/>
              </w:rPr>
            </w:pPr>
          </w:p>
        </w:tc>
        <w:tc>
          <w:tcPr>
            <w:tcW w:w="1106" w:type="dxa"/>
            <w:shd w:val="clear" w:color="auto" w:fill="auto"/>
            <w:vAlign w:val="center"/>
          </w:tcPr>
          <w:p>
            <w:pPr>
              <w:spacing w:line="300" w:lineRule="exact"/>
              <w:jc w:val="right"/>
              <w:rPr>
                <w:rFonts w:ascii="方正书宋_GBK" w:eastAsia="方正书宋_GBK"/>
              </w:rPr>
            </w:pPr>
          </w:p>
        </w:tc>
        <w:tc>
          <w:tcPr>
            <w:tcW w:w="1106"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widowControl/>
        <w:adjustRightInd w:val="0"/>
        <w:spacing w:line="480" w:lineRule="exact"/>
        <w:rPr>
          <w:rFonts w:ascii="Times New Roman" w:hAnsi="Times New Roman" w:eastAsia="黑体"/>
          <w:kern w:val="0"/>
          <w:sz w:val="32"/>
          <w:szCs w:val="32"/>
        </w:rPr>
      </w:pPr>
      <w:r>
        <w:rPr>
          <w:rFonts w:ascii="Times New Roman" w:hAnsi="Times New Roman" w:eastAsia="黑体"/>
          <w:kern w:val="0"/>
          <w:sz w:val="32"/>
          <w:szCs w:val="32"/>
        </w:rPr>
        <w:t>六</w:t>
      </w:r>
      <w:r>
        <w:rPr>
          <w:rFonts w:hint="eastAsia" w:ascii="Times New Roman" w:hAnsi="Times New Roman" w:eastAsia="黑体"/>
          <w:kern w:val="0"/>
          <w:sz w:val="32"/>
          <w:szCs w:val="32"/>
        </w:rPr>
        <w:t>、</w:t>
      </w:r>
      <w:r>
        <w:rPr>
          <w:rFonts w:ascii="Times New Roman" w:hAnsi="Times New Roman" w:eastAsia="黑体"/>
          <w:kern w:val="0"/>
          <w:sz w:val="32"/>
          <w:szCs w:val="32"/>
        </w:rPr>
        <w:t>国有资产信息情况</w:t>
      </w:r>
    </w:p>
    <w:p>
      <w:pPr>
        <w:widowControl/>
        <w:adjustRightInd w:val="0"/>
        <w:spacing w:line="4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上年末固定资产金额为4189.41万元（详见下表）。</w:t>
      </w:r>
    </w:p>
    <w:tbl>
      <w:tblPr>
        <w:tblStyle w:val="4"/>
        <w:tblW w:w="8780" w:type="dxa"/>
        <w:tblInd w:w="93" w:type="dxa"/>
        <w:tblLayout w:type="fixed"/>
        <w:tblCellMar>
          <w:top w:w="0" w:type="dxa"/>
          <w:left w:w="108" w:type="dxa"/>
          <w:bottom w:w="0" w:type="dxa"/>
          <w:right w:w="108" w:type="dxa"/>
        </w:tblCellMar>
      </w:tblPr>
      <w:tblGrid>
        <w:gridCol w:w="3071"/>
        <w:gridCol w:w="1836"/>
        <w:gridCol w:w="3873"/>
      </w:tblGrid>
      <w:tr>
        <w:tblPrEx>
          <w:tblCellMar>
            <w:top w:w="0" w:type="dxa"/>
            <w:left w:w="108" w:type="dxa"/>
            <w:bottom w:w="0" w:type="dxa"/>
            <w:right w:w="108" w:type="dxa"/>
          </w:tblCellMar>
        </w:tblPrEx>
        <w:trPr>
          <w:trHeight w:val="705" w:hRule="atLeast"/>
        </w:trPr>
        <w:tc>
          <w:tcPr>
            <w:tcW w:w="8780" w:type="dxa"/>
            <w:gridSpan w:val="3"/>
            <w:tcBorders>
              <w:top w:val="nil"/>
              <w:left w:val="nil"/>
              <w:bottom w:val="nil"/>
              <w:right w:val="nil"/>
            </w:tcBorders>
            <w:vAlign w:val="center"/>
          </w:tcPr>
          <w:p>
            <w:pPr>
              <w:widowControl/>
              <w:jc w:val="center"/>
              <w:rPr>
                <w:rFonts w:ascii="Times New Roman" w:hAnsi="Times New Roman"/>
                <w:b/>
                <w:bCs/>
                <w:kern w:val="0"/>
                <w:sz w:val="32"/>
                <w:szCs w:val="32"/>
              </w:rPr>
            </w:pPr>
            <w:r>
              <w:rPr>
                <w:rFonts w:ascii="Times New Roman" w:hAnsi="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4907" w:type="dxa"/>
            <w:gridSpan w:val="2"/>
            <w:tcBorders>
              <w:top w:val="nil"/>
              <w:left w:val="nil"/>
              <w:bottom w:val="nil"/>
              <w:right w:val="nil"/>
            </w:tcBorders>
            <w:vAlign w:val="center"/>
          </w:tcPr>
          <w:p>
            <w:pPr>
              <w:widowControl/>
              <w:jc w:val="left"/>
              <w:rPr>
                <w:rFonts w:ascii="Times New Roman" w:hAnsi="Times New Roman"/>
                <w:kern w:val="0"/>
                <w:sz w:val="24"/>
                <w:szCs w:val="24"/>
              </w:rPr>
            </w:pPr>
            <w:r>
              <w:rPr>
                <w:rFonts w:ascii="Times New Roman" w:hAnsi="宋体"/>
                <w:kern w:val="0"/>
                <w:sz w:val="24"/>
                <w:szCs w:val="24"/>
              </w:rPr>
              <w:t>编制部门：</w:t>
            </w:r>
          </w:p>
        </w:tc>
        <w:tc>
          <w:tcPr>
            <w:tcW w:w="3873" w:type="dxa"/>
            <w:tcBorders>
              <w:top w:val="nil"/>
              <w:left w:val="nil"/>
              <w:bottom w:val="nil"/>
              <w:right w:val="nil"/>
            </w:tcBorders>
            <w:vAlign w:val="center"/>
          </w:tcPr>
          <w:p>
            <w:pPr>
              <w:widowControl/>
              <w:jc w:val="left"/>
              <w:rPr>
                <w:rFonts w:ascii="Times New Roman" w:hAnsi="Times New Roman"/>
                <w:kern w:val="0"/>
                <w:sz w:val="24"/>
                <w:szCs w:val="24"/>
              </w:rPr>
            </w:pPr>
            <w:r>
              <w:rPr>
                <w:rFonts w:ascii="Times New Roman" w:hAnsi="宋体"/>
                <w:kern w:val="0"/>
                <w:sz w:val="24"/>
                <w:szCs w:val="24"/>
              </w:rPr>
              <w:t>截止时间：</w:t>
            </w:r>
            <w:r>
              <w:rPr>
                <w:rFonts w:ascii="Times New Roman" w:hAnsi="Times New Roman"/>
                <w:kern w:val="0"/>
                <w:sz w:val="24"/>
                <w:szCs w:val="24"/>
              </w:rPr>
              <w:t>2019</w:t>
            </w:r>
            <w:r>
              <w:rPr>
                <w:rFonts w:ascii="Times New Roman" w:hAnsi="宋体"/>
                <w:kern w:val="0"/>
                <w:sz w:val="24"/>
                <w:szCs w:val="24"/>
              </w:rPr>
              <w:t>年</w:t>
            </w:r>
            <w:r>
              <w:rPr>
                <w:rFonts w:ascii="Times New Roman" w:hAnsi="Times New Roman"/>
                <w:kern w:val="0"/>
                <w:sz w:val="24"/>
                <w:szCs w:val="24"/>
              </w:rPr>
              <w:t>12</w:t>
            </w:r>
            <w:r>
              <w:rPr>
                <w:rFonts w:ascii="Times New Roman" w:hAnsi="宋体"/>
                <w:kern w:val="0"/>
                <w:sz w:val="24"/>
                <w:szCs w:val="24"/>
              </w:rPr>
              <w:t>月</w:t>
            </w:r>
            <w:r>
              <w:rPr>
                <w:rFonts w:ascii="Times New Roman" w:hAnsi="Times New Roman"/>
                <w:kern w:val="0"/>
                <w:sz w:val="24"/>
                <w:szCs w:val="24"/>
              </w:rPr>
              <w:t>31</w:t>
            </w:r>
            <w:r>
              <w:rPr>
                <w:rFonts w:ascii="Times New Roman" w:hAnsi="宋体"/>
                <w:kern w:val="0"/>
                <w:sz w:val="24"/>
                <w:szCs w:val="24"/>
              </w:rPr>
              <w:t>日</w:t>
            </w:r>
            <w:r>
              <w:rPr>
                <w:rFonts w:ascii="Times New Roman" w:hAnsi="Times New Roman"/>
                <w:kern w:val="0"/>
                <w:sz w:val="24"/>
                <w:szCs w:val="24"/>
              </w:rPr>
              <w:t xml:space="preserve">  </w:t>
            </w:r>
          </w:p>
        </w:tc>
      </w:tr>
      <w:tr>
        <w:tblPrEx>
          <w:tblCellMar>
            <w:top w:w="0" w:type="dxa"/>
            <w:left w:w="108" w:type="dxa"/>
            <w:bottom w:w="0" w:type="dxa"/>
            <w:right w:w="108" w:type="dxa"/>
          </w:tblCellMar>
        </w:tblPrEx>
        <w:trPr>
          <w:trHeight w:val="645" w:hRule="atLeast"/>
        </w:trPr>
        <w:tc>
          <w:tcPr>
            <w:tcW w:w="30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宋体"/>
                <w:b/>
                <w:bCs/>
                <w:kern w:val="0"/>
                <w:sz w:val="24"/>
                <w:szCs w:val="24"/>
              </w:rPr>
              <w:t>项</w:t>
            </w:r>
            <w:r>
              <w:rPr>
                <w:rFonts w:ascii="Times New Roman" w:hAnsi="Times New Roman"/>
                <w:b/>
                <w:bCs/>
                <w:kern w:val="0"/>
                <w:sz w:val="24"/>
                <w:szCs w:val="24"/>
              </w:rPr>
              <w:t xml:space="preserve">   </w:t>
            </w:r>
            <w:r>
              <w:rPr>
                <w:rFonts w:ascii="Times New Roman" w:hAnsi="宋体"/>
                <w:b/>
                <w:bCs/>
                <w:kern w:val="0"/>
                <w:sz w:val="24"/>
                <w:szCs w:val="24"/>
              </w:rPr>
              <w:t>目</w:t>
            </w:r>
          </w:p>
        </w:tc>
        <w:tc>
          <w:tcPr>
            <w:tcW w:w="183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宋体"/>
                <w:b/>
                <w:bCs/>
                <w:kern w:val="0"/>
                <w:sz w:val="24"/>
                <w:szCs w:val="24"/>
              </w:rPr>
              <w:t>数量</w:t>
            </w:r>
          </w:p>
        </w:tc>
        <w:tc>
          <w:tcPr>
            <w:tcW w:w="387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宋体"/>
                <w:b/>
                <w:bCs/>
                <w:kern w:val="0"/>
                <w:sz w:val="24"/>
                <w:szCs w:val="24"/>
              </w:rPr>
              <w:t>价值（金额单位：万元）</w:t>
            </w:r>
          </w:p>
        </w:tc>
      </w:tr>
      <w:tr>
        <w:tblPrEx>
          <w:tblCellMar>
            <w:top w:w="0" w:type="dxa"/>
            <w:left w:w="108" w:type="dxa"/>
            <w:bottom w:w="0" w:type="dxa"/>
            <w:right w:w="108" w:type="dxa"/>
          </w:tblCellMar>
        </w:tblPrEx>
        <w:trPr>
          <w:trHeight w:val="645" w:hRule="atLeast"/>
        </w:trPr>
        <w:tc>
          <w:tcPr>
            <w:tcW w:w="307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宋体"/>
                <w:kern w:val="0"/>
                <w:sz w:val="24"/>
                <w:szCs w:val="24"/>
              </w:rPr>
              <w:t>资产总额</w:t>
            </w:r>
          </w:p>
        </w:tc>
        <w:tc>
          <w:tcPr>
            <w:tcW w:w="183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w:t>
            </w:r>
          </w:p>
        </w:tc>
        <w:tc>
          <w:tcPr>
            <w:tcW w:w="387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2109.53</w:t>
            </w:r>
          </w:p>
        </w:tc>
      </w:tr>
      <w:tr>
        <w:tblPrEx>
          <w:tblCellMar>
            <w:top w:w="0" w:type="dxa"/>
            <w:left w:w="108" w:type="dxa"/>
            <w:bottom w:w="0" w:type="dxa"/>
            <w:right w:w="108" w:type="dxa"/>
          </w:tblCellMar>
        </w:tblPrEx>
        <w:trPr>
          <w:trHeight w:val="645" w:hRule="atLeast"/>
        </w:trPr>
        <w:tc>
          <w:tcPr>
            <w:tcW w:w="307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sz w:val="24"/>
                <w:szCs w:val="24"/>
              </w:rPr>
              <w:t>1</w:t>
            </w:r>
            <w:r>
              <w:rPr>
                <w:rFonts w:ascii="Times New Roman" w:hAnsi="宋体"/>
                <w:kern w:val="0"/>
                <w:sz w:val="24"/>
                <w:szCs w:val="24"/>
              </w:rPr>
              <w:t>、房屋（平方米）</w:t>
            </w:r>
          </w:p>
        </w:tc>
        <w:tc>
          <w:tcPr>
            <w:tcW w:w="183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68129.42</w:t>
            </w:r>
          </w:p>
        </w:tc>
        <w:tc>
          <w:tcPr>
            <w:tcW w:w="387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1455.02</w:t>
            </w:r>
          </w:p>
        </w:tc>
      </w:tr>
      <w:tr>
        <w:tblPrEx>
          <w:tblCellMar>
            <w:top w:w="0" w:type="dxa"/>
            <w:left w:w="108" w:type="dxa"/>
            <w:bottom w:w="0" w:type="dxa"/>
            <w:right w:w="108" w:type="dxa"/>
          </w:tblCellMar>
        </w:tblPrEx>
        <w:trPr>
          <w:trHeight w:val="645" w:hRule="atLeast"/>
        </w:trPr>
        <w:tc>
          <w:tcPr>
            <w:tcW w:w="307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宋体"/>
                <w:kern w:val="0"/>
                <w:sz w:val="24"/>
                <w:szCs w:val="24"/>
              </w:rPr>
              <w:t>其中：办公用房（平方米）</w:t>
            </w:r>
          </w:p>
        </w:tc>
        <w:tc>
          <w:tcPr>
            <w:tcW w:w="183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68129.42</w:t>
            </w:r>
          </w:p>
        </w:tc>
        <w:tc>
          <w:tcPr>
            <w:tcW w:w="387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1455.02</w:t>
            </w:r>
          </w:p>
        </w:tc>
      </w:tr>
      <w:tr>
        <w:tblPrEx>
          <w:tblCellMar>
            <w:top w:w="0" w:type="dxa"/>
            <w:left w:w="108" w:type="dxa"/>
            <w:bottom w:w="0" w:type="dxa"/>
            <w:right w:w="108" w:type="dxa"/>
          </w:tblCellMar>
        </w:tblPrEx>
        <w:trPr>
          <w:trHeight w:val="645" w:hRule="atLeast"/>
        </w:trPr>
        <w:tc>
          <w:tcPr>
            <w:tcW w:w="307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sz w:val="24"/>
                <w:szCs w:val="24"/>
              </w:rPr>
              <w:t>2</w:t>
            </w:r>
            <w:r>
              <w:rPr>
                <w:rFonts w:ascii="Times New Roman" w:hAnsi="宋体"/>
                <w:kern w:val="0"/>
                <w:sz w:val="24"/>
                <w:szCs w:val="24"/>
              </w:rPr>
              <w:t>、车辆（台、辆）</w:t>
            </w:r>
          </w:p>
        </w:tc>
        <w:tc>
          <w:tcPr>
            <w:tcW w:w="183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16</w:t>
            </w:r>
          </w:p>
        </w:tc>
        <w:tc>
          <w:tcPr>
            <w:tcW w:w="387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296.98</w:t>
            </w:r>
          </w:p>
        </w:tc>
      </w:tr>
      <w:tr>
        <w:tblPrEx>
          <w:tblCellMar>
            <w:top w:w="0" w:type="dxa"/>
            <w:left w:w="108" w:type="dxa"/>
            <w:bottom w:w="0" w:type="dxa"/>
            <w:right w:w="108" w:type="dxa"/>
          </w:tblCellMar>
        </w:tblPrEx>
        <w:trPr>
          <w:trHeight w:val="645" w:hRule="atLeast"/>
        </w:trPr>
        <w:tc>
          <w:tcPr>
            <w:tcW w:w="307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sz w:val="24"/>
                <w:szCs w:val="24"/>
              </w:rPr>
              <w:t>3</w:t>
            </w:r>
            <w:r>
              <w:rPr>
                <w:rFonts w:ascii="Times New Roman" w:hAnsi="宋体"/>
                <w:kern w:val="0"/>
                <w:sz w:val="24"/>
                <w:szCs w:val="24"/>
              </w:rPr>
              <w:t>、单价在</w:t>
            </w:r>
            <w:r>
              <w:rPr>
                <w:rFonts w:ascii="Times New Roman" w:hAnsi="Times New Roman"/>
                <w:kern w:val="0"/>
                <w:sz w:val="24"/>
                <w:szCs w:val="24"/>
              </w:rPr>
              <w:t>20</w:t>
            </w:r>
            <w:r>
              <w:rPr>
                <w:rFonts w:ascii="Times New Roman" w:hAnsi="宋体"/>
                <w:kern w:val="0"/>
                <w:sz w:val="24"/>
                <w:szCs w:val="24"/>
              </w:rPr>
              <w:t>万元以上设备</w:t>
            </w:r>
          </w:p>
        </w:tc>
        <w:tc>
          <w:tcPr>
            <w:tcW w:w="183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w:t>
            </w:r>
          </w:p>
        </w:tc>
        <w:tc>
          <w:tcPr>
            <w:tcW w:w="387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p>
        </w:tc>
      </w:tr>
      <w:tr>
        <w:tblPrEx>
          <w:tblCellMar>
            <w:top w:w="0" w:type="dxa"/>
            <w:left w:w="108" w:type="dxa"/>
            <w:bottom w:w="0" w:type="dxa"/>
            <w:right w:w="108" w:type="dxa"/>
          </w:tblCellMar>
        </w:tblPrEx>
        <w:trPr>
          <w:trHeight w:val="645" w:hRule="atLeast"/>
        </w:trPr>
        <w:tc>
          <w:tcPr>
            <w:tcW w:w="307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sz w:val="24"/>
                <w:szCs w:val="24"/>
              </w:rPr>
              <w:t>4</w:t>
            </w:r>
            <w:r>
              <w:rPr>
                <w:rFonts w:ascii="Times New Roman" w:hAnsi="宋体"/>
                <w:kern w:val="0"/>
                <w:sz w:val="24"/>
                <w:szCs w:val="24"/>
              </w:rPr>
              <w:t>、其他固定资产</w:t>
            </w:r>
          </w:p>
        </w:tc>
        <w:tc>
          <w:tcPr>
            <w:tcW w:w="183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w:t>
            </w:r>
          </w:p>
        </w:tc>
        <w:tc>
          <w:tcPr>
            <w:tcW w:w="387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357.53</w:t>
            </w:r>
          </w:p>
        </w:tc>
      </w:tr>
    </w:tbl>
    <w:p>
      <w:pPr>
        <w:rPr>
          <w:rFonts w:ascii="Times New Roman" w:hAnsi="Times New Roman" w:eastAsia="仿宋_GB2312"/>
          <w:color w:val="FF0000"/>
          <w:sz w:val="32"/>
          <w:szCs w:val="32"/>
        </w:rPr>
      </w:pPr>
      <w:r>
        <w:rPr>
          <w:rFonts w:ascii="Times New Roman" w:hAnsi="Times New Roman" w:eastAsia="仿宋_GB2312"/>
          <w:sz w:val="32"/>
          <w:szCs w:val="32"/>
        </w:rPr>
        <w:t>说明：1、实有车辆2辆，其余为公车改革按规定封存待缴未办理处置手续的车辆。</w:t>
      </w:r>
    </w:p>
    <w:p>
      <w:pPr>
        <w:widowControl/>
        <w:numPr>
          <w:ilvl w:val="0"/>
          <w:numId w:val="3"/>
        </w:num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名词解释</w:t>
      </w:r>
    </w:p>
    <w:p>
      <w:pPr>
        <w:autoSpaceDE w:val="0"/>
        <w:autoSpaceDN w:val="0"/>
        <w:adjustRightInd w:val="0"/>
        <w:ind w:firstLine="640" w:firstLineChars="200"/>
        <w:jc w:val="left"/>
        <w:rPr>
          <w:rFonts w:ascii="Times New Roman" w:hAnsi="Times New Roman" w:eastAsia="方正仿宋简体"/>
          <w:sz w:val="32"/>
          <w:szCs w:val="24"/>
        </w:rPr>
      </w:pPr>
      <w:r>
        <w:rPr>
          <w:rFonts w:ascii="Times New Roman" w:hAnsi="Times New Roman" w:eastAsia="方正仿宋简体"/>
          <w:sz w:val="32"/>
          <w:szCs w:val="24"/>
        </w:rPr>
        <w:t>1、一般预算收入：指区级财政当年拨付的资金。</w:t>
      </w:r>
    </w:p>
    <w:p>
      <w:pPr>
        <w:autoSpaceDE w:val="0"/>
        <w:autoSpaceDN w:val="0"/>
        <w:adjustRightInd w:val="0"/>
        <w:ind w:firstLine="640" w:firstLineChars="200"/>
        <w:jc w:val="left"/>
        <w:rPr>
          <w:rFonts w:ascii="Times New Roman" w:hAnsi="Times New Roman" w:eastAsia="方正仿宋简体"/>
          <w:sz w:val="32"/>
          <w:szCs w:val="24"/>
        </w:rPr>
      </w:pPr>
      <w:r>
        <w:rPr>
          <w:rFonts w:ascii="Times New Roman" w:hAnsi="Times New Roman" w:eastAsia="方正仿宋简体"/>
          <w:sz w:val="32"/>
          <w:szCs w:val="24"/>
        </w:rPr>
        <w:t>2、基本支出：指为保障机构正常运转、完成日常工作任务而发生的人员支出和公用支出。</w:t>
      </w:r>
    </w:p>
    <w:p>
      <w:pPr>
        <w:autoSpaceDE w:val="0"/>
        <w:autoSpaceDN w:val="0"/>
        <w:adjustRightInd w:val="0"/>
        <w:ind w:firstLine="640" w:firstLineChars="200"/>
        <w:jc w:val="left"/>
        <w:rPr>
          <w:rFonts w:ascii="Times New Roman" w:hAnsi="Times New Roman" w:eastAsia="方正仿宋简体"/>
          <w:sz w:val="32"/>
          <w:szCs w:val="24"/>
        </w:rPr>
      </w:pPr>
      <w:r>
        <w:rPr>
          <w:rFonts w:ascii="Times New Roman" w:hAnsi="Times New Roman" w:eastAsia="方正仿宋简体"/>
          <w:sz w:val="32"/>
          <w:szCs w:val="24"/>
        </w:rPr>
        <w:t>3、项目支出：指在基本支出之外为完成特定行政任务和事业发展目标所发生的支出。</w:t>
      </w:r>
    </w:p>
    <w:p>
      <w:pPr>
        <w:autoSpaceDE w:val="0"/>
        <w:autoSpaceDN w:val="0"/>
        <w:adjustRightInd w:val="0"/>
        <w:ind w:firstLine="640" w:firstLineChars="200"/>
        <w:jc w:val="left"/>
        <w:rPr>
          <w:rFonts w:ascii="Times New Roman" w:hAnsi="Times New Roman" w:eastAsia="方正仿宋简体"/>
          <w:sz w:val="32"/>
          <w:szCs w:val="24"/>
        </w:rPr>
      </w:pPr>
      <w:r>
        <w:rPr>
          <w:rFonts w:ascii="Times New Roman" w:hAnsi="Times New Roman" w:eastAsia="方正仿宋简体"/>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480" w:lineRule="exact"/>
        <w:ind w:firstLine="640" w:firstLineChars="200"/>
        <w:rPr>
          <w:rFonts w:ascii="Times New Roman" w:hAnsi="Times New Roman" w:eastAsia="方正仿宋简体"/>
          <w:kern w:val="0"/>
          <w:sz w:val="32"/>
          <w:szCs w:val="32"/>
        </w:rPr>
      </w:pPr>
      <w:r>
        <w:rPr>
          <w:rFonts w:ascii="Times New Roman" w:hAnsi="Times New Roman" w:eastAsia="黑体"/>
          <w:kern w:val="0"/>
          <w:sz w:val="32"/>
          <w:szCs w:val="32"/>
        </w:rPr>
        <w:t>八、其他需说明的事项</w:t>
      </w:r>
    </w:p>
    <w:p>
      <w:pPr>
        <w:widowControl/>
        <w:adjustRightInd w:val="0"/>
        <w:spacing w:line="48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D628B"/>
    <w:multiLevelType w:val="singleLevel"/>
    <w:tmpl w:val="C78D628B"/>
    <w:lvl w:ilvl="0" w:tentative="0">
      <w:start w:val="7"/>
      <w:numFmt w:val="chineseCounting"/>
      <w:suff w:val="nothing"/>
      <w:lvlText w:val="%1、"/>
      <w:lvlJc w:val="left"/>
      <w:rPr>
        <w:rFonts w:hint="eastAsia"/>
      </w:rPr>
    </w:lvl>
  </w:abstractNum>
  <w:abstractNum w:abstractNumId="1">
    <w:nsid w:val="259F51E5"/>
    <w:multiLevelType w:val="singleLevel"/>
    <w:tmpl w:val="259F51E5"/>
    <w:lvl w:ilvl="0" w:tentative="0">
      <w:start w:val="2"/>
      <w:numFmt w:val="chineseCounting"/>
      <w:suff w:val="nothing"/>
      <w:lvlText w:val="%1、"/>
      <w:lvlJc w:val="left"/>
      <w:rPr>
        <w:rFonts w:hint="eastAsia"/>
      </w:rPr>
    </w:lvl>
  </w:abstractNum>
  <w:abstractNum w:abstractNumId="2">
    <w:nsid w:val="3FB03A05"/>
    <w:multiLevelType w:val="singleLevel"/>
    <w:tmpl w:val="3FB03A05"/>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FA"/>
    <w:rsid w:val="005A3FDD"/>
    <w:rsid w:val="005C7465"/>
    <w:rsid w:val="006A3ED2"/>
    <w:rsid w:val="008202CA"/>
    <w:rsid w:val="009D4A4A"/>
    <w:rsid w:val="00F22AFA"/>
    <w:rsid w:val="051703FC"/>
    <w:rsid w:val="15F36E79"/>
    <w:rsid w:val="16C42EF2"/>
    <w:rsid w:val="18280B55"/>
    <w:rsid w:val="1ACE46E7"/>
    <w:rsid w:val="1BA23B0A"/>
    <w:rsid w:val="1BF86686"/>
    <w:rsid w:val="257931EE"/>
    <w:rsid w:val="274727EF"/>
    <w:rsid w:val="2B9F0C4F"/>
    <w:rsid w:val="307F6013"/>
    <w:rsid w:val="31C51F95"/>
    <w:rsid w:val="39DD2C11"/>
    <w:rsid w:val="3BED2058"/>
    <w:rsid w:val="4B87688E"/>
    <w:rsid w:val="4D1A14A7"/>
    <w:rsid w:val="5D8D06CA"/>
    <w:rsid w:val="71CC23C9"/>
    <w:rsid w:val="7FAF1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277</Words>
  <Characters>1584</Characters>
  <Lines>13</Lines>
  <Paragraphs>3</Paragraphs>
  <TotalTime>2</TotalTime>
  <ScaleCrop>false</ScaleCrop>
  <LinksUpToDate>false</LinksUpToDate>
  <CharactersWithSpaces>1858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2020-02-11T03:52:00Z</dcterms:created>
  <dc:creator>Hewlett-Packard Company</dc:creator>
  <cp:lastModifiedBy>Administrator</cp:lastModifiedBy>
  <cp:lastPrinted>2020-02-18T08:49:00Z</cp:lastPrinted>
  <dcterms:modified xsi:type="dcterms:W3CDTF">2021-05-20T00:46:26Z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